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C2557" w14:textId="77777777" w:rsidR="00F979B9" w:rsidRPr="00D71F8C" w:rsidRDefault="00F979B9" w:rsidP="00F979B9">
      <w:pPr>
        <w:spacing w:before="100" w:line="240" w:lineRule="auto"/>
        <w:jc w:val="center"/>
        <w:rPr>
          <w:rFonts w:ascii="Arial" w:hAnsi="Arial" w:cs="Arial"/>
          <w:b/>
          <w:bCs/>
          <w:sz w:val="24"/>
          <w:szCs w:val="24"/>
        </w:rPr>
      </w:pPr>
      <w:r w:rsidRPr="00D71F8C">
        <w:rPr>
          <w:rFonts w:ascii="Arial" w:hAnsi="Arial" w:cs="Arial"/>
          <w:b/>
          <w:bCs/>
          <w:sz w:val="24"/>
          <w:szCs w:val="24"/>
        </w:rPr>
        <w:t>Supplementary Information</w:t>
      </w:r>
    </w:p>
    <w:p w14:paraId="310140AA" w14:textId="77777777" w:rsidR="00F979B9" w:rsidRPr="00D71F8C" w:rsidRDefault="00F979B9" w:rsidP="00F979B9">
      <w:pPr>
        <w:spacing w:before="100" w:line="240" w:lineRule="auto"/>
        <w:jc w:val="center"/>
        <w:rPr>
          <w:rFonts w:ascii="Arial" w:hAnsi="Arial" w:cs="Arial"/>
          <w:b/>
          <w:bCs/>
          <w:sz w:val="24"/>
          <w:szCs w:val="24"/>
        </w:rPr>
      </w:pPr>
      <w:r w:rsidRPr="00D71F8C">
        <w:rPr>
          <w:rFonts w:ascii="Arial" w:hAnsi="Arial" w:cs="Arial"/>
          <w:b/>
          <w:bCs/>
          <w:sz w:val="24"/>
          <w:szCs w:val="24"/>
        </w:rPr>
        <w:t>Stress Landscape of Folding Brain Serves as a Map for Axonal Pathfinding</w:t>
      </w:r>
    </w:p>
    <w:p w14:paraId="181A8D3B" w14:textId="77777777" w:rsidR="00F979B9" w:rsidRPr="00D71F8C" w:rsidRDefault="00F979B9" w:rsidP="00F979B9">
      <w:pPr>
        <w:spacing w:before="100" w:line="240" w:lineRule="auto"/>
        <w:jc w:val="center"/>
        <w:rPr>
          <w:rFonts w:ascii="Arial" w:hAnsi="Arial" w:cs="Arial"/>
        </w:rPr>
      </w:pPr>
    </w:p>
    <w:p w14:paraId="4DA8D13F" w14:textId="77777777" w:rsidR="00F979B9" w:rsidRPr="00D71F8C" w:rsidRDefault="00F979B9" w:rsidP="00F979B9">
      <w:pPr>
        <w:spacing w:before="100" w:line="240" w:lineRule="auto"/>
        <w:jc w:val="center"/>
        <w:rPr>
          <w:rFonts w:ascii="Arial" w:hAnsi="Arial" w:cs="Arial"/>
          <w:vertAlign w:val="superscript"/>
        </w:rPr>
      </w:pPr>
      <w:r w:rsidRPr="00D71F8C">
        <w:rPr>
          <w:rFonts w:ascii="Arial" w:hAnsi="Arial" w:cs="Arial"/>
        </w:rPr>
        <w:t>Akbar Solhtalab</w:t>
      </w:r>
      <w:r w:rsidRPr="00D71F8C">
        <w:rPr>
          <w:rFonts w:ascii="Arial" w:hAnsi="Arial" w:cs="Arial"/>
          <w:vertAlign w:val="superscript"/>
        </w:rPr>
        <w:t>1</w:t>
      </w:r>
      <w:r w:rsidRPr="00D71F8C">
        <w:rPr>
          <w:rFonts w:ascii="Arial" w:hAnsi="Arial" w:cs="Arial"/>
        </w:rPr>
        <w:t>, Ali H. Foroughi</w:t>
      </w:r>
      <w:r w:rsidRPr="00D71F8C">
        <w:rPr>
          <w:rFonts w:ascii="Arial" w:hAnsi="Arial" w:cs="Arial"/>
          <w:vertAlign w:val="superscript"/>
        </w:rPr>
        <w:t>1</w:t>
      </w:r>
      <w:r w:rsidRPr="00D71F8C">
        <w:rPr>
          <w:rFonts w:ascii="Arial" w:hAnsi="Arial" w:cs="Arial"/>
        </w:rPr>
        <w:t>, Lana Pierotich</w:t>
      </w:r>
      <w:r w:rsidRPr="00D71F8C">
        <w:rPr>
          <w:rFonts w:ascii="Arial" w:hAnsi="Arial" w:cs="Arial"/>
          <w:vertAlign w:val="superscript"/>
        </w:rPr>
        <w:t>2</w:t>
      </w:r>
      <w:r w:rsidRPr="00D71F8C">
        <w:rPr>
          <w:rFonts w:ascii="Arial" w:hAnsi="Arial" w:cs="Arial"/>
        </w:rPr>
        <w:t>, Mir Jalil Razavi</w:t>
      </w:r>
      <w:r w:rsidRPr="00D71F8C">
        <w:rPr>
          <w:rFonts w:ascii="Arial" w:hAnsi="Arial" w:cs="Arial"/>
          <w:vertAlign w:val="superscript"/>
        </w:rPr>
        <w:t>1</w:t>
      </w:r>
    </w:p>
    <w:p w14:paraId="60703C4B" w14:textId="77777777" w:rsidR="00F979B9" w:rsidRPr="00D71F8C" w:rsidRDefault="00F979B9" w:rsidP="00F979B9">
      <w:pPr>
        <w:spacing w:before="100" w:line="240" w:lineRule="auto"/>
        <w:jc w:val="center"/>
        <w:rPr>
          <w:rFonts w:ascii="Arial" w:hAnsi="Arial" w:cs="Arial"/>
        </w:rPr>
      </w:pPr>
    </w:p>
    <w:p w14:paraId="4CC6045A" w14:textId="267A2FE5" w:rsidR="00F979B9" w:rsidRPr="00D71F8C" w:rsidRDefault="00F979B9" w:rsidP="00F979B9">
      <w:pPr>
        <w:spacing w:before="100" w:line="240" w:lineRule="auto"/>
        <w:jc w:val="center"/>
        <w:rPr>
          <w:rFonts w:ascii="Arial" w:hAnsi="Arial" w:cs="Arial"/>
          <w:sz w:val="20"/>
        </w:rPr>
      </w:pPr>
      <w:r w:rsidRPr="00D71F8C">
        <w:rPr>
          <w:rFonts w:ascii="Arial" w:hAnsi="Arial" w:cs="Arial"/>
          <w:sz w:val="20"/>
          <w:vertAlign w:val="superscript"/>
        </w:rPr>
        <w:t>1</w:t>
      </w:r>
      <w:r w:rsidRPr="00D71F8C">
        <w:rPr>
          <w:rFonts w:ascii="Arial" w:hAnsi="Arial" w:cs="Arial"/>
          <w:sz w:val="20"/>
        </w:rPr>
        <w:t xml:space="preserve">Department of Mechanical Engineering, </w:t>
      </w:r>
      <w:r w:rsidR="0056640D" w:rsidRPr="00D71F8C">
        <w:rPr>
          <w:rFonts w:ascii="Arial" w:hAnsi="Arial" w:cs="Arial"/>
          <w:sz w:val="20"/>
        </w:rPr>
        <w:t>State University of New York at Binghamton</w:t>
      </w:r>
      <w:r w:rsidRPr="00D71F8C">
        <w:rPr>
          <w:rFonts w:ascii="Arial" w:hAnsi="Arial" w:cs="Arial"/>
          <w:sz w:val="20"/>
        </w:rPr>
        <w:t xml:space="preserve">, Binghamton, NY, USA </w:t>
      </w:r>
    </w:p>
    <w:p w14:paraId="63A1DB3E" w14:textId="77777777" w:rsidR="00F979B9" w:rsidRPr="00D71F8C" w:rsidRDefault="00F979B9" w:rsidP="00F979B9">
      <w:pPr>
        <w:spacing w:before="100" w:line="240" w:lineRule="auto"/>
        <w:jc w:val="center"/>
        <w:rPr>
          <w:rFonts w:ascii="Arial" w:hAnsi="Arial" w:cs="Arial"/>
          <w:sz w:val="20"/>
        </w:rPr>
      </w:pPr>
      <w:r w:rsidRPr="00D71F8C">
        <w:rPr>
          <w:rFonts w:ascii="Arial" w:hAnsi="Arial" w:cs="Arial"/>
          <w:sz w:val="20"/>
          <w:vertAlign w:val="superscript"/>
        </w:rPr>
        <w:t>2</w:t>
      </w:r>
      <w:r w:rsidRPr="00D71F8C">
        <w:rPr>
          <w:rFonts w:ascii="Arial" w:hAnsi="Arial" w:cs="Arial"/>
          <w:sz w:val="20"/>
        </w:rPr>
        <w:t>Division of Newborn Medicine, Boston Children’s Hospital, Harvard Medical School, Boston, MA, USA</w:t>
      </w:r>
    </w:p>
    <w:p w14:paraId="5364BE9A" w14:textId="77777777" w:rsidR="00F979B9" w:rsidRPr="00D71F8C" w:rsidRDefault="00F979B9" w:rsidP="00F979B9">
      <w:pPr>
        <w:spacing w:before="100" w:line="240" w:lineRule="auto"/>
        <w:jc w:val="both"/>
        <w:rPr>
          <w:rFonts w:ascii="Arial" w:hAnsi="Arial" w:cs="Arial"/>
        </w:rPr>
      </w:pPr>
    </w:p>
    <w:p w14:paraId="5AF0F50F" w14:textId="5B9884B6" w:rsidR="00F979B9" w:rsidRPr="00D71F8C" w:rsidRDefault="00F979B9" w:rsidP="00F979B9">
      <w:pPr>
        <w:spacing w:before="100" w:after="0" w:line="360" w:lineRule="auto"/>
        <w:rPr>
          <w:rStyle w:val="Hyperlink"/>
          <w:rFonts w:ascii="Arial" w:hAnsi="Arial" w:cs="Arial"/>
          <w:color w:val="auto"/>
          <w:sz w:val="20"/>
        </w:rPr>
      </w:pPr>
      <w:r w:rsidRPr="00D71F8C">
        <w:rPr>
          <w:rFonts w:ascii="Arial" w:hAnsi="Arial" w:cs="Arial"/>
          <w:sz w:val="20"/>
        </w:rPr>
        <w:t xml:space="preserve">*Corresponding Author: </w:t>
      </w:r>
      <w:hyperlink r:id="rId4" w:history="1">
        <w:r w:rsidRPr="00D71F8C">
          <w:rPr>
            <w:rStyle w:val="Hyperlink"/>
            <w:rFonts w:ascii="Arial" w:hAnsi="Arial" w:cs="Arial"/>
            <w:color w:val="auto"/>
            <w:sz w:val="20"/>
          </w:rPr>
          <w:t>mrazavi@binghamton.edu</w:t>
        </w:r>
      </w:hyperlink>
    </w:p>
    <w:p w14:paraId="6F475C04" w14:textId="77777777" w:rsidR="00F979B9" w:rsidRPr="00D71F8C" w:rsidRDefault="00F979B9" w:rsidP="00F979B9">
      <w:pPr>
        <w:spacing w:line="240" w:lineRule="auto"/>
        <w:rPr>
          <w:rFonts w:ascii="Arial" w:hAnsi="Arial" w:cs="Arial"/>
          <w:sz w:val="20"/>
        </w:rPr>
      </w:pPr>
      <w:r w:rsidRPr="00D71F8C">
        <w:rPr>
          <w:rFonts w:ascii="Arial" w:hAnsi="Arial" w:cs="Arial"/>
          <w:sz w:val="20"/>
        </w:rPr>
        <w:t xml:space="preserve">ORCID of M.J. Razavi: </w:t>
      </w:r>
      <w:hyperlink r:id="rId5" w:history="1">
        <w:r w:rsidRPr="00D71F8C">
          <w:rPr>
            <w:rStyle w:val="Hyperlink"/>
            <w:rFonts w:ascii="Arial" w:hAnsi="Arial" w:cs="Arial"/>
            <w:color w:val="auto"/>
            <w:sz w:val="20"/>
          </w:rPr>
          <w:t>https://orcid.org/0000-0002-8421-9688</w:t>
        </w:r>
      </w:hyperlink>
    </w:p>
    <w:p w14:paraId="05281F59" w14:textId="77777777" w:rsidR="00F979B9" w:rsidRPr="00D71F8C" w:rsidRDefault="00F979B9" w:rsidP="00F979B9">
      <w:pPr>
        <w:spacing w:before="100" w:line="360" w:lineRule="auto"/>
        <w:rPr>
          <w:rFonts w:ascii="Arial" w:hAnsi="Arial" w:cs="Arial"/>
          <w:sz w:val="20"/>
        </w:rPr>
      </w:pPr>
    </w:p>
    <w:p w14:paraId="68F6157E" w14:textId="77777777" w:rsidR="00F979B9" w:rsidRPr="00D71F8C" w:rsidRDefault="00F979B9" w:rsidP="00F979B9">
      <w:pPr>
        <w:spacing w:before="100" w:line="360" w:lineRule="auto"/>
        <w:rPr>
          <w:rFonts w:ascii="Arial" w:hAnsi="Arial" w:cs="Arial"/>
          <w:b/>
          <w:sz w:val="24"/>
        </w:rPr>
      </w:pPr>
    </w:p>
    <w:p w14:paraId="43A362D5" w14:textId="77777777" w:rsidR="00F979B9" w:rsidRPr="00D71F8C" w:rsidRDefault="00F979B9" w:rsidP="00F979B9">
      <w:pPr>
        <w:spacing w:before="100" w:line="360" w:lineRule="auto"/>
        <w:jc w:val="center"/>
        <w:rPr>
          <w:rFonts w:ascii="Arial" w:hAnsi="Arial" w:cs="Arial"/>
          <w:sz w:val="20"/>
          <w:szCs w:val="18"/>
        </w:rPr>
      </w:pPr>
      <w:r w:rsidRPr="00D71F8C">
        <w:rPr>
          <w:rFonts w:ascii="Arial" w:hAnsi="Arial" w:cs="Arial"/>
          <w:b/>
          <w:sz w:val="20"/>
          <w:szCs w:val="18"/>
        </w:rPr>
        <w:t>Table S1</w:t>
      </w:r>
      <w:r w:rsidRPr="00D71F8C">
        <w:rPr>
          <w:rFonts w:ascii="Arial" w:hAnsi="Arial" w:cs="Arial"/>
          <w:sz w:val="20"/>
          <w:szCs w:val="18"/>
        </w:rPr>
        <w:t xml:space="preserve">. The timeline for the development of thalamocortical fiber tracts. GW: gestational week.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8000"/>
      </w:tblGrid>
      <w:tr w:rsidR="00D71F8C" w:rsidRPr="00D71F8C" w14:paraId="0BDDB380" w14:textId="77777777" w:rsidTr="002E0578">
        <w:trPr>
          <w:jc w:val="center"/>
        </w:trPr>
        <w:tc>
          <w:tcPr>
            <w:tcW w:w="1350" w:type="dxa"/>
            <w:tcBorders>
              <w:top w:val="single" w:sz="12" w:space="0" w:color="auto"/>
              <w:bottom w:val="single" w:sz="12" w:space="0" w:color="auto"/>
            </w:tcBorders>
            <w:vAlign w:val="center"/>
          </w:tcPr>
          <w:p w14:paraId="6E1359F8"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GWs</w:t>
            </w:r>
          </w:p>
        </w:tc>
        <w:tc>
          <w:tcPr>
            <w:tcW w:w="8000" w:type="dxa"/>
            <w:tcBorders>
              <w:top w:val="single" w:sz="12" w:space="0" w:color="auto"/>
              <w:bottom w:val="single" w:sz="12" w:space="0" w:color="auto"/>
            </w:tcBorders>
            <w:vAlign w:val="center"/>
          </w:tcPr>
          <w:p w14:paraId="776F8211"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Process</w:t>
            </w:r>
          </w:p>
        </w:tc>
      </w:tr>
      <w:tr w:rsidR="00D71F8C" w:rsidRPr="00D71F8C" w14:paraId="11985A4B" w14:textId="77777777" w:rsidTr="002E0578">
        <w:trPr>
          <w:jc w:val="center"/>
        </w:trPr>
        <w:tc>
          <w:tcPr>
            <w:tcW w:w="1350" w:type="dxa"/>
            <w:tcBorders>
              <w:top w:val="single" w:sz="12" w:space="0" w:color="auto"/>
              <w:bottom w:val="single" w:sz="6" w:space="0" w:color="auto"/>
            </w:tcBorders>
            <w:vAlign w:val="center"/>
          </w:tcPr>
          <w:p w14:paraId="533BE993"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10</w:t>
            </w:r>
          </w:p>
        </w:tc>
        <w:tc>
          <w:tcPr>
            <w:tcW w:w="8000" w:type="dxa"/>
            <w:tcBorders>
              <w:top w:val="single" w:sz="12" w:space="0" w:color="auto"/>
              <w:bottom w:val="single" w:sz="6" w:space="0" w:color="auto"/>
            </w:tcBorders>
            <w:vAlign w:val="center"/>
          </w:tcPr>
          <w:p w14:paraId="3C7C8F75" w14:textId="77777777" w:rsidR="00F979B9" w:rsidRPr="00D71F8C" w:rsidRDefault="00F979B9" w:rsidP="002E0578">
            <w:pPr>
              <w:spacing w:before="100" w:line="360" w:lineRule="auto"/>
              <w:rPr>
                <w:rFonts w:ascii="Arial" w:hAnsi="Arial" w:cs="Arial"/>
                <w:sz w:val="20"/>
                <w:szCs w:val="20"/>
              </w:rPr>
            </w:pPr>
            <w:r w:rsidRPr="00D71F8C">
              <w:rPr>
                <w:rFonts w:ascii="Arial" w:hAnsi="Arial" w:cs="Arial"/>
                <w:sz w:val="20"/>
              </w:rPr>
              <w:t>Axon outgrowth starts</w:t>
            </w:r>
          </w:p>
        </w:tc>
      </w:tr>
      <w:tr w:rsidR="00D71F8C" w:rsidRPr="00D71F8C" w14:paraId="020853B5" w14:textId="77777777" w:rsidTr="002E0578">
        <w:trPr>
          <w:jc w:val="center"/>
        </w:trPr>
        <w:tc>
          <w:tcPr>
            <w:tcW w:w="1350" w:type="dxa"/>
            <w:tcBorders>
              <w:top w:val="single" w:sz="6" w:space="0" w:color="auto"/>
              <w:bottom w:val="single" w:sz="6" w:space="0" w:color="auto"/>
            </w:tcBorders>
            <w:vAlign w:val="center"/>
          </w:tcPr>
          <w:p w14:paraId="1CCC9A1C"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10-11.5</w:t>
            </w:r>
          </w:p>
        </w:tc>
        <w:tc>
          <w:tcPr>
            <w:tcW w:w="8000" w:type="dxa"/>
            <w:tcBorders>
              <w:top w:val="single" w:sz="6" w:space="0" w:color="auto"/>
              <w:bottom w:val="single" w:sz="6" w:space="0" w:color="auto"/>
            </w:tcBorders>
            <w:vAlign w:val="center"/>
          </w:tcPr>
          <w:p w14:paraId="7040D3C0" w14:textId="77777777" w:rsidR="00F979B9" w:rsidRPr="00D71F8C" w:rsidRDefault="00F979B9" w:rsidP="002E0578">
            <w:pPr>
              <w:autoSpaceDE w:val="0"/>
              <w:autoSpaceDN w:val="0"/>
              <w:adjustRightInd w:val="0"/>
              <w:spacing w:line="360" w:lineRule="auto"/>
              <w:jc w:val="both"/>
              <w:rPr>
                <w:rFonts w:ascii="Arial" w:hAnsi="Arial" w:cs="Arial"/>
                <w:sz w:val="20"/>
                <w:szCs w:val="20"/>
              </w:rPr>
            </w:pPr>
            <w:r w:rsidRPr="00D71F8C">
              <w:rPr>
                <w:rFonts w:ascii="Arial" w:hAnsi="Arial" w:cs="Arial"/>
                <w:sz w:val="20"/>
                <w:szCs w:val="20"/>
              </w:rPr>
              <w:t>Axons form massive bundles that traverse the diencephalic-telencephalic boundary</w:t>
            </w:r>
          </w:p>
        </w:tc>
      </w:tr>
      <w:tr w:rsidR="00D71F8C" w:rsidRPr="00D71F8C" w14:paraId="37A952D2" w14:textId="77777777" w:rsidTr="002E0578">
        <w:trPr>
          <w:jc w:val="center"/>
        </w:trPr>
        <w:tc>
          <w:tcPr>
            <w:tcW w:w="1350" w:type="dxa"/>
            <w:tcBorders>
              <w:top w:val="single" w:sz="6" w:space="0" w:color="auto"/>
              <w:bottom w:val="single" w:sz="6" w:space="0" w:color="auto"/>
            </w:tcBorders>
            <w:vAlign w:val="center"/>
          </w:tcPr>
          <w:p w14:paraId="147FEA0C"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11.5-13</w:t>
            </w:r>
          </w:p>
        </w:tc>
        <w:tc>
          <w:tcPr>
            <w:tcW w:w="8000" w:type="dxa"/>
            <w:tcBorders>
              <w:top w:val="single" w:sz="6" w:space="0" w:color="auto"/>
              <w:bottom w:val="single" w:sz="6" w:space="0" w:color="auto"/>
            </w:tcBorders>
            <w:vAlign w:val="center"/>
          </w:tcPr>
          <w:p w14:paraId="0A42970C" w14:textId="77777777" w:rsidR="00F979B9" w:rsidRPr="00D71F8C" w:rsidRDefault="00F979B9" w:rsidP="002E0578">
            <w:pPr>
              <w:autoSpaceDE w:val="0"/>
              <w:autoSpaceDN w:val="0"/>
              <w:adjustRightInd w:val="0"/>
              <w:spacing w:line="360" w:lineRule="auto"/>
              <w:rPr>
                <w:rFonts w:ascii="Arial" w:hAnsi="Arial" w:cs="Arial"/>
                <w:sz w:val="20"/>
                <w:szCs w:val="20"/>
              </w:rPr>
            </w:pPr>
            <w:r w:rsidRPr="00D71F8C">
              <w:rPr>
                <w:rFonts w:ascii="HelveticaNeueLTStd-Lt" w:hAnsi="HelveticaNeueLTStd-Lt" w:cs="HelveticaNeueLTStd-Lt"/>
                <w:sz w:val="20"/>
                <w:szCs w:val="20"/>
              </w:rPr>
              <w:t>Axons pass the periventricular area at the pallial-subpallial boundary and enter intermediate zone in radiating fashion.</w:t>
            </w:r>
          </w:p>
        </w:tc>
      </w:tr>
      <w:tr w:rsidR="00D71F8C" w:rsidRPr="00D71F8C" w14:paraId="40EFAC3C" w14:textId="77777777" w:rsidTr="002E0578">
        <w:trPr>
          <w:jc w:val="center"/>
        </w:trPr>
        <w:tc>
          <w:tcPr>
            <w:tcW w:w="1350" w:type="dxa"/>
            <w:tcBorders>
              <w:top w:val="single" w:sz="6" w:space="0" w:color="auto"/>
              <w:bottom w:val="single" w:sz="6" w:space="0" w:color="auto"/>
            </w:tcBorders>
            <w:vAlign w:val="center"/>
          </w:tcPr>
          <w:p w14:paraId="75DB0340"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14-16</w:t>
            </w:r>
          </w:p>
        </w:tc>
        <w:tc>
          <w:tcPr>
            <w:tcW w:w="8000" w:type="dxa"/>
            <w:tcBorders>
              <w:top w:val="single" w:sz="6" w:space="0" w:color="auto"/>
              <w:bottom w:val="single" w:sz="6" w:space="0" w:color="auto"/>
            </w:tcBorders>
            <w:vAlign w:val="center"/>
          </w:tcPr>
          <w:p w14:paraId="6E189A98" w14:textId="77777777" w:rsidR="00F979B9" w:rsidRPr="00D71F8C" w:rsidRDefault="00F979B9" w:rsidP="002E0578">
            <w:pPr>
              <w:autoSpaceDE w:val="0"/>
              <w:autoSpaceDN w:val="0"/>
              <w:adjustRightInd w:val="0"/>
              <w:spacing w:line="360" w:lineRule="auto"/>
              <w:rPr>
                <w:rFonts w:ascii="HelveticaNeueLTStd-Lt" w:hAnsi="HelveticaNeueLTStd-Lt" w:cs="HelveticaNeueLTStd-Lt"/>
                <w:sz w:val="20"/>
                <w:szCs w:val="20"/>
              </w:rPr>
            </w:pPr>
            <w:r w:rsidRPr="00D71F8C">
              <w:rPr>
                <w:rFonts w:ascii="HelveticaNeueLTStd-Lt" w:hAnsi="HelveticaNeueLTStd-Lt" w:cs="HelveticaNeueLTStd-Lt"/>
                <w:sz w:val="20"/>
                <w:szCs w:val="20"/>
              </w:rPr>
              <w:t>Axons, aligned along the fibers from the basal forebrain, continue to grow for a short distance within the deep intermediate zone and enter the deep CP, parallel with SP expansion.</w:t>
            </w:r>
          </w:p>
        </w:tc>
      </w:tr>
      <w:tr w:rsidR="00D71F8C" w:rsidRPr="00D71F8C" w14:paraId="718B80E9" w14:textId="77777777" w:rsidTr="002E0578">
        <w:trPr>
          <w:jc w:val="center"/>
        </w:trPr>
        <w:tc>
          <w:tcPr>
            <w:tcW w:w="1350" w:type="dxa"/>
            <w:tcBorders>
              <w:top w:val="single" w:sz="6" w:space="0" w:color="auto"/>
              <w:bottom w:val="single" w:sz="6" w:space="0" w:color="auto"/>
            </w:tcBorders>
            <w:vAlign w:val="center"/>
          </w:tcPr>
          <w:p w14:paraId="45AF4CBE"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16-20</w:t>
            </w:r>
          </w:p>
        </w:tc>
        <w:tc>
          <w:tcPr>
            <w:tcW w:w="8000" w:type="dxa"/>
            <w:tcBorders>
              <w:top w:val="single" w:sz="6" w:space="0" w:color="auto"/>
              <w:bottom w:val="single" w:sz="6" w:space="0" w:color="auto"/>
            </w:tcBorders>
            <w:vAlign w:val="center"/>
          </w:tcPr>
          <w:p w14:paraId="711FF1C8" w14:textId="77777777" w:rsidR="00F979B9" w:rsidRPr="00D71F8C" w:rsidRDefault="00F979B9" w:rsidP="002E0578">
            <w:pPr>
              <w:autoSpaceDE w:val="0"/>
              <w:autoSpaceDN w:val="0"/>
              <w:adjustRightInd w:val="0"/>
              <w:spacing w:line="360" w:lineRule="auto"/>
              <w:rPr>
                <w:rFonts w:ascii="HelveticaNeueLTStd-Lt" w:hAnsi="HelveticaNeueLTStd-Lt" w:cs="HelveticaNeueLTStd-Lt"/>
                <w:sz w:val="20"/>
                <w:szCs w:val="20"/>
              </w:rPr>
            </w:pPr>
            <w:r w:rsidRPr="00D71F8C">
              <w:rPr>
                <w:rFonts w:ascii="HelveticaNeueLTStd-Lt" w:hAnsi="HelveticaNeueLTStd-Lt" w:cs="HelveticaNeueLTStd-Lt"/>
                <w:sz w:val="20"/>
                <w:szCs w:val="20"/>
              </w:rPr>
              <w:t xml:space="preserve">Axons interdigitate with callosal fibers, running shortly in the sagittal stratum and spreading through the deep SP (“waiting” phase). </w:t>
            </w:r>
          </w:p>
        </w:tc>
      </w:tr>
      <w:tr w:rsidR="00D71F8C" w:rsidRPr="00D71F8C" w14:paraId="476B5547" w14:textId="77777777" w:rsidTr="002E0578">
        <w:trPr>
          <w:trHeight w:val="377"/>
          <w:jc w:val="center"/>
        </w:trPr>
        <w:tc>
          <w:tcPr>
            <w:tcW w:w="1350" w:type="dxa"/>
            <w:tcBorders>
              <w:top w:val="single" w:sz="6" w:space="0" w:color="auto"/>
              <w:bottom w:val="single" w:sz="6" w:space="0" w:color="auto"/>
            </w:tcBorders>
            <w:vAlign w:val="center"/>
          </w:tcPr>
          <w:p w14:paraId="0FDD6335"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21-24</w:t>
            </w:r>
          </w:p>
        </w:tc>
        <w:tc>
          <w:tcPr>
            <w:tcW w:w="8000" w:type="dxa"/>
            <w:tcBorders>
              <w:top w:val="single" w:sz="6" w:space="0" w:color="auto"/>
              <w:bottom w:val="single" w:sz="6" w:space="0" w:color="auto"/>
            </w:tcBorders>
            <w:vAlign w:val="center"/>
          </w:tcPr>
          <w:p w14:paraId="3B33A5C5" w14:textId="77777777" w:rsidR="00F979B9" w:rsidRPr="00D71F8C" w:rsidRDefault="00F979B9" w:rsidP="002E0578">
            <w:pPr>
              <w:spacing w:before="100" w:line="360" w:lineRule="auto"/>
              <w:rPr>
                <w:rFonts w:ascii="HelveticaNeueLTStd-Lt" w:hAnsi="HelveticaNeueLTStd-Lt" w:cs="HelveticaNeueLTStd-Lt"/>
                <w:sz w:val="20"/>
                <w:szCs w:val="20"/>
              </w:rPr>
            </w:pPr>
            <w:r w:rsidRPr="00D71F8C">
              <w:rPr>
                <w:rFonts w:ascii="HelveticaNeueLTStd-Lt" w:hAnsi="HelveticaNeueLTStd-Lt" w:cs="HelveticaNeueLTStd-Lt"/>
                <w:sz w:val="20"/>
                <w:szCs w:val="20"/>
              </w:rPr>
              <w:t>Axons accumulate in the superficial SP below the somatosensory cortical area*</w:t>
            </w:r>
          </w:p>
        </w:tc>
      </w:tr>
      <w:tr w:rsidR="00D71F8C" w:rsidRPr="00D71F8C" w14:paraId="0E2F6AF7" w14:textId="77777777" w:rsidTr="002E0578">
        <w:trPr>
          <w:jc w:val="center"/>
        </w:trPr>
        <w:tc>
          <w:tcPr>
            <w:tcW w:w="1350" w:type="dxa"/>
            <w:tcBorders>
              <w:top w:val="single" w:sz="6" w:space="0" w:color="auto"/>
              <w:bottom w:val="single" w:sz="6" w:space="0" w:color="auto"/>
            </w:tcBorders>
            <w:vAlign w:val="center"/>
          </w:tcPr>
          <w:p w14:paraId="7BB34F0B"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25-26</w:t>
            </w:r>
          </w:p>
        </w:tc>
        <w:tc>
          <w:tcPr>
            <w:tcW w:w="8000" w:type="dxa"/>
            <w:tcBorders>
              <w:top w:val="single" w:sz="6" w:space="0" w:color="auto"/>
              <w:bottom w:val="single" w:sz="6" w:space="0" w:color="auto"/>
            </w:tcBorders>
            <w:vAlign w:val="center"/>
          </w:tcPr>
          <w:p w14:paraId="28EC596D" w14:textId="77777777" w:rsidR="00F979B9" w:rsidRPr="00D71F8C" w:rsidRDefault="00F979B9" w:rsidP="002E0578">
            <w:pPr>
              <w:spacing w:before="100" w:line="360" w:lineRule="auto"/>
              <w:rPr>
                <w:rFonts w:ascii="Arial" w:hAnsi="Arial" w:cs="Arial"/>
                <w:sz w:val="20"/>
                <w:szCs w:val="20"/>
              </w:rPr>
            </w:pPr>
            <w:r w:rsidRPr="00D71F8C">
              <w:rPr>
                <w:rFonts w:ascii="HelveticaNeueLTStd-Lt" w:hAnsi="HelveticaNeueLTStd-Lt" w:cs="HelveticaNeueLTStd-Lt"/>
                <w:sz w:val="20"/>
                <w:szCs w:val="20"/>
              </w:rPr>
              <w:t>Axons penetrate the CP concomitantly with its initial lamination.</w:t>
            </w:r>
          </w:p>
        </w:tc>
      </w:tr>
      <w:tr w:rsidR="00D71F8C" w:rsidRPr="00D71F8C" w14:paraId="4387CCD9" w14:textId="77777777" w:rsidTr="002E0578">
        <w:trPr>
          <w:jc w:val="center"/>
        </w:trPr>
        <w:tc>
          <w:tcPr>
            <w:tcW w:w="1350" w:type="dxa"/>
            <w:tcBorders>
              <w:top w:val="single" w:sz="6" w:space="0" w:color="auto"/>
              <w:bottom w:val="single" w:sz="12" w:space="0" w:color="auto"/>
            </w:tcBorders>
            <w:vAlign w:val="center"/>
          </w:tcPr>
          <w:p w14:paraId="4C273A54"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sz w:val="20"/>
                <w:szCs w:val="20"/>
              </w:rPr>
              <w:t>27-36</w:t>
            </w:r>
          </w:p>
        </w:tc>
        <w:tc>
          <w:tcPr>
            <w:tcW w:w="8000" w:type="dxa"/>
            <w:tcBorders>
              <w:top w:val="single" w:sz="6" w:space="0" w:color="auto"/>
              <w:bottom w:val="single" w:sz="12" w:space="0" w:color="auto"/>
            </w:tcBorders>
            <w:vAlign w:val="center"/>
          </w:tcPr>
          <w:p w14:paraId="17F595FD" w14:textId="77777777" w:rsidR="00F979B9" w:rsidRPr="00D71F8C" w:rsidRDefault="00F979B9" w:rsidP="002E0578">
            <w:pPr>
              <w:autoSpaceDE w:val="0"/>
              <w:autoSpaceDN w:val="0"/>
              <w:adjustRightInd w:val="0"/>
              <w:spacing w:line="360" w:lineRule="auto"/>
              <w:rPr>
                <w:rFonts w:ascii="Arial" w:hAnsi="Arial" w:cs="Arial"/>
                <w:sz w:val="20"/>
                <w:szCs w:val="20"/>
              </w:rPr>
            </w:pPr>
            <w:r w:rsidRPr="00D71F8C">
              <w:rPr>
                <w:rFonts w:ascii="HelveticaNeueLTStd-Lt" w:hAnsi="HelveticaNeueLTStd-Lt" w:cs="HelveticaNeueLTStd-Lt"/>
                <w:sz w:val="20"/>
                <w:szCs w:val="20"/>
              </w:rPr>
              <w:t xml:space="preserve">Reactivity of the CP exhibits an uneven pattern suggestive of vertical banding, showing a basic 6-layer pattern. Settlement stage. </w:t>
            </w:r>
          </w:p>
        </w:tc>
      </w:tr>
    </w:tbl>
    <w:p w14:paraId="4BCA74AD" w14:textId="77777777" w:rsidR="00F979B9" w:rsidRPr="00D71F8C" w:rsidRDefault="00F979B9" w:rsidP="00F979B9">
      <w:pPr>
        <w:spacing w:before="100" w:line="360" w:lineRule="auto"/>
        <w:rPr>
          <w:rFonts w:ascii="Arial" w:hAnsi="Arial" w:cs="Arial"/>
          <w:sz w:val="20"/>
          <w:szCs w:val="20"/>
        </w:rPr>
      </w:pPr>
      <w:r w:rsidRPr="00D71F8C">
        <w:rPr>
          <w:rFonts w:ascii="Arial" w:hAnsi="Arial" w:cs="Arial"/>
          <w:sz w:val="20"/>
          <w:szCs w:val="20"/>
        </w:rPr>
        <w:t>* This occurs 2 weeks earlier than in the frontal and occipital cortices.</w:t>
      </w:r>
    </w:p>
    <w:p w14:paraId="30EAF481" w14:textId="77777777" w:rsidR="00F979B9" w:rsidRPr="00D71F8C" w:rsidRDefault="00F979B9" w:rsidP="00F979B9">
      <w:pPr>
        <w:spacing w:before="100" w:line="360" w:lineRule="auto"/>
        <w:jc w:val="center"/>
        <w:rPr>
          <w:rFonts w:ascii="Arial" w:hAnsi="Arial" w:cs="Arial"/>
          <w:b/>
          <w:sz w:val="24"/>
        </w:rPr>
      </w:pPr>
    </w:p>
    <w:p w14:paraId="40B2C2AB" w14:textId="77777777" w:rsidR="00F979B9" w:rsidRPr="00D71F8C" w:rsidRDefault="00F979B9" w:rsidP="00F979B9">
      <w:pPr>
        <w:spacing w:before="100" w:line="360" w:lineRule="auto"/>
        <w:jc w:val="center"/>
        <w:rPr>
          <w:rFonts w:ascii="Arial" w:hAnsi="Arial" w:cs="Arial"/>
        </w:rPr>
      </w:pPr>
      <w:r w:rsidRPr="00D71F8C">
        <w:rPr>
          <w:noProof/>
        </w:rPr>
        <w:lastRenderedPageBreak/>
        <w:drawing>
          <wp:inline distT="0" distB="0" distL="0" distR="0" wp14:anchorId="46ED1083" wp14:editId="0F9F5E3D">
            <wp:extent cx="5943600" cy="2847975"/>
            <wp:effectExtent l="0" t="0" r="0" b="0"/>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5943600" cy="2847975"/>
                    </a:xfrm>
                    <a:prstGeom prst="rect">
                      <a:avLst/>
                    </a:prstGeom>
                  </pic:spPr>
                </pic:pic>
              </a:graphicData>
            </a:graphic>
          </wp:inline>
        </w:drawing>
      </w:r>
    </w:p>
    <w:p w14:paraId="24E2F0BD" w14:textId="5D3CE79D" w:rsidR="00F979B9" w:rsidRPr="00D71F8C" w:rsidRDefault="00F979B9" w:rsidP="00F979B9">
      <w:pPr>
        <w:spacing w:before="100" w:line="240" w:lineRule="auto"/>
        <w:jc w:val="both"/>
        <w:rPr>
          <w:rFonts w:ascii="Arial" w:eastAsiaTheme="minorEastAsia" w:hAnsi="Arial" w:cs="Arial"/>
          <w:sz w:val="20"/>
          <w:szCs w:val="20"/>
        </w:rPr>
      </w:pPr>
      <w:r w:rsidRPr="00D71F8C">
        <w:rPr>
          <w:rFonts w:ascii="Arial" w:hAnsi="Arial" w:cs="Arial"/>
          <w:b/>
          <w:sz w:val="20"/>
          <w:szCs w:val="20"/>
        </w:rPr>
        <w:t>Fig</w:t>
      </w:r>
      <w:r w:rsidR="001C5835" w:rsidRPr="00D71F8C">
        <w:rPr>
          <w:rFonts w:ascii="Arial" w:hAnsi="Arial" w:cs="Arial"/>
          <w:b/>
          <w:sz w:val="20"/>
          <w:szCs w:val="20"/>
        </w:rPr>
        <w:t>.</w:t>
      </w:r>
      <w:r w:rsidRPr="00D71F8C">
        <w:rPr>
          <w:rFonts w:ascii="Arial" w:hAnsi="Arial" w:cs="Arial"/>
          <w:b/>
          <w:sz w:val="20"/>
          <w:szCs w:val="20"/>
        </w:rPr>
        <w:t xml:space="preserve"> S1</w:t>
      </w:r>
      <w:r w:rsidRPr="00D71F8C">
        <w:rPr>
          <w:rFonts w:ascii="Arial" w:hAnsi="Arial" w:cs="Arial"/>
          <w:sz w:val="20"/>
          <w:szCs w:val="20"/>
        </w:rPr>
        <w:t xml:space="preserve"> (a) The impact of varying simulation counts on fiber density within gyri and sulci regions. Results demonstrate stability in fiber density beyond a threshold of 10 simulations. (b) Relationship between the number of fiber bundles and the resulting fiber density. The number of fibers doesn’t significantly impact the fiber density within gyri and sulci. The used parameters in these figures are: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f</m:t>
            </m:r>
          </m:sub>
        </m:sSub>
        <m:r>
          <w:rPr>
            <w:rFonts w:ascii="Cambria Math" w:eastAsiaTheme="minorEastAsia" w:hAnsi="Cambria Math" w:cs="Arial"/>
            <w:sz w:val="20"/>
            <w:szCs w:val="20"/>
          </w:rPr>
          <m:t>/</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s</m:t>
            </m:r>
          </m:sub>
        </m:sSub>
        <m:r>
          <w:rPr>
            <w:rFonts w:ascii="Cambria Math" w:eastAsiaTheme="minorEastAsia" w:hAnsi="Cambria Math" w:cs="Arial"/>
            <w:sz w:val="20"/>
            <w:szCs w:val="20"/>
          </w:rPr>
          <m:t>=2</m:t>
        </m:r>
      </m:oMath>
      <w:r w:rsidRPr="00D71F8C">
        <w:rPr>
          <w:rFonts w:ascii="Arial" w:eastAsiaTheme="minorEastAsia" w:hAnsi="Arial" w:cs="Arial"/>
          <w:sz w:val="20"/>
          <w:szCs w:val="20"/>
        </w:rPr>
        <w:t xml:space="preserv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c</m:t>
            </m:r>
          </m:sub>
        </m:sSub>
        <m:r>
          <w:rPr>
            <w:rFonts w:ascii="Cambria Math" w:eastAsiaTheme="minorEastAsia" w:hAnsi="Cambria Math" w:cs="Arial"/>
            <w:sz w:val="20"/>
            <w:szCs w:val="20"/>
          </w:rPr>
          <m:t>/</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s</m:t>
            </m:r>
          </m:sub>
        </m:sSub>
        <m:r>
          <w:rPr>
            <w:rFonts w:ascii="Cambria Math" w:eastAsiaTheme="minorEastAsia" w:hAnsi="Cambria Math" w:cs="Arial"/>
            <w:sz w:val="20"/>
            <w:szCs w:val="20"/>
          </w:rPr>
          <m:t>=2</m:t>
        </m:r>
      </m:oMath>
      <w:r w:rsidRPr="00D71F8C">
        <w:rPr>
          <w:rFonts w:ascii="Arial" w:eastAsiaTheme="minorEastAsia" w:hAnsi="Arial" w:cs="Arial"/>
          <w:sz w:val="20"/>
          <w:szCs w:val="20"/>
        </w:rPr>
        <w:t xml:space="preserve">, </w:t>
      </w:r>
      <m:oMath>
        <m:r>
          <w:rPr>
            <w:rFonts w:ascii="Cambria Math" w:hAnsi="Cambria Math" w:cs="Arial"/>
            <w:sz w:val="20"/>
            <w:szCs w:val="20"/>
          </w:rPr>
          <m:t xml:space="preserve">a=0.015 </m:t>
        </m:r>
        <m:sSup>
          <m:sSupPr>
            <m:ctrlPr>
              <w:rPr>
                <w:rFonts w:ascii="Cambria Math" w:hAnsi="Cambria Math" w:cs="Arial"/>
                <w:bCs/>
                <w:i/>
                <w:sz w:val="20"/>
                <w:szCs w:val="20"/>
              </w:rPr>
            </m:ctrlPr>
          </m:sSupPr>
          <m:e>
            <m:r>
              <w:rPr>
                <w:rFonts w:ascii="Cambria Math" w:hAnsi="Cambria Math" w:cs="Arial"/>
                <w:sz w:val="20"/>
                <w:szCs w:val="20"/>
              </w:rPr>
              <m:t>mm Pa</m:t>
            </m:r>
          </m:e>
          <m:sup>
            <m:r>
              <w:rPr>
                <w:rFonts w:ascii="Cambria Math" w:hAnsi="Cambria Math" w:cs="Arial"/>
                <w:sz w:val="20"/>
                <w:szCs w:val="20"/>
              </w:rPr>
              <m:t>-1</m:t>
            </m:r>
          </m:sup>
        </m:sSup>
        <m:r>
          <w:rPr>
            <w:rFonts w:ascii="Cambria Math" w:hAnsi="Cambria Math" w:cs="Arial"/>
            <w:sz w:val="20"/>
            <w:szCs w:val="20"/>
          </w:rPr>
          <m:t xml:space="preserve"> </m:t>
        </m:r>
        <m:sSup>
          <m:sSupPr>
            <m:ctrlPr>
              <w:rPr>
                <w:rFonts w:ascii="Cambria Math" w:hAnsi="Cambria Math" w:cs="Arial"/>
                <w:bCs/>
                <w:i/>
                <w:sz w:val="20"/>
                <w:szCs w:val="20"/>
              </w:rPr>
            </m:ctrlPr>
          </m:sSupPr>
          <m:e>
            <m:r>
              <w:rPr>
                <w:rFonts w:ascii="Cambria Math" w:hAnsi="Cambria Math" w:cs="Arial"/>
                <w:sz w:val="20"/>
                <w:szCs w:val="20"/>
              </w:rPr>
              <m:t>d</m:t>
            </m:r>
          </m:e>
          <m:sup>
            <m:r>
              <w:rPr>
                <w:rFonts w:ascii="Cambria Math" w:hAnsi="Cambria Math" w:cs="Arial"/>
                <w:sz w:val="20"/>
                <w:szCs w:val="20"/>
              </w:rPr>
              <m:t>-1</m:t>
            </m:r>
          </m:sup>
        </m:sSup>
      </m:oMath>
      <w:r w:rsidRPr="00D71F8C">
        <w:rPr>
          <w:rFonts w:ascii="Arial" w:eastAsiaTheme="minorEastAsia" w:hAnsi="Arial" w:cs="Arial"/>
          <w:bCs/>
          <w:sz w:val="20"/>
          <w:szCs w:val="20"/>
        </w:rPr>
        <w:t xml:space="preserve">, </w:t>
      </w:r>
      <m:oMath>
        <m:sSup>
          <m:sSupPr>
            <m:ctrlPr>
              <w:rPr>
                <w:rFonts w:ascii="Cambria Math" w:eastAsiaTheme="minorEastAsia" w:hAnsi="Cambria Math" w:cs="Arial"/>
                <w:i/>
                <w:sz w:val="20"/>
                <w:szCs w:val="20"/>
              </w:rPr>
            </m:ctrlPr>
          </m:sSupPr>
          <m:e>
            <m:r>
              <w:rPr>
                <w:rFonts w:ascii="Cambria Math" w:eastAsiaTheme="minorEastAsia" w:hAnsi="Cambria Math" w:cs="Arial"/>
                <w:sz w:val="20"/>
                <w:szCs w:val="20"/>
              </w:rPr>
              <m:t>G</m:t>
            </m:r>
          </m:e>
          <m:sup>
            <m:r>
              <w:rPr>
                <w:rFonts w:ascii="Cambria Math" w:eastAsiaTheme="minorEastAsia" w:hAnsi="Cambria Math" w:cs="Arial"/>
                <w:sz w:val="20"/>
                <w:szCs w:val="20"/>
              </w:rPr>
              <m:t>axn</m:t>
            </m:r>
          </m:sup>
        </m:sSup>
        <m:r>
          <w:rPr>
            <w:rFonts w:ascii="Cambria Math" w:eastAsiaTheme="minorEastAsia" w:hAnsi="Cambria Math" w:cs="Arial"/>
            <w:sz w:val="20"/>
            <w:szCs w:val="20"/>
          </w:rPr>
          <m:t>=0.8 mm/d</m:t>
        </m:r>
      </m:oMath>
      <w:r w:rsidRPr="00D71F8C">
        <w:rPr>
          <w:rFonts w:ascii="Arial" w:eastAsiaTheme="minorEastAsia" w:hAnsi="Arial" w:cs="Arial"/>
          <w:sz w:val="20"/>
          <w:szCs w:val="20"/>
        </w:rPr>
        <w:t>.</w:t>
      </w:r>
    </w:p>
    <w:p w14:paraId="4DFD05CD" w14:textId="7ED46C26" w:rsidR="00153336" w:rsidRPr="00D71F8C" w:rsidRDefault="00153336" w:rsidP="00F979B9">
      <w:pPr>
        <w:spacing w:before="100" w:line="240" w:lineRule="auto"/>
        <w:jc w:val="both"/>
        <w:rPr>
          <w:rFonts w:ascii="Arial" w:eastAsiaTheme="minorEastAsia" w:hAnsi="Arial" w:cs="Arial"/>
          <w:sz w:val="20"/>
          <w:szCs w:val="20"/>
        </w:rPr>
      </w:pPr>
    </w:p>
    <w:p w14:paraId="4199F61C" w14:textId="5CE43BDB" w:rsidR="00153336" w:rsidRPr="00D71F8C" w:rsidRDefault="00FD3B44" w:rsidP="00FD3B44">
      <w:pPr>
        <w:jc w:val="center"/>
        <w:rPr>
          <w:rFonts w:ascii="Arial" w:hAnsi="Arial" w:cs="Arial"/>
          <w:shd w:val="clear" w:color="auto" w:fill="FFFFFF"/>
        </w:rPr>
      </w:pPr>
      <w:r w:rsidRPr="00D71F8C">
        <w:rPr>
          <w:noProof/>
        </w:rPr>
        <w:drawing>
          <wp:inline distT="0" distB="0" distL="0" distR="0" wp14:anchorId="3AD93A2B" wp14:editId="0F569A6E">
            <wp:extent cx="5943600" cy="306705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943600" cy="3067050"/>
                    </a:xfrm>
                    <a:prstGeom prst="rect">
                      <a:avLst/>
                    </a:prstGeom>
                  </pic:spPr>
                </pic:pic>
              </a:graphicData>
            </a:graphic>
          </wp:inline>
        </w:drawing>
      </w:r>
    </w:p>
    <w:p w14:paraId="5E06A416" w14:textId="619746D5" w:rsidR="00153336" w:rsidRPr="00D71F8C" w:rsidRDefault="00153336" w:rsidP="00153336">
      <w:pPr>
        <w:jc w:val="both"/>
        <w:rPr>
          <w:rFonts w:ascii="Arial" w:eastAsiaTheme="minorEastAsia" w:hAnsi="Arial" w:cs="Arial"/>
          <w:sz w:val="20"/>
          <w:szCs w:val="20"/>
        </w:rPr>
      </w:pPr>
      <w:r w:rsidRPr="00D71F8C">
        <w:rPr>
          <w:rFonts w:ascii="Arial" w:hAnsi="Arial" w:cs="Arial"/>
          <w:b/>
          <w:bCs/>
          <w:sz w:val="20"/>
          <w:szCs w:val="20"/>
          <w:shd w:val="clear" w:color="auto" w:fill="FFFFFF"/>
        </w:rPr>
        <w:t>Fig</w:t>
      </w:r>
      <w:r w:rsidR="001C5835" w:rsidRPr="00D71F8C">
        <w:rPr>
          <w:rFonts w:ascii="Arial" w:hAnsi="Arial" w:cs="Arial"/>
          <w:b/>
          <w:bCs/>
          <w:sz w:val="20"/>
          <w:szCs w:val="20"/>
          <w:shd w:val="clear" w:color="auto" w:fill="FFFFFF"/>
        </w:rPr>
        <w:t>.</w:t>
      </w:r>
      <w:r w:rsidRPr="00D71F8C">
        <w:rPr>
          <w:rFonts w:ascii="Arial" w:hAnsi="Arial" w:cs="Arial"/>
          <w:b/>
          <w:bCs/>
          <w:sz w:val="20"/>
          <w:szCs w:val="20"/>
          <w:shd w:val="clear" w:color="auto" w:fill="FFFFFF"/>
        </w:rPr>
        <w:t xml:space="preserve"> S2</w:t>
      </w:r>
      <w:r w:rsidRPr="00D71F8C">
        <w:rPr>
          <w:rFonts w:ascii="Arial" w:hAnsi="Arial" w:cs="Arial"/>
          <w:sz w:val="20"/>
          <w:szCs w:val="20"/>
          <w:shd w:val="clear" w:color="auto" w:fill="FFFFFF"/>
        </w:rPr>
        <w:t xml:space="preserve"> </w:t>
      </w:r>
      <w:bookmarkStart w:id="0" w:name="_Hlk175150576"/>
      <w:r w:rsidRPr="00D71F8C">
        <w:rPr>
          <w:rFonts w:ascii="Arial" w:hAnsi="Arial" w:cs="Arial"/>
          <w:sz w:val="20"/>
          <w:szCs w:val="20"/>
        </w:rPr>
        <w:t xml:space="preserve">Dynamic growth and pathfinding of fibers within a growing and folding 2D circular system for two different growth rates (a) </w:t>
      </w:r>
      <m:oMath>
        <m:r>
          <m:rPr>
            <m:sty m:val="p"/>
          </m:rPr>
          <w:rPr>
            <w:rFonts w:ascii="Cambria Math" w:hAnsi="Cambria Math" w:cs="Arial"/>
            <w:sz w:val="20"/>
            <w:szCs w:val="20"/>
          </w:rPr>
          <m:t xml:space="preserve">0.6 </m:t>
        </m:r>
        <m:r>
          <w:rPr>
            <w:rFonts w:ascii="Cambria Math" w:hAnsi="Cambria Math" w:cs="Arial"/>
            <w:sz w:val="20"/>
            <w:szCs w:val="20"/>
          </w:rPr>
          <m:t>mm</m:t>
        </m:r>
        <m:r>
          <m:rPr>
            <m:sty m:val="p"/>
          </m:rPr>
          <w:rPr>
            <w:rFonts w:ascii="Cambria Math" w:hAnsi="Cambria Math" w:cs="Arial"/>
            <w:sz w:val="20"/>
            <w:szCs w:val="20"/>
          </w:rPr>
          <m:t>/</m:t>
        </m:r>
        <m:r>
          <w:rPr>
            <w:rFonts w:ascii="Cambria Math" w:hAnsi="Cambria Math" w:cs="Arial"/>
            <w:sz w:val="20"/>
            <w:szCs w:val="20"/>
          </w:rPr>
          <m:t>d</m:t>
        </m:r>
      </m:oMath>
      <w:r w:rsidRPr="00D71F8C">
        <w:rPr>
          <w:rFonts w:ascii="Arial" w:hAnsi="Arial" w:cs="Arial"/>
          <w:sz w:val="20"/>
          <w:szCs w:val="20"/>
        </w:rPr>
        <w:t xml:space="preserve">, and (b) </w:t>
      </w:r>
      <m:oMath>
        <m:r>
          <m:rPr>
            <m:sty m:val="p"/>
          </m:rPr>
          <w:rPr>
            <w:rFonts w:ascii="Cambria Math" w:hAnsi="Cambria Math" w:cs="Arial"/>
            <w:sz w:val="20"/>
            <w:szCs w:val="20"/>
          </w:rPr>
          <m:t xml:space="preserve">1.0 </m:t>
        </m:r>
        <m:r>
          <w:rPr>
            <w:rFonts w:ascii="Cambria Math" w:hAnsi="Cambria Math" w:cs="Arial"/>
            <w:sz w:val="20"/>
            <w:szCs w:val="20"/>
          </w:rPr>
          <m:t>mm</m:t>
        </m:r>
        <m:r>
          <m:rPr>
            <m:sty m:val="p"/>
          </m:rPr>
          <w:rPr>
            <w:rFonts w:ascii="Cambria Math" w:hAnsi="Cambria Math" w:cs="Arial"/>
            <w:sz w:val="20"/>
            <w:szCs w:val="20"/>
          </w:rPr>
          <m:t>/</m:t>
        </m:r>
        <m:r>
          <w:rPr>
            <w:rFonts w:ascii="Cambria Math" w:hAnsi="Cambria Math" w:cs="Arial"/>
            <w:sz w:val="20"/>
            <w:szCs w:val="20"/>
          </w:rPr>
          <m:t>d</m:t>
        </m:r>
      </m:oMath>
      <w:r w:rsidRPr="00D71F8C">
        <w:rPr>
          <w:rFonts w:ascii="Arial" w:hAnsi="Arial" w:cs="Arial"/>
          <w:sz w:val="20"/>
          <w:szCs w:val="20"/>
        </w:rPr>
        <w:t xml:space="preserve">. </w:t>
      </w:r>
      <w:bookmarkStart w:id="1" w:name="_Hlk175044914"/>
      <w:r w:rsidRPr="00D71F8C">
        <w:rPr>
          <w:rFonts w:ascii="Arial" w:hAnsi="Arial" w:cs="Arial"/>
          <w:sz w:val="20"/>
          <w:szCs w:val="20"/>
        </w:rPr>
        <w:t>As shown</w:t>
      </w:r>
      <w:r w:rsidRPr="00D71F8C">
        <w:rPr>
          <w:rFonts w:ascii="Arial" w:hAnsi="Arial" w:cs="Arial"/>
          <w:sz w:val="20"/>
          <w:szCs w:val="20"/>
          <w:shd w:val="clear" w:color="auto" w:fill="FFFFFF"/>
        </w:rPr>
        <w:t>, the fibers grow and orient more toward the gyri than the sulci, consistent with the behavior observed in the rectangular models.</w:t>
      </w:r>
      <w:bookmarkEnd w:id="1"/>
      <w:bookmarkEnd w:id="0"/>
    </w:p>
    <w:p w14:paraId="706D7D06" w14:textId="33624D49" w:rsidR="00153336" w:rsidRPr="00D71F8C" w:rsidRDefault="00153336" w:rsidP="00F979B9">
      <w:pPr>
        <w:spacing w:before="100" w:line="240" w:lineRule="auto"/>
        <w:jc w:val="both"/>
        <w:rPr>
          <w:rFonts w:ascii="Arial" w:eastAsiaTheme="minorEastAsia" w:hAnsi="Arial" w:cs="Arial"/>
          <w:sz w:val="20"/>
          <w:szCs w:val="20"/>
        </w:rPr>
      </w:pPr>
    </w:p>
    <w:p w14:paraId="5D3BB7F8" w14:textId="570D85C0" w:rsidR="00153336" w:rsidRPr="00D71F8C" w:rsidRDefault="00153336" w:rsidP="00F979B9">
      <w:pPr>
        <w:spacing w:before="100" w:line="240" w:lineRule="auto"/>
        <w:jc w:val="both"/>
        <w:rPr>
          <w:rFonts w:ascii="Arial" w:eastAsiaTheme="minorEastAsia" w:hAnsi="Arial" w:cs="Arial"/>
          <w:sz w:val="20"/>
          <w:szCs w:val="20"/>
        </w:rPr>
      </w:pPr>
    </w:p>
    <w:p w14:paraId="3CD0FCBA" w14:textId="7052B356" w:rsidR="00153336" w:rsidRPr="00D71F8C" w:rsidRDefault="00463372" w:rsidP="007A7F82">
      <w:pPr>
        <w:spacing w:before="100" w:line="240" w:lineRule="auto"/>
        <w:jc w:val="center"/>
        <w:rPr>
          <w:rFonts w:ascii="Arial" w:eastAsiaTheme="minorEastAsia" w:hAnsi="Arial" w:cs="Arial"/>
          <w:sz w:val="20"/>
          <w:szCs w:val="20"/>
        </w:rPr>
      </w:pPr>
      <w:r w:rsidRPr="00D71F8C">
        <w:rPr>
          <w:noProof/>
        </w:rPr>
        <w:drawing>
          <wp:inline distT="0" distB="0" distL="0" distR="0" wp14:anchorId="2FB6D671" wp14:editId="67308191">
            <wp:extent cx="5788714" cy="3108960"/>
            <wp:effectExtent l="0" t="0" r="254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88714" cy="3108960"/>
                    </a:xfrm>
                    <a:prstGeom prst="rect">
                      <a:avLst/>
                    </a:prstGeom>
                  </pic:spPr>
                </pic:pic>
              </a:graphicData>
            </a:graphic>
          </wp:inline>
        </w:drawing>
      </w:r>
    </w:p>
    <w:p w14:paraId="18CEB5C0" w14:textId="73E00039" w:rsidR="007A7F82" w:rsidRPr="00D71F8C" w:rsidRDefault="007A7F82" w:rsidP="007A7F82">
      <w:pPr>
        <w:jc w:val="both"/>
        <w:rPr>
          <w:rFonts w:ascii="Arial" w:eastAsiaTheme="minorEastAsia" w:hAnsi="Arial" w:cs="Arial"/>
          <w:sz w:val="20"/>
          <w:szCs w:val="20"/>
          <w:lang w:eastAsia="zh-CN"/>
        </w:rPr>
      </w:pPr>
      <w:r w:rsidRPr="00D71F8C">
        <w:rPr>
          <w:rFonts w:ascii="Arial" w:eastAsiaTheme="minorEastAsia" w:hAnsi="Arial" w:cs="Arial"/>
          <w:b/>
          <w:bCs/>
          <w:sz w:val="20"/>
          <w:szCs w:val="20"/>
          <w:lang w:eastAsia="zh-CN"/>
        </w:rPr>
        <w:t>Fig</w:t>
      </w:r>
      <w:r w:rsidR="001C5835" w:rsidRPr="00D71F8C">
        <w:rPr>
          <w:rFonts w:ascii="Arial" w:eastAsiaTheme="minorEastAsia" w:hAnsi="Arial" w:cs="Arial"/>
          <w:b/>
          <w:bCs/>
          <w:sz w:val="20"/>
          <w:szCs w:val="20"/>
          <w:lang w:eastAsia="zh-CN"/>
        </w:rPr>
        <w:t>.</w:t>
      </w:r>
      <w:r w:rsidRPr="00D71F8C">
        <w:rPr>
          <w:rFonts w:ascii="Arial" w:eastAsiaTheme="minorEastAsia" w:hAnsi="Arial" w:cs="Arial"/>
          <w:b/>
          <w:bCs/>
          <w:sz w:val="20"/>
          <w:szCs w:val="20"/>
          <w:lang w:eastAsia="zh-CN"/>
        </w:rPr>
        <w:t xml:space="preserve"> S3</w:t>
      </w:r>
      <w:r w:rsidRPr="00D71F8C">
        <w:rPr>
          <w:rFonts w:ascii="Arial" w:eastAsiaTheme="minorEastAsia" w:hAnsi="Arial" w:cs="Arial"/>
          <w:sz w:val="20"/>
          <w:szCs w:val="20"/>
          <w:lang w:eastAsia="zh-CN"/>
        </w:rPr>
        <w:t xml:space="preserve"> Cortical folding and </w:t>
      </w:r>
      <w:r w:rsidR="00463372" w:rsidRPr="00D71F8C">
        <w:rPr>
          <w:rFonts w:ascii="Arial" w:eastAsiaTheme="minorEastAsia" w:hAnsi="Arial" w:cs="Arial"/>
          <w:sz w:val="20"/>
          <w:szCs w:val="20"/>
          <w:lang w:eastAsia="zh-CN"/>
        </w:rPr>
        <w:t>normalized</w:t>
      </w:r>
      <w:r w:rsidRPr="00D71F8C">
        <w:rPr>
          <w:rFonts w:ascii="Arial" w:eastAsiaTheme="minorEastAsia" w:hAnsi="Arial" w:cs="Arial"/>
          <w:sz w:val="20"/>
          <w:szCs w:val="20"/>
          <w:lang w:eastAsia="zh-CN"/>
        </w:rPr>
        <w:t xml:space="preserve"> maximum principal stress map for an initial cortex layer thickness of (a) 1.5 mm, and (b) 3 mm. In both scenarios, all other parameters remained constant (</w:t>
      </w:r>
      <m:oMath>
        <m:sSup>
          <m:sSupPr>
            <m:ctrlPr>
              <w:rPr>
                <w:rFonts w:ascii="Cambria Math" w:eastAsiaTheme="minorEastAsia" w:hAnsi="Cambria Math" w:cs="Arial"/>
                <w:sz w:val="20"/>
                <w:szCs w:val="20"/>
                <w:lang w:eastAsia="zh-CN"/>
              </w:rPr>
            </m:ctrlPr>
          </m:sSupPr>
          <m:e>
            <m:r>
              <w:rPr>
                <w:rFonts w:ascii="Cambria Math" w:eastAsiaTheme="minorEastAsia" w:hAnsi="Cambria Math" w:cs="Arial"/>
                <w:sz w:val="20"/>
                <w:szCs w:val="20"/>
                <w:lang w:eastAsia="zh-CN"/>
              </w:rPr>
              <m:t>G</m:t>
            </m:r>
          </m:e>
          <m:sup>
            <m:r>
              <w:rPr>
                <w:rFonts w:ascii="Cambria Math" w:eastAsiaTheme="minorEastAsia" w:hAnsi="Cambria Math" w:cs="Arial"/>
                <w:sz w:val="20"/>
                <w:szCs w:val="20"/>
                <w:lang w:eastAsia="zh-CN"/>
              </w:rPr>
              <m:t>axn</m:t>
            </m:r>
          </m:sup>
        </m:sSup>
        <m:r>
          <m:rPr>
            <m:sty m:val="p"/>
          </m:rPr>
          <w:rPr>
            <w:rFonts w:ascii="Cambria Math" w:eastAsiaTheme="minorEastAsia" w:hAnsi="Cambria Math" w:cs="Arial"/>
            <w:sz w:val="20"/>
            <w:szCs w:val="20"/>
            <w:lang w:eastAsia="zh-CN"/>
          </w:rPr>
          <m:t xml:space="preserve">=0.8 </m:t>
        </m:r>
        <m:r>
          <w:rPr>
            <w:rFonts w:ascii="Cambria Math" w:eastAsiaTheme="minorEastAsia" w:hAnsi="Cambria Math" w:cs="Arial"/>
            <w:sz w:val="20"/>
            <w:szCs w:val="20"/>
            <w:lang w:eastAsia="zh-CN"/>
          </w:rPr>
          <m:t>mm</m:t>
        </m:r>
        <m:r>
          <m:rPr>
            <m:sty m:val="p"/>
          </m:rPr>
          <w:rPr>
            <w:rFonts w:ascii="Cambria Math" w:eastAsiaTheme="minorEastAsia" w:hAnsi="Cambria Math" w:cs="Arial"/>
            <w:sz w:val="20"/>
            <w:szCs w:val="20"/>
            <w:lang w:eastAsia="zh-CN"/>
          </w:rPr>
          <m:t>/</m:t>
        </m:r>
        <m:r>
          <w:rPr>
            <w:rFonts w:ascii="Cambria Math" w:eastAsiaTheme="minorEastAsia" w:hAnsi="Cambria Math" w:cs="Arial"/>
            <w:sz w:val="20"/>
            <w:szCs w:val="20"/>
            <w:lang w:eastAsia="zh-CN"/>
          </w:rPr>
          <m:t>d</m:t>
        </m:r>
      </m:oMath>
      <w:r w:rsidRPr="00D71F8C">
        <w:rPr>
          <w:rFonts w:ascii="Arial" w:eastAsiaTheme="minorEastAsia" w:hAnsi="Arial" w:cs="Arial"/>
          <w:sz w:val="20"/>
          <w:szCs w:val="20"/>
          <w:lang w:eastAsia="zh-CN"/>
        </w:rPr>
        <w:t xml:space="preserve">, </w:t>
      </w:r>
      <m:oMath>
        <m:sSub>
          <m:sSubPr>
            <m:ctrlPr>
              <w:rPr>
                <w:rFonts w:ascii="Cambria Math" w:eastAsiaTheme="minorEastAsia" w:hAnsi="Cambria Math" w:cs="Arial"/>
                <w:sz w:val="20"/>
                <w:szCs w:val="20"/>
                <w:lang w:eastAsia="zh-CN"/>
              </w:rPr>
            </m:ctrlPr>
          </m:sSubPr>
          <m:e>
            <m:r>
              <w:rPr>
                <w:rFonts w:ascii="Cambria Math" w:eastAsiaTheme="minorEastAsia" w:hAnsi="Cambria Math" w:cs="Arial"/>
                <w:sz w:val="20"/>
                <w:szCs w:val="20"/>
                <w:lang w:eastAsia="zh-CN"/>
              </w:rPr>
              <m:t>μ</m:t>
            </m:r>
          </m:e>
          <m:sub>
            <m:r>
              <w:rPr>
                <w:rFonts w:ascii="Cambria Math" w:eastAsiaTheme="minorEastAsia" w:hAnsi="Cambria Math" w:cs="Arial"/>
                <w:sz w:val="20"/>
                <w:szCs w:val="20"/>
                <w:lang w:eastAsia="zh-CN"/>
              </w:rPr>
              <m:t>c</m:t>
            </m:r>
          </m:sub>
        </m:sSub>
        <m:r>
          <m:rPr>
            <m:sty m:val="p"/>
          </m:rPr>
          <w:rPr>
            <w:rFonts w:ascii="Cambria Math" w:eastAsiaTheme="minorEastAsia" w:hAnsi="Cambria Math" w:cs="Arial"/>
            <w:sz w:val="20"/>
            <w:szCs w:val="20"/>
            <w:lang w:eastAsia="zh-CN"/>
          </w:rPr>
          <m:t>/</m:t>
        </m:r>
        <m:sSub>
          <m:sSubPr>
            <m:ctrlPr>
              <w:rPr>
                <w:rFonts w:ascii="Cambria Math" w:eastAsiaTheme="minorEastAsia" w:hAnsi="Cambria Math" w:cs="Arial"/>
                <w:sz w:val="20"/>
                <w:szCs w:val="20"/>
                <w:lang w:eastAsia="zh-CN"/>
              </w:rPr>
            </m:ctrlPr>
          </m:sSubPr>
          <m:e>
            <m:r>
              <w:rPr>
                <w:rFonts w:ascii="Cambria Math" w:eastAsiaTheme="minorEastAsia" w:hAnsi="Cambria Math" w:cs="Arial"/>
                <w:sz w:val="20"/>
                <w:szCs w:val="20"/>
                <w:lang w:eastAsia="zh-CN"/>
              </w:rPr>
              <m:t>μ</m:t>
            </m:r>
          </m:e>
          <m:sub>
            <m:r>
              <w:rPr>
                <w:rFonts w:ascii="Cambria Math" w:eastAsiaTheme="minorEastAsia" w:hAnsi="Cambria Math" w:cs="Arial"/>
                <w:sz w:val="20"/>
                <w:szCs w:val="20"/>
                <w:lang w:eastAsia="zh-CN"/>
              </w:rPr>
              <m:t>s</m:t>
            </m:r>
          </m:sub>
        </m:sSub>
        <m:r>
          <m:rPr>
            <m:sty m:val="p"/>
          </m:rPr>
          <w:rPr>
            <w:rFonts w:ascii="Cambria Math" w:eastAsiaTheme="minorEastAsia" w:hAnsi="Cambria Math" w:cs="Arial"/>
            <w:sz w:val="20"/>
            <w:szCs w:val="20"/>
            <w:lang w:eastAsia="zh-CN"/>
          </w:rPr>
          <m:t>=2</m:t>
        </m:r>
      </m:oMath>
      <w:r w:rsidRPr="00D71F8C">
        <w:rPr>
          <w:rFonts w:ascii="Arial" w:eastAsiaTheme="minorEastAsia" w:hAnsi="Arial" w:cs="Arial"/>
          <w:sz w:val="20"/>
          <w:szCs w:val="20"/>
          <w:lang w:eastAsia="zh-CN"/>
        </w:rPr>
        <w:t xml:space="preserve">, </w:t>
      </w:r>
      <m:oMath>
        <m:r>
          <w:rPr>
            <w:rFonts w:ascii="Cambria Math" w:eastAsiaTheme="minorEastAsia" w:hAnsi="Cambria Math" w:cs="Arial"/>
            <w:sz w:val="20"/>
            <w:szCs w:val="20"/>
            <w:lang w:eastAsia="zh-CN"/>
          </w:rPr>
          <m:t>a</m:t>
        </m:r>
        <m:r>
          <m:rPr>
            <m:sty m:val="p"/>
          </m:rPr>
          <w:rPr>
            <w:rFonts w:ascii="Cambria Math" w:eastAsiaTheme="minorEastAsia" w:hAnsi="Cambria Math" w:cs="Arial"/>
            <w:sz w:val="20"/>
            <w:szCs w:val="20"/>
            <w:lang w:eastAsia="zh-CN"/>
          </w:rPr>
          <m:t xml:space="preserve">=0.015 </m:t>
        </m:r>
        <m:sSup>
          <m:sSupPr>
            <m:ctrlPr>
              <w:rPr>
                <w:rFonts w:ascii="Cambria Math" w:eastAsiaTheme="minorEastAsia" w:hAnsi="Cambria Math" w:cs="Arial"/>
                <w:sz w:val="20"/>
                <w:szCs w:val="20"/>
                <w:lang w:eastAsia="zh-CN"/>
              </w:rPr>
            </m:ctrlPr>
          </m:sSupPr>
          <m:e>
            <m:r>
              <w:rPr>
                <w:rFonts w:ascii="Cambria Math" w:eastAsiaTheme="minorEastAsia" w:hAnsi="Cambria Math" w:cs="Arial"/>
                <w:sz w:val="20"/>
                <w:szCs w:val="20"/>
                <w:lang w:eastAsia="zh-CN"/>
              </w:rPr>
              <m:t>mm</m:t>
            </m:r>
            <m:r>
              <m:rPr>
                <m:sty m:val="p"/>
              </m:rPr>
              <w:rPr>
                <w:rFonts w:ascii="Cambria Math" w:eastAsiaTheme="minorEastAsia" w:hAnsi="Cambria Math" w:cs="Arial"/>
                <w:sz w:val="20"/>
                <w:szCs w:val="20"/>
                <w:lang w:eastAsia="zh-CN"/>
              </w:rPr>
              <m:t xml:space="preserve"> </m:t>
            </m:r>
            <m:r>
              <w:rPr>
                <w:rFonts w:ascii="Cambria Math" w:eastAsiaTheme="minorEastAsia" w:hAnsi="Cambria Math" w:cs="Arial"/>
                <w:sz w:val="20"/>
                <w:szCs w:val="20"/>
                <w:lang w:eastAsia="zh-CN"/>
              </w:rPr>
              <m:t>Pa</m:t>
            </m:r>
          </m:e>
          <m:sup>
            <m:r>
              <m:rPr>
                <m:sty m:val="p"/>
              </m:rPr>
              <w:rPr>
                <w:rFonts w:ascii="Cambria Math" w:eastAsiaTheme="minorEastAsia" w:hAnsi="Cambria Math" w:cs="Arial"/>
                <w:sz w:val="20"/>
                <w:szCs w:val="20"/>
                <w:lang w:eastAsia="zh-CN"/>
              </w:rPr>
              <m:t>-1</m:t>
            </m:r>
          </m:sup>
        </m:sSup>
        <m:r>
          <m:rPr>
            <m:sty m:val="p"/>
          </m:rPr>
          <w:rPr>
            <w:rFonts w:ascii="Cambria Math" w:eastAsiaTheme="minorEastAsia" w:hAnsi="Cambria Math" w:cs="Arial"/>
            <w:sz w:val="20"/>
            <w:szCs w:val="20"/>
            <w:lang w:eastAsia="zh-CN"/>
          </w:rPr>
          <m:t xml:space="preserve"> </m:t>
        </m:r>
        <m:sSup>
          <m:sSupPr>
            <m:ctrlPr>
              <w:rPr>
                <w:rFonts w:ascii="Cambria Math" w:eastAsiaTheme="minorEastAsia" w:hAnsi="Cambria Math" w:cs="Arial"/>
                <w:sz w:val="20"/>
                <w:szCs w:val="20"/>
                <w:lang w:eastAsia="zh-CN"/>
              </w:rPr>
            </m:ctrlPr>
          </m:sSupPr>
          <m:e>
            <m:r>
              <w:rPr>
                <w:rFonts w:ascii="Cambria Math" w:eastAsiaTheme="minorEastAsia" w:hAnsi="Cambria Math" w:cs="Arial"/>
                <w:sz w:val="20"/>
                <w:szCs w:val="20"/>
                <w:lang w:eastAsia="zh-CN"/>
              </w:rPr>
              <m:t>d</m:t>
            </m:r>
          </m:e>
          <m:sup>
            <m:r>
              <m:rPr>
                <m:sty m:val="p"/>
              </m:rPr>
              <w:rPr>
                <w:rFonts w:ascii="Cambria Math" w:eastAsiaTheme="minorEastAsia" w:hAnsi="Cambria Math" w:cs="Arial"/>
                <w:sz w:val="20"/>
                <w:szCs w:val="20"/>
                <w:lang w:eastAsia="zh-CN"/>
              </w:rPr>
              <m:t>-1</m:t>
            </m:r>
          </m:sup>
        </m:sSup>
      </m:oMath>
      <w:r w:rsidRPr="00D71F8C">
        <w:rPr>
          <w:rFonts w:ascii="Arial" w:eastAsiaTheme="minorEastAsia" w:hAnsi="Arial" w:cs="Arial"/>
          <w:sz w:val="20"/>
          <w:szCs w:val="20"/>
          <w:lang w:eastAsia="zh-CN"/>
        </w:rPr>
        <w:t xml:space="preserve">). As shown, increasing the cortex layer thickness leads to a longer folding wavelength and the emergence of larger folds. Additionally, the maximum principal stress increases slightly with the thicker cortex layer. </w:t>
      </w:r>
    </w:p>
    <w:p w14:paraId="313A5B9A" w14:textId="77777777" w:rsidR="00F979B9" w:rsidRPr="00D71F8C" w:rsidRDefault="00F979B9" w:rsidP="00F979B9">
      <w:pPr>
        <w:spacing w:before="100" w:line="240" w:lineRule="auto"/>
        <w:jc w:val="both"/>
        <w:rPr>
          <w:rFonts w:ascii="Arial" w:hAnsi="Arial" w:cs="Arial"/>
          <w:sz w:val="20"/>
          <w:szCs w:val="20"/>
        </w:rPr>
      </w:pPr>
    </w:p>
    <w:p w14:paraId="26D8EDBA" w14:textId="77777777" w:rsidR="00F979B9" w:rsidRPr="00D71F8C" w:rsidRDefault="00F979B9" w:rsidP="00125263">
      <w:pPr>
        <w:spacing w:before="100" w:line="360" w:lineRule="auto"/>
        <w:jc w:val="center"/>
        <w:rPr>
          <w:rFonts w:ascii="Arial" w:eastAsiaTheme="minorEastAsia" w:hAnsi="Arial" w:cs="Arial"/>
          <w:sz w:val="20"/>
          <w:szCs w:val="20"/>
        </w:rPr>
      </w:pPr>
      <w:r w:rsidRPr="00D71F8C">
        <w:rPr>
          <w:noProof/>
        </w:rPr>
        <w:drawing>
          <wp:inline distT="0" distB="0" distL="0" distR="0" wp14:anchorId="6FEF0C2B" wp14:editId="6ACD52CC">
            <wp:extent cx="5684533" cy="29260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4533" cy="2926080"/>
                    </a:xfrm>
                    <a:prstGeom prst="rect">
                      <a:avLst/>
                    </a:prstGeom>
                    <a:noFill/>
                    <a:ln>
                      <a:noFill/>
                    </a:ln>
                  </pic:spPr>
                </pic:pic>
              </a:graphicData>
            </a:graphic>
          </wp:inline>
        </w:drawing>
      </w:r>
    </w:p>
    <w:p w14:paraId="7A8147AA" w14:textId="11EEC5B7" w:rsidR="00F979B9" w:rsidRPr="00D71F8C" w:rsidRDefault="00F979B9" w:rsidP="00125263">
      <w:pPr>
        <w:spacing w:before="100" w:line="240" w:lineRule="auto"/>
        <w:jc w:val="both"/>
        <w:rPr>
          <w:rFonts w:ascii="Arial" w:eastAsiaTheme="minorEastAsia" w:hAnsi="Arial" w:cs="Arial"/>
          <w:sz w:val="20"/>
          <w:szCs w:val="20"/>
        </w:rPr>
      </w:pPr>
      <w:r w:rsidRPr="00D71F8C">
        <w:rPr>
          <w:rFonts w:ascii="Arial" w:eastAsiaTheme="minorEastAsia" w:hAnsi="Arial" w:cs="Arial"/>
          <w:b/>
          <w:sz w:val="20"/>
          <w:szCs w:val="20"/>
        </w:rPr>
        <w:t>Fig</w:t>
      </w:r>
      <w:r w:rsidR="001C5835" w:rsidRPr="00D71F8C">
        <w:rPr>
          <w:rFonts w:ascii="Arial" w:eastAsiaTheme="minorEastAsia" w:hAnsi="Arial" w:cs="Arial"/>
          <w:b/>
          <w:sz w:val="20"/>
          <w:szCs w:val="20"/>
        </w:rPr>
        <w:t>.</w:t>
      </w:r>
      <w:r w:rsidRPr="00D71F8C">
        <w:rPr>
          <w:rFonts w:ascii="Arial" w:eastAsiaTheme="minorEastAsia" w:hAnsi="Arial" w:cs="Arial"/>
          <w:b/>
          <w:sz w:val="20"/>
          <w:szCs w:val="20"/>
        </w:rPr>
        <w:t xml:space="preserve"> S</w:t>
      </w:r>
      <w:r w:rsidR="000B76FD" w:rsidRPr="00D71F8C">
        <w:rPr>
          <w:rFonts w:ascii="Arial" w:eastAsiaTheme="minorEastAsia" w:hAnsi="Arial" w:cs="Arial"/>
          <w:b/>
          <w:sz w:val="20"/>
          <w:szCs w:val="20"/>
        </w:rPr>
        <w:t>4</w:t>
      </w:r>
      <w:r w:rsidRPr="00D71F8C">
        <w:rPr>
          <w:rFonts w:ascii="Arial" w:eastAsiaTheme="minorEastAsia" w:hAnsi="Arial" w:cs="Arial"/>
          <w:sz w:val="20"/>
          <w:szCs w:val="20"/>
        </w:rPr>
        <w:t xml:space="preserve"> Dynamic growth of fibers for the growth rate of </w:t>
      </w:r>
      <m:oMath>
        <m:r>
          <w:rPr>
            <w:rFonts w:ascii="Cambria Math" w:eastAsiaTheme="minorEastAsia" w:hAnsi="Cambria Math" w:cs="Arial"/>
            <w:sz w:val="20"/>
            <w:szCs w:val="20"/>
          </w:rPr>
          <m:t>1.2 mm/d</m:t>
        </m:r>
      </m:oMath>
      <w:r w:rsidRPr="00D71F8C">
        <w:rPr>
          <w:rFonts w:ascii="Arial" w:eastAsiaTheme="minorEastAsia" w:hAnsi="Arial" w:cs="Arial"/>
          <w:sz w:val="20"/>
          <w:szCs w:val="20"/>
        </w:rPr>
        <w:t xml:space="preserve"> in models with and without reorientation process. </w:t>
      </w:r>
      <w:r w:rsidRPr="00D71F8C">
        <w:rPr>
          <w:rFonts w:ascii="Arial" w:hAnsi="Arial" w:cs="Arial"/>
          <w:sz w:val="20"/>
          <w:szCs w:val="20"/>
        </w:rPr>
        <w:t xml:space="preserve">The used parameters in these figures are: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f</m:t>
            </m:r>
          </m:sub>
        </m:sSub>
        <m:r>
          <w:rPr>
            <w:rFonts w:ascii="Cambria Math" w:eastAsiaTheme="minorEastAsia" w:hAnsi="Cambria Math" w:cs="Arial"/>
            <w:sz w:val="20"/>
            <w:szCs w:val="20"/>
          </w:rPr>
          <m:t>/</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s</m:t>
            </m:r>
          </m:sub>
        </m:sSub>
        <m:r>
          <w:rPr>
            <w:rFonts w:ascii="Cambria Math" w:eastAsiaTheme="minorEastAsia" w:hAnsi="Cambria Math" w:cs="Arial"/>
            <w:sz w:val="20"/>
            <w:szCs w:val="20"/>
          </w:rPr>
          <m:t>=2</m:t>
        </m:r>
      </m:oMath>
      <w:r w:rsidRPr="00D71F8C">
        <w:rPr>
          <w:rFonts w:ascii="Arial" w:eastAsiaTheme="minorEastAsia" w:hAnsi="Arial" w:cs="Arial"/>
          <w:sz w:val="20"/>
          <w:szCs w:val="20"/>
        </w:rPr>
        <w:t xml:space="preserve">, </w:t>
      </w:r>
      <m:oMath>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c</m:t>
            </m:r>
          </m:sub>
        </m:sSub>
        <m:r>
          <w:rPr>
            <w:rFonts w:ascii="Cambria Math" w:eastAsiaTheme="minorEastAsia" w:hAnsi="Cambria Math" w:cs="Arial"/>
            <w:sz w:val="20"/>
            <w:szCs w:val="20"/>
          </w:rPr>
          <m:t>/</m:t>
        </m:r>
        <m:sSub>
          <m:sSubPr>
            <m:ctrlPr>
              <w:rPr>
                <w:rFonts w:ascii="Cambria Math" w:eastAsiaTheme="minorEastAsia" w:hAnsi="Cambria Math" w:cs="Arial"/>
                <w:i/>
                <w:sz w:val="20"/>
                <w:szCs w:val="20"/>
              </w:rPr>
            </m:ctrlPr>
          </m:sSubPr>
          <m:e>
            <m:r>
              <w:rPr>
                <w:rFonts w:ascii="Cambria Math" w:eastAsiaTheme="minorEastAsia" w:hAnsi="Cambria Math" w:cs="Arial"/>
                <w:sz w:val="20"/>
                <w:szCs w:val="20"/>
              </w:rPr>
              <m:t>μ</m:t>
            </m:r>
          </m:e>
          <m:sub>
            <m:r>
              <w:rPr>
                <w:rFonts w:ascii="Cambria Math" w:eastAsiaTheme="minorEastAsia" w:hAnsi="Cambria Math" w:cs="Arial"/>
                <w:sz w:val="20"/>
                <w:szCs w:val="20"/>
              </w:rPr>
              <m:t>s</m:t>
            </m:r>
          </m:sub>
        </m:sSub>
        <m:r>
          <w:rPr>
            <w:rFonts w:ascii="Cambria Math" w:eastAsiaTheme="minorEastAsia" w:hAnsi="Cambria Math" w:cs="Arial"/>
            <w:sz w:val="20"/>
            <w:szCs w:val="20"/>
          </w:rPr>
          <m:t>=2</m:t>
        </m:r>
      </m:oMath>
      <w:r w:rsidRPr="00D71F8C">
        <w:rPr>
          <w:rFonts w:ascii="Arial" w:eastAsiaTheme="minorEastAsia" w:hAnsi="Arial" w:cs="Arial"/>
          <w:sz w:val="20"/>
          <w:szCs w:val="20"/>
        </w:rPr>
        <w:t xml:space="preserve">, </w:t>
      </w:r>
      <m:oMath>
        <m:r>
          <w:rPr>
            <w:rFonts w:ascii="Cambria Math" w:hAnsi="Cambria Math" w:cs="Arial"/>
            <w:sz w:val="20"/>
            <w:szCs w:val="20"/>
          </w:rPr>
          <m:t xml:space="preserve">a=0.015 </m:t>
        </m:r>
        <m:sSup>
          <m:sSupPr>
            <m:ctrlPr>
              <w:rPr>
                <w:rFonts w:ascii="Cambria Math" w:hAnsi="Cambria Math" w:cs="Arial"/>
                <w:bCs/>
                <w:i/>
                <w:sz w:val="20"/>
                <w:szCs w:val="20"/>
              </w:rPr>
            </m:ctrlPr>
          </m:sSupPr>
          <m:e>
            <m:r>
              <w:rPr>
                <w:rFonts w:ascii="Cambria Math" w:hAnsi="Cambria Math" w:cs="Arial"/>
                <w:sz w:val="20"/>
                <w:szCs w:val="20"/>
              </w:rPr>
              <m:t>mm Pa</m:t>
            </m:r>
          </m:e>
          <m:sup>
            <m:r>
              <w:rPr>
                <w:rFonts w:ascii="Cambria Math" w:hAnsi="Cambria Math" w:cs="Arial"/>
                <w:sz w:val="20"/>
                <w:szCs w:val="20"/>
              </w:rPr>
              <m:t>-1</m:t>
            </m:r>
          </m:sup>
        </m:sSup>
        <m:r>
          <w:rPr>
            <w:rFonts w:ascii="Cambria Math" w:hAnsi="Cambria Math" w:cs="Arial"/>
            <w:sz w:val="20"/>
            <w:szCs w:val="20"/>
          </w:rPr>
          <m:t xml:space="preserve"> </m:t>
        </m:r>
        <m:sSup>
          <m:sSupPr>
            <m:ctrlPr>
              <w:rPr>
                <w:rFonts w:ascii="Cambria Math" w:hAnsi="Cambria Math" w:cs="Arial"/>
                <w:bCs/>
                <w:i/>
                <w:sz w:val="20"/>
                <w:szCs w:val="20"/>
              </w:rPr>
            </m:ctrlPr>
          </m:sSupPr>
          <m:e>
            <m:r>
              <w:rPr>
                <w:rFonts w:ascii="Cambria Math" w:hAnsi="Cambria Math" w:cs="Arial"/>
                <w:sz w:val="20"/>
                <w:szCs w:val="20"/>
              </w:rPr>
              <m:t>d</m:t>
            </m:r>
          </m:e>
          <m:sup>
            <m:r>
              <w:rPr>
                <w:rFonts w:ascii="Cambria Math" w:hAnsi="Cambria Math" w:cs="Arial"/>
                <w:sz w:val="20"/>
                <w:szCs w:val="20"/>
              </w:rPr>
              <m:t>-1</m:t>
            </m:r>
          </m:sup>
        </m:sSup>
      </m:oMath>
      <w:r w:rsidRPr="00D71F8C">
        <w:rPr>
          <w:rFonts w:ascii="Arial" w:eastAsiaTheme="minorEastAsia" w:hAnsi="Arial" w:cs="Arial"/>
          <w:bCs/>
          <w:sz w:val="20"/>
          <w:szCs w:val="20"/>
        </w:rPr>
        <w:t xml:space="preserve">, </w:t>
      </w:r>
      <m:oMath>
        <m:sSup>
          <m:sSupPr>
            <m:ctrlPr>
              <w:rPr>
                <w:rFonts w:ascii="Cambria Math" w:eastAsiaTheme="minorEastAsia" w:hAnsi="Cambria Math" w:cs="Arial"/>
                <w:i/>
                <w:sz w:val="20"/>
                <w:szCs w:val="20"/>
              </w:rPr>
            </m:ctrlPr>
          </m:sSupPr>
          <m:e>
            <m:r>
              <w:rPr>
                <w:rFonts w:ascii="Cambria Math" w:eastAsiaTheme="minorEastAsia" w:hAnsi="Cambria Math" w:cs="Arial"/>
                <w:sz w:val="20"/>
                <w:szCs w:val="20"/>
              </w:rPr>
              <m:t>G</m:t>
            </m:r>
          </m:e>
          <m:sup>
            <m:r>
              <w:rPr>
                <w:rFonts w:ascii="Cambria Math" w:eastAsiaTheme="minorEastAsia" w:hAnsi="Cambria Math" w:cs="Arial"/>
                <w:sz w:val="20"/>
                <w:szCs w:val="20"/>
              </w:rPr>
              <m:t>axn</m:t>
            </m:r>
          </m:sup>
        </m:sSup>
        <m:r>
          <w:rPr>
            <w:rFonts w:ascii="Cambria Math" w:eastAsiaTheme="minorEastAsia" w:hAnsi="Cambria Math" w:cs="Arial"/>
            <w:sz w:val="20"/>
            <w:szCs w:val="20"/>
          </w:rPr>
          <m:t>=1.2 mm/d</m:t>
        </m:r>
      </m:oMath>
      <w:r w:rsidRPr="00D71F8C">
        <w:rPr>
          <w:rFonts w:ascii="Arial" w:eastAsiaTheme="minorEastAsia" w:hAnsi="Arial" w:cs="Arial"/>
          <w:sz w:val="20"/>
          <w:szCs w:val="20"/>
        </w:rPr>
        <w:t>.</w:t>
      </w:r>
    </w:p>
    <w:tbl>
      <w:tblPr>
        <w:tblStyle w:val="TableGrid"/>
        <w:tblW w:w="84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5"/>
        <w:gridCol w:w="1770"/>
        <w:gridCol w:w="1710"/>
        <w:gridCol w:w="285"/>
        <w:gridCol w:w="1890"/>
        <w:gridCol w:w="1260"/>
      </w:tblGrid>
      <w:tr w:rsidR="00D71F8C" w:rsidRPr="00D71F8C" w14:paraId="468674B4" w14:textId="77777777" w:rsidTr="002E0578">
        <w:trPr>
          <w:jc w:val="center"/>
        </w:trPr>
        <w:tc>
          <w:tcPr>
            <w:tcW w:w="8460" w:type="dxa"/>
            <w:gridSpan w:val="6"/>
            <w:tcBorders>
              <w:bottom w:val="single" w:sz="12" w:space="0" w:color="auto"/>
            </w:tcBorders>
            <w:shd w:val="clear" w:color="auto" w:fill="auto"/>
          </w:tcPr>
          <w:p w14:paraId="4CA73AC5" w14:textId="77777777" w:rsidR="00F979B9" w:rsidRPr="00D71F8C" w:rsidRDefault="00F979B9" w:rsidP="002E0578">
            <w:pPr>
              <w:spacing w:before="100" w:line="360" w:lineRule="auto"/>
              <w:jc w:val="center"/>
              <w:rPr>
                <w:rFonts w:ascii="Arial" w:hAnsi="Arial" w:cs="Arial"/>
                <w:sz w:val="20"/>
                <w:szCs w:val="20"/>
              </w:rPr>
            </w:pPr>
            <w:r w:rsidRPr="00D71F8C">
              <w:rPr>
                <w:rFonts w:ascii="Arial" w:hAnsi="Arial" w:cs="Arial"/>
                <w:b/>
                <w:sz w:val="20"/>
                <w:szCs w:val="20"/>
              </w:rPr>
              <w:lastRenderedPageBreak/>
              <w:t>Table S2</w:t>
            </w:r>
            <w:r w:rsidRPr="00D71F8C">
              <w:rPr>
                <w:rFonts w:ascii="Arial" w:hAnsi="Arial" w:cs="Arial"/>
                <w:sz w:val="20"/>
                <w:szCs w:val="20"/>
              </w:rPr>
              <w:t>. Fiber density within gyri and sulci for ten random brains</w:t>
            </w:r>
          </w:p>
        </w:tc>
      </w:tr>
      <w:tr w:rsidR="00D71F8C" w:rsidRPr="00D71F8C" w14:paraId="515ED22B" w14:textId="77777777" w:rsidTr="002E0578">
        <w:trPr>
          <w:trHeight w:val="233"/>
          <w:jc w:val="center"/>
        </w:trPr>
        <w:tc>
          <w:tcPr>
            <w:tcW w:w="1545" w:type="dxa"/>
            <w:vMerge w:val="restart"/>
            <w:tcBorders>
              <w:top w:val="single" w:sz="12" w:space="0" w:color="auto"/>
            </w:tcBorders>
            <w:vAlign w:val="center"/>
          </w:tcPr>
          <w:p w14:paraId="2F37EEC4"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Case number</w:t>
            </w:r>
          </w:p>
        </w:tc>
        <w:tc>
          <w:tcPr>
            <w:tcW w:w="3480" w:type="dxa"/>
            <w:gridSpan w:val="2"/>
            <w:tcBorders>
              <w:top w:val="single" w:sz="12" w:space="0" w:color="auto"/>
              <w:bottom w:val="single" w:sz="12" w:space="0" w:color="auto"/>
            </w:tcBorders>
            <w:vAlign w:val="center"/>
          </w:tcPr>
          <w:p w14:paraId="0FCF92B9"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Fiber Density within Gyri (%)</w:t>
            </w:r>
          </w:p>
        </w:tc>
        <w:tc>
          <w:tcPr>
            <w:tcW w:w="285" w:type="dxa"/>
            <w:tcBorders>
              <w:top w:val="single" w:sz="12" w:space="0" w:color="auto"/>
            </w:tcBorders>
          </w:tcPr>
          <w:p w14:paraId="293C7B8E" w14:textId="77777777" w:rsidR="00F979B9" w:rsidRPr="00D71F8C" w:rsidRDefault="00F979B9" w:rsidP="002E0578">
            <w:pPr>
              <w:spacing w:before="100" w:line="360" w:lineRule="auto"/>
              <w:rPr>
                <w:rFonts w:ascii="Arial" w:hAnsi="Arial" w:cs="Arial"/>
                <w:b/>
                <w:sz w:val="20"/>
                <w:szCs w:val="20"/>
              </w:rPr>
            </w:pPr>
          </w:p>
        </w:tc>
        <w:tc>
          <w:tcPr>
            <w:tcW w:w="3150" w:type="dxa"/>
            <w:gridSpan w:val="2"/>
            <w:tcBorders>
              <w:top w:val="single" w:sz="12" w:space="0" w:color="auto"/>
            </w:tcBorders>
            <w:vAlign w:val="center"/>
          </w:tcPr>
          <w:p w14:paraId="105CC0D8"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Fiber Density within sulci (%)</w:t>
            </w:r>
          </w:p>
        </w:tc>
      </w:tr>
      <w:tr w:rsidR="00D71F8C" w:rsidRPr="00D71F8C" w14:paraId="423CEECF" w14:textId="77777777" w:rsidTr="002E0578">
        <w:trPr>
          <w:trHeight w:val="134"/>
          <w:jc w:val="center"/>
        </w:trPr>
        <w:tc>
          <w:tcPr>
            <w:tcW w:w="1545" w:type="dxa"/>
            <w:vMerge/>
            <w:tcBorders>
              <w:bottom w:val="single" w:sz="12" w:space="0" w:color="auto"/>
            </w:tcBorders>
            <w:vAlign w:val="center"/>
          </w:tcPr>
          <w:p w14:paraId="3DB1A233" w14:textId="77777777" w:rsidR="00F979B9" w:rsidRPr="00D71F8C" w:rsidRDefault="00F979B9" w:rsidP="002E0578">
            <w:pPr>
              <w:spacing w:before="100" w:line="360" w:lineRule="auto"/>
              <w:jc w:val="center"/>
              <w:rPr>
                <w:rFonts w:ascii="Arial" w:hAnsi="Arial" w:cs="Arial"/>
                <w:b/>
                <w:sz w:val="20"/>
                <w:szCs w:val="20"/>
              </w:rPr>
            </w:pPr>
          </w:p>
        </w:tc>
        <w:tc>
          <w:tcPr>
            <w:tcW w:w="1770" w:type="dxa"/>
            <w:tcBorders>
              <w:top w:val="single" w:sz="12" w:space="0" w:color="auto"/>
              <w:bottom w:val="single" w:sz="12" w:space="0" w:color="auto"/>
            </w:tcBorders>
            <w:vAlign w:val="center"/>
          </w:tcPr>
          <w:p w14:paraId="62A84B8D"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Left</w:t>
            </w:r>
          </w:p>
        </w:tc>
        <w:tc>
          <w:tcPr>
            <w:tcW w:w="1710" w:type="dxa"/>
            <w:tcBorders>
              <w:top w:val="single" w:sz="12" w:space="0" w:color="auto"/>
              <w:bottom w:val="single" w:sz="12" w:space="0" w:color="auto"/>
            </w:tcBorders>
            <w:vAlign w:val="center"/>
          </w:tcPr>
          <w:p w14:paraId="6D6755EF"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Right</w:t>
            </w:r>
          </w:p>
        </w:tc>
        <w:tc>
          <w:tcPr>
            <w:tcW w:w="285" w:type="dxa"/>
            <w:tcBorders>
              <w:bottom w:val="single" w:sz="12" w:space="0" w:color="auto"/>
            </w:tcBorders>
          </w:tcPr>
          <w:p w14:paraId="30589960" w14:textId="77777777" w:rsidR="00F979B9" w:rsidRPr="00D71F8C" w:rsidRDefault="00F979B9" w:rsidP="002E0578">
            <w:pPr>
              <w:spacing w:before="100" w:line="360" w:lineRule="auto"/>
              <w:rPr>
                <w:rFonts w:ascii="Arial" w:hAnsi="Arial" w:cs="Arial"/>
                <w:b/>
                <w:sz w:val="20"/>
                <w:szCs w:val="20"/>
              </w:rPr>
            </w:pPr>
          </w:p>
        </w:tc>
        <w:tc>
          <w:tcPr>
            <w:tcW w:w="1890" w:type="dxa"/>
            <w:tcBorders>
              <w:top w:val="single" w:sz="12" w:space="0" w:color="auto"/>
              <w:bottom w:val="single" w:sz="12" w:space="0" w:color="auto"/>
            </w:tcBorders>
            <w:vAlign w:val="center"/>
          </w:tcPr>
          <w:p w14:paraId="5200D2E9"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Left</w:t>
            </w:r>
          </w:p>
        </w:tc>
        <w:tc>
          <w:tcPr>
            <w:tcW w:w="1260" w:type="dxa"/>
            <w:tcBorders>
              <w:top w:val="single" w:sz="12" w:space="0" w:color="auto"/>
              <w:bottom w:val="single" w:sz="12" w:space="0" w:color="auto"/>
            </w:tcBorders>
            <w:vAlign w:val="center"/>
          </w:tcPr>
          <w:p w14:paraId="04A82916" w14:textId="77777777" w:rsidR="00F979B9" w:rsidRPr="00D71F8C" w:rsidRDefault="00F979B9" w:rsidP="002E0578">
            <w:pPr>
              <w:spacing w:before="100" w:line="360" w:lineRule="auto"/>
              <w:jc w:val="center"/>
              <w:rPr>
                <w:rFonts w:ascii="Arial" w:hAnsi="Arial" w:cs="Arial"/>
                <w:b/>
                <w:sz w:val="20"/>
                <w:szCs w:val="20"/>
              </w:rPr>
            </w:pPr>
            <w:r w:rsidRPr="00D71F8C">
              <w:rPr>
                <w:rFonts w:ascii="Arial" w:hAnsi="Arial" w:cs="Arial"/>
                <w:b/>
                <w:sz w:val="20"/>
                <w:szCs w:val="20"/>
              </w:rPr>
              <w:t>Right</w:t>
            </w:r>
          </w:p>
        </w:tc>
      </w:tr>
      <w:tr w:rsidR="00D71F8C" w:rsidRPr="00D71F8C" w14:paraId="7DE32AA2" w14:textId="77777777" w:rsidTr="002E0578">
        <w:trPr>
          <w:trHeight w:val="56"/>
          <w:jc w:val="center"/>
        </w:trPr>
        <w:tc>
          <w:tcPr>
            <w:tcW w:w="1545" w:type="dxa"/>
            <w:tcBorders>
              <w:top w:val="single" w:sz="12" w:space="0" w:color="auto"/>
            </w:tcBorders>
            <w:vAlign w:val="center"/>
          </w:tcPr>
          <w:p w14:paraId="36A24F6B" w14:textId="77777777" w:rsidR="00F979B9" w:rsidRPr="00D71F8C" w:rsidRDefault="00F979B9" w:rsidP="002E0578">
            <w:pPr>
              <w:jc w:val="center"/>
              <w:rPr>
                <w:rFonts w:ascii="Calibri" w:hAnsi="Calibri" w:cs="Calibri"/>
              </w:rPr>
            </w:pPr>
            <w:r w:rsidRPr="00D71F8C">
              <w:rPr>
                <w:rFonts w:ascii="Calibri" w:hAnsi="Calibri" w:cs="Calibri"/>
              </w:rPr>
              <w:t>#877168</w:t>
            </w:r>
          </w:p>
        </w:tc>
        <w:tc>
          <w:tcPr>
            <w:tcW w:w="1770" w:type="dxa"/>
            <w:tcBorders>
              <w:top w:val="single" w:sz="12" w:space="0" w:color="auto"/>
            </w:tcBorders>
            <w:vAlign w:val="center"/>
          </w:tcPr>
          <w:p w14:paraId="0BCD9C02"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82.65</w:t>
            </w:r>
          </w:p>
        </w:tc>
        <w:tc>
          <w:tcPr>
            <w:tcW w:w="1710" w:type="dxa"/>
            <w:tcBorders>
              <w:top w:val="single" w:sz="12" w:space="0" w:color="auto"/>
            </w:tcBorders>
            <w:vAlign w:val="center"/>
          </w:tcPr>
          <w:p w14:paraId="69E6ADEC" w14:textId="77777777" w:rsidR="00F979B9" w:rsidRPr="00D71F8C" w:rsidRDefault="00F979B9" w:rsidP="002E0578">
            <w:pPr>
              <w:jc w:val="center"/>
              <w:rPr>
                <w:rFonts w:ascii="Arial" w:hAnsi="Arial" w:cs="Arial"/>
                <w:bCs/>
                <w:sz w:val="20"/>
                <w:szCs w:val="20"/>
              </w:rPr>
            </w:pPr>
            <w:r w:rsidRPr="00D71F8C">
              <w:rPr>
                <w:rFonts w:ascii="Arial" w:hAnsi="Arial" w:cs="Arial"/>
                <w:bCs/>
                <w:sz w:val="20"/>
                <w:szCs w:val="20"/>
              </w:rPr>
              <w:t>64.57</w:t>
            </w:r>
          </w:p>
        </w:tc>
        <w:tc>
          <w:tcPr>
            <w:tcW w:w="285" w:type="dxa"/>
            <w:tcBorders>
              <w:top w:val="single" w:sz="12" w:space="0" w:color="auto"/>
            </w:tcBorders>
          </w:tcPr>
          <w:p w14:paraId="51AB3596" w14:textId="77777777" w:rsidR="00F979B9" w:rsidRPr="00D71F8C" w:rsidRDefault="00F979B9" w:rsidP="002E0578">
            <w:pPr>
              <w:spacing w:before="100" w:line="360" w:lineRule="auto"/>
              <w:rPr>
                <w:rFonts w:ascii="Arial" w:hAnsi="Arial" w:cs="Arial"/>
                <w:bCs/>
                <w:sz w:val="20"/>
                <w:szCs w:val="20"/>
              </w:rPr>
            </w:pPr>
          </w:p>
        </w:tc>
        <w:tc>
          <w:tcPr>
            <w:tcW w:w="1890" w:type="dxa"/>
            <w:tcBorders>
              <w:top w:val="single" w:sz="12" w:space="0" w:color="auto"/>
            </w:tcBorders>
            <w:vAlign w:val="center"/>
          </w:tcPr>
          <w:p w14:paraId="3033A930"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17.35</w:t>
            </w:r>
          </w:p>
        </w:tc>
        <w:tc>
          <w:tcPr>
            <w:tcW w:w="1260" w:type="dxa"/>
            <w:tcBorders>
              <w:top w:val="single" w:sz="12" w:space="0" w:color="auto"/>
            </w:tcBorders>
            <w:vAlign w:val="center"/>
          </w:tcPr>
          <w:p w14:paraId="48EE6D47"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35.43</w:t>
            </w:r>
          </w:p>
        </w:tc>
      </w:tr>
      <w:tr w:rsidR="00D71F8C" w:rsidRPr="00D71F8C" w14:paraId="165263D0" w14:textId="77777777" w:rsidTr="002E0578">
        <w:trPr>
          <w:trHeight w:val="56"/>
          <w:jc w:val="center"/>
        </w:trPr>
        <w:tc>
          <w:tcPr>
            <w:tcW w:w="1545" w:type="dxa"/>
            <w:vAlign w:val="center"/>
          </w:tcPr>
          <w:p w14:paraId="0EE793FF" w14:textId="77777777" w:rsidR="00F979B9" w:rsidRPr="00D71F8C" w:rsidRDefault="00F979B9" w:rsidP="002E0578">
            <w:pPr>
              <w:jc w:val="center"/>
              <w:rPr>
                <w:rFonts w:ascii="Calibri" w:hAnsi="Calibri" w:cs="Calibri"/>
              </w:rPr>
            </w:pPr>
            <w:r w:rsidRPr="00D71F8C">
              <w:rPr>
                <w:rFonts w:ascii="Calibri" w:hAnsi="Calibri" w:cs="Calibri"/>
              </w:rPr>
              <w:t>#917255</w:t>
            </w:r>
          </w:p>
        </w:tc>
        <w:tc>
          <w:tcPr>
            <w:tcW w:w="1770" w:type="dxa"/>
            <w:vAlign w:val="center"/>
          </w:tcPr>
          <w:p w14:paraId="65255CF3"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78.25</w:t>
            </w:r>
          </w:p>
        </w:tc>
        <w:tc>
          <w:tcPr>
            <w:tcW w:w="1710" w:type="dxa"/>
            <w:vAlign w:val="center"/>
          </w:tcPr>
          <w:p w14:paraId="656BC2C6"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87.20</w:t>
            </w:r>
          </w:p>
        </w:tc>
        <w:tc>
          <w:tcPr>
            <w:tcW w:w="285" w:type="dxa"/>
          </w:tcPr>
          <w:p w14:paraId="721C005E"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3746F934"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21.75</w:t>
            </w:r>
          </w:p>
        </w:tc>
        <w:tc>
          <w:tcPr>
            <w:tcW w:w="1260" w:type="dxa"/>
            <w:vAlign w:val="center"/>
          </w:tcPr>
          <w:p w14:paraId="38D31ED3"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12.80</w:t>
            </w:r>
          </w:p>
        </w:tc>
      </w:tr>
      <w:tr w:rsidR="00D71F8C" w:rsidRPr="00D71F8C" w14:paraId="5833C548" w14:textId="77777777" w:rsidTr="002E0578">
        <w:trPr>
          <w:jc w:val="center"/>
        </w:trPr>
        <w:tc>
          <w:tcPr>
            <w:tcW w:w="1545" w:type="dxa"/>
            <w:vAlign w:val="center"/>
          </w:tcPr>
          <w:p w14:paraId="71CBF043" w14:textId="77777777" w:rsidR="00F979B9" w:rsidRPr="00D71F8C" w:rsidRDefault="00F979B9" w:rsidP="002E0578">
            <w:pPr>
              <w:jc w:val="center"/>
              <w:rPr>
                <w:rFonts w:ascii="Calibri" w:hAnsi="Calibri" w:cs="Calibri"/>
              </w:rPr>
            </w:pPr>
            <w:r w:rsidRPr="00D71F8C">
              <w:rPr>
                <w:rFonts w:ascii="Calibri" w:hAnsi="Calibri" w:cs="Calibri"/>
              </w:rPr>
              <w:t>#861456</w:t>
            </w:r>
          </w:p>
        </w:tc>
        <w:tc>
          <w:tcPr>
            <w:tcW w:w="1770" w:type="dxa"/>
            <w:vAlign w:val="center"/>
          </w:tcPr>
          <w:p w14:paraId="37CD220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85.73</w:t>
            </w:r>
          </w:p>
        </w:tc>
        <w:tc>
          <w:tcPr>
            <w:tcW w:w="1710" w:type="dxa"/>
            <w:vAlign w:val="center"/>
          </w:tcPr>
          <w:p w14:paraId="539FC275"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75.01</w:t>
            </w:r>
          </w:p>
        </w:tc>
        <w:tc>
          <w:tcPr>
            <w:tcW w:w="285" w:type="dxa"/>
          </w:tcPr>
          <w:p w14:paraId="32F3E0C4"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51028602"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14.27</w:t>
            </w:r>
          </w:p>
        </w:tc>
        <w:tc>
          <w:tcPr>
            <w:tcW w:w="1260" w:type="dxa"/>
            <w:vAlign w:val="center"/>
          </w:tcPr>
          <w:p w14:paraId="68DBED84"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24.99</w:t>
            </w:r>
          </w:p>
        </w:tc>
      </w:tr>
      <w:tr w:rsidR="00D71F8C" w:rsidRPr="00D71F8C" w14:paraId="01E5B64C" w14:textId="77777777" w:rsidTr="002E0578">
        <w:trPr>
          <w:jc w:val="center"/>
        </w:trPr>
        <w:tc>
          <w:tcPr>
            <w:tcW w:w="1545" w:type="dxa"/>
            <w:vAlign w:val="center"/>
          </w:tcPr>
          <w:p w14:paraId="55243D50" w14:textId="77777777" w:rsidR="00F979B9" w:rsidRPr="00D71F8C" w:rsidRDefault="00F979B9" w:rsidP="002E0578">
            <w:pPr>
              <w:jc w:val="center"/>
              <w:rPr>
                <w:rFonts w:ascii="Calibri" w:hAnsi="Calibri" w:cs="Calibri"/>
              </w:rPr>
            </w:pPr>
            <w:r w:rsidRPr="00D71F8C">
              <w:rPr>
                <w:rFonts w:ascii="Calibri" w:hAnsi="Calibri" w:cs="Calibri"/>
              </w:rPr>
              <w:t>#859671</w:t>
            </w:r>
          </w:p>
        </w:tc>
        <w:tc>
          <w:tcPr>
            <w:tcW w:w="1770" w:type="dxa"/>
            <w:vAlign w:val="center"/>
          </w:tcPr>
          <w:p w14:paraId="6A50FDF3"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89.11</w:t>
            </w:r>
          </w:p>
        </w:tc>
        <w:tc>
          <w:tcPr>
            <w:tcW w:w="1710" w:type="dxa"/>
            <w:vAlign w:val="center"/>
          </w:tcPr>
          <w:p w14:paraId="402B55F4"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86.91</w:t>
            </w:r>
          </w:p>
        </w:tc>
        <w:tc>
          <w:tcPr>
            <w:tcW w:w="285" w:type="dxa"/>
          </w:tcPr>
          <w:p w14:paraId="598D4316"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1B538DD8"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10.89</w:t>
            </w:r>
          </w:p>
        </w:tc>
        <w:tc>
          <w:tcPr>
            <w:tcW w:w="1260" w:type="dxa"/>
            <w:vAlign w:val="center"/>
          </w:tcPr>
          <w:p w14:paraId="6F754BB1"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13.09</w:t>
            </w:r>
          </w:p>
        </w:tc>
      </w:tr>
      <w:tr w:rsidR="00D71F8C" w:rsidRPr="00D71F8C" w14:paraId="40B056E1" w14:textId="77777777" w:rsidTr="002E0578">
        <w:trPr>
          <w:jc w:val="center"/>
        </w:trPr>
        <w:tc>
          <w:tcPr>
            <w:tcW w:w="1545" w:type="dxa"/>
            <w:vAlign w:val="center"/>
          </w:tcPr>
          <w:p w14:paraId="648F31C9" w14:textId="77777777" w:rsidR="00F979B9" w:rsidRPr="00D71F8C" w:rsidRDefault="00F979B9" w:rsidP="002E0578">
            <w:pPr>
              <w:jc w:val="center"/>
              <w:rPr>
                <w:rFonts w:ascii="Calibri" w:hAnsi="Calibri" w:cs="Calibri"/>
              </w:rPr>
            </w:pPr>
            <w:r w:rsidRPr="00D71F8C">
              <w:rPr>
                <w:rFonts w:ascii="Calibri" w:hAnsi="Calibri" w:cs="Calibri"/>
              </w:rPr>
              <w:t>#103818</w:t>
            </w:r>
          </w:p>
        </w:tc>
        <w:tc>
          <w:tcPr>
            <w:tcW w:w="1770" w:type="dxa"/>
            <w:vAlign w:val="center"/>
          </w:tcPr>
          <w:p w14:paraId="6475E45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80.39</w:t>
            </w:r>
          </w:p>
        </w:tc>
        <w:tc>
          <w:tcPr>
            <w:tcW w:w="1710" w:type="dxa"/>
            <w:vAlign w:val="center"/>
          </w:tcPr>
          <w:p w14:paraId="19C65CF7"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71.00</w:t>
            </w:r>
          </w:p>
        </w:tc>
        <w:tc>
          <w:tcPr>
            <w:tcW w:w="285" w:type="dxa"/>
          </w:tcPr>
          <w:p w14:paraId="69E92467"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302677DC"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19.61</w:t>
            </w:r>
          </w:p>
        </w:tc>
        <w:tc>
          <w:tcPr>
            <w:tcW w:w="1260" w:type="dxa"/>
            <w:vAlign w:val="center"/>
          </w:tcPr>
          <w:p w14:paraId="4ED0F0BD"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19.00</w:t>
            </w:r>
          </w:p>
        </w:tc>
      </w:tr>
      <w:tr w:rsidR="00D71F8C" w:rsidRPr="00D71F8C" w14:paraId="575B9AD2" w14:textId="77777777" w:rsidTr="002E0578">
        <w:trPr>
          <w:jc w:val="center"/>
        </w:trPr>
        <w:tc>
          <w:tcPr>
            <w:tcW w:w="1545" w:type="dxa"/>
            <w:vAlign w:val="center"/>
          </w:tcPr>
          <w:p w14:paraId="4801D5DF" w14:textId="77777777" w:rsidR="00F979B9" w:rsidRPr="00D71F8C" w:rsidRDefault="00F979B9" w:rsidP="002E0578">
            <w:pPr>
              <w:jc w:val="center"/>
              <w:rPr>
                <w:rFonts w:ascii="Calibri" w:hAnsi="Calibri" w:cs="Calibri"/>
              </w:rPr>
            </w:pPr>
            <w:r w:rsidRPr="00D71F8C">
              <w:rPr>
                <w:rFonts w:ascii="Calibri" w:hAnsi="Calibri" w:cs="Calibri"/>
              </w:rPr>
              <w:t>#111312</w:t>
            </w:r>
          </w:p>
        </w:tc>
        <w:tc>
          <w:tcPr>
            <w:tcW w:w="1770" w:type="dxa"/>
            <w:vAlign w:val="center"/>
          </w:tcPr>
          <w:p w14:paraId="0976A794"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83.69</w:t>
            </w:r>
          </w:p>
        </w:tc>
        <w:tc>
          <w:tcPr>
            <w:tcW w:w="1710" w:type="dxa"/>
            <w:vAlign w:val="center"/>
          </w:tcPr>
          <w:p w14:paraId="28078AE5"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73.65</w:t>
            </w:r>
          </w:p>
        </w:tc>
        <w:tc>
          <w:tcPr>
            <w:tcW w:w="285" w:type="dxa"/>
          </w:tcPr>
          <w:p w14:paraId="44683A86"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6D99FD85"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16.31</w:t>
            </w:r>
          </w:p>
        </w:tc>
        <w:tc>
          <w:tcPr>
            <w:tcW w:w="1260" w:type="dxa"/>
            <w:vAlign w:val="center"/>
          </w:tcPr>
          <w:p w14:paraId="479FC529"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26.35</w:t>
            </w:r>
          </w:p>
        </w:tc>
      </w:tr>
      <w:tr w:rsidR="00D71F8C" w:rsidRPr="00D71F8C" w14:paraId="2B7ECBD1" w14:textId="77777777" w:rsidTr="002E0578">
        <w:trPr>
          <w:jc w:val="center"/>
        </w:trPr>
        <w:tc>
          <w:tcPr>
            <w:tcW w:w="1545" w:type="dxa"/>
            <w:vAlign w:val="center"/>
          </w:tcPr>
          <w:p w14:paraId="704F5DD3" w14:textId="77777777" w:rsidR="00F979B9" w:rsidRPr="00D71F8C" w:rsidRDefault="00F979B9" w:rsidP="002E0578">
            <w:pPr>
              <w:jc w:val="center"/>
              <w:rPr>
                <w:rFonts w:ascii="Calibri" w:hAnsi="Calibri" w:cs="Calibri"/>
              </w:rPr>
            </w:pPr>
            <w:r w:rsidRPr="00D71F8C">
              <w:rPr>
                <w:rFonts w:ascii="Calibri" w:hAnsi="Calibri" w:cs="Calibri"/>
              </w:rPr>
              <w:t>#115320</w:t>
            </w:r>
          </w:p>
        </w:tc>
        <w:tc>
          <w:tcPr>
            <w:tcW w:w="1770" w:type="dxa"/>
            <w:vAlign w:val="center"/>
          </w:tcPr>
          <w:p w14:paraId="2FCF6B4D"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79.93</w:t>
            </w:r>
          </w:p>
        </w:tc>
        <w:tc>
          <w:tcPr>
            <w:tcW w:w="1710" w:type="dxa"/>
            <w:vAlign w:val="center"/>
          </w:tcPr>
          <w:p w14:paraId="4354485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74.80</w:t>
            </w:r>
          </w:p>
        </w:tc>
        <w:tc>
          <w:tcPr>
            <w:tcW w:w="285" w:type="dxa"/>
          </w:tcPr>
          <w:p w14:paraId="1368ADAB"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31DB2E19"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20.07</w:t>
            </w:r>
          </w:p>
        </w:tc>
        <w:tc>
          <w:tcPr>
            <w:tcW w:w="1260" w:type="dxa"/>
            <w:vAlign w:val="center"/>
          </w:tcPr>
          <w:p w14:paraId="408438A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25.20</w:t>
            </w:r>
          </w:p>
        </w:tc>
      </w:tr>
      <w:tr w:rsidR="00D71F8C" w:rsidRPr="00D71F8C" w14:paraId="641CECE4" w14:textId="77777777" w:rsidTr="002E0578">
        <w:trPr>
          <w:jc w:val="center"/>
        </w:trPr>
        <w:tc>
          <w:tcPr>
            <w:tcW w:w="1545" w:type="dxa"/>
            <w:vAlign w:val="center"/>
          </w:tcPr>
          <w:p w14:paraId="3A5DE6A5" w14:textId="77777777" w:rsidR="00F979B9" w:rsidRPr="00D71F8C" w:rsidRDefault="00F979B9" w:rsidP="002E0578">
            <w:pPr>
              <w:jc w:val="center"/>
              <w:rPr>
                <w:rFonts w:ascii="Calibri" w:hAnsi="Calibri" w:cs="Calibri"/>
              </w:rPr>
            </w:pPr>
            <w:r w:rsidRPr="00D71F8C">
              <w:rPr>
                <w:rFonts w:ascii="Calibri" w:hAnsi="Calibri" w:cs="Calibri"/>
              </w:rPr>
              <w:t>#125525</w:t>
            </w:r>
          </w:p>
        </w:tc>
        <w:tc>
          <w:tcPr>
            <w:tcW w:w="1770" w:type="dxa"/>
            <w:vAlign w:val="center"/>
          </w:tcPr>
          <w:p w14:paraId="3F6619FD"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86.08</w:t>
            </w:r>
          </w:p>
        </w:tc>
        <w:tc>
          <w:tcPr>
            <w:tcW w:w="1710" w:type="dxa"/>
            <w:vAlign w:val="center"/>
          </w:tcPr>
          <w:p w14:paraId="4AFFD4C7"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79.59</w:t>
            </w:r>
          </w:p>
        </w:tc>
        <w:tc>
          <w:tcPr>
            <w:tcW w:w="285" w:type="dxa"/>
          </w:tcPr>
          <w:p w14:paraId="5392B646"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3E678F6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13.92</w:t>
            </w:r>
          </w:p>
        </w:tc>
        <w:tc>
          <w:tcPr>
            <w:tcW w:w="1260" w:type="dxa"/>
            <w:vAlign w:val="center"/>
          </w:tcPr>
          <w:p w14:paraId="25F5DC9B"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20.41</w:t>
            </w:r>
          </w:p>
        </w:tc>
      </w:tr>
      <w:tr w:rsidR="00D71F8C" w:rsidRPr="00D71F8C" w14:paraId="54ECA17D" w14:textId="77777777" w:rsidTr="002E0578">
        <w:trPr>
          <w:jc w:val="center"/>
        </w:trPr>
        <w:tc>
          <w:tcPr>
            <w:tcW w:w="1545" w:type="dxa"/>
            <w:vAlign w:val="center"/>
          </w:tcPr>
          <w:p w14:paraId="44B8C4B7" w14:textId="77777777" w:rsidR="00F979B9" w:rsidRPr="00D71F8C" w:rsidRDefault="00F979B9" w:rsidP="002E0578">
            <w:pPr>
              <w:jc w:val="center"/>
              <w:rPr>
                <w:rFonts w:ascii="Calibri" w:hAnsi="Calibri" w:cs="Calibri"/>
              </w:rPr>
            </w:pPr>
            <w:r w:rsidRPr="00D71F8C">
              <w:rPr>
                <w:rFonts w:ascii="Calibri" w:hAnsi="Calibri" w:cs="Calibri"/>
              </w:rPr>
              <w:t>#137128</w:t>
            </w:r>
          </w:p>
        </w:tc>
        <w:tc>
          <w:tcPr>
            <w:tcW w:w="1770" w:type="dxa"/>
            <w:vAlign w:val="center"/>
          </w:tcPr>
          <w:p w14:paraId="7F5F6ACE"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88.85</w:t>
            </w:r>
          </w:p>
        </w:tc>
        <w:tc>
          <w:tcPr>
            <w:tcW w:w="1710" w:type="dxa"/>
            <w:vAlign w:val="center"/>
          </w:tcPr>
          <w:p w14:paraId="0A91683C"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78.18</w:t>
            </w:r>
          </w:p>
        </w:tc>
        <w:tc>
          <w:tcPr>
            <w:tcW w:w="285" w:type="dxa"/>
          </w:tcPr>
          <w:p w14:paraId="075881F8" w14:textId="77777777" w:rsidR="00F979B9" w:rsidRPr="00D71F8C" w:rsidRDefault="00F979B9" w:rsidP="002E0578">
            <w:pPr>
              <w:spacing w:before="100" w:line="360" w:lineRule="auto"/>
              <w:rPr>
                <w:rFonts w:ascii="Arial" w:hAnsi="Arial" w:cs="Arial"/>
                <w:bCs/>
                <w:sz w:val="20"/>
                <w:szCs w:val="20"/>
              </w:rPr>
            </w:pPr>
          </w:p>
        </w:tc>
        <w:tc>
          <w:tcPr>
            <w:tcW w:w="1890" w:type="dxa"/>
            <w:vAlign w:val="center"/>
          </w:tcPr>
          <w:p w14:paraId="697EB519"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11.15</w:t>
            </w:r>
          </w:p>
        </w:tc>
        <w:tc>
          <w:tcPr>
            <w:tcW w:w="1260" w:type="dxa"/>
            <w:vAlign w:val="center"/>
          </w:tcPr>
          <w:p w14:paraId="3CF66E27"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21.82</w:t>
            </w:r>
          </w:p>
        </w:tc>
      </w:tr>
      <w:tr w:rsidR="00D71F8C" w:rsidRPr="00D71F8C" w14:paraId="29DECF43" w14:textId="77777777" w:rsidTr="002E0578">
        <w:trPr>
          <w:jc w:val="center"/>
        </w:trPr>
        <w:tc>
          <w:tcPr>
            <w:tcW w:w="1545" w:type="dxa"/>
            <w:tcBorders>
              <w:bottom w:val="single" w:sz="12" w:space="0" w:color="auto"/>
            </w:tcBorders>
            <w:vAlign w:val="center"/>
          </w:tcPr>
          <w:p w14:paraId="14FC11A7" w14:textId="77777777" w:rsidR="00F979B9" w:rsidRPr="00D71F8C" w:rsidRDefault="00F979B9" w:rsidP="002E0578">
            <w:pPr>
              <w:jc w:val="center"/>
              <w:rPr>
                <w:rFonts w:ascii="Calibri" w:hAnsi="Calibri" w:cs="Calibri"/>
              </w:rPr>
            </w:pPr>
            <w:r w:rsidRPr="00D71F8C">
              <w:rPr>
                <w:rFonts w:ascii="Calibri" w:hAnsi="Calibri" w:cs="Calibri"/>
              </w:rPr>
              <w:t>#144226</w:t>
            </w:r>
          </w:p>
        </w:tc>
        <w:tc>
          <w:tcPr>
            <w:tcW w:w="1770" w:type="dxa"/>
            <w:tcBorders>
              <w:bottom w:val="single" w:sz="12" w:space="0" w:color="auto"/>
            </w:tcBorders>
            <w:vAlign w:val="center"/>
          </w:tcPr>
          <w:p w14:paraId="253DF3F5"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87.34</w:t>
            </w:r>
          </w:p>
        </w:tc>
        <w:tc>
          <w:tcPr>
            <w:tcW w:w="1710" w:type="dxa"/>
            <w:tcBorders>
              <w:bottom w:val="single" w:sz="12" w:space="0" w:color="auto"/>
            </w:tcBorders>
            <w:vAlign w:val="center"/>
          </w:tcPr>
          <w:p w14:paraId="54C4D1FF"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68.09</w:t>
            </w:r>
          </w:p>
        </w:tc>
        <w:tc>
          <w:tcPr>
            <w:tcW w:w="285" w:type="dxa"/>
            <w:tcBorders>
              <w:bottom w:val="single" w:sz="12" w:space="0" w:color="auto"/>
            </w:tcBorders>
          </w:tcPr>
          <w:p w14:paraId="1DB9153B" w14:textId="77777777" w:rsidR="00F979B9" w:rsidRPr="00D71F8C" w:rsidRDefault="00F979B9" w:rsidP="002E0578">
            <w:pPr>
              <w:spacing w:before="100" w:line="360" w:lineRule="auto"/>
              <w:rPr>
                <w:rFonts w:ascii="Arial" w:hAnsi="Arial" w:cs="Arial"/>
                <w:bCs/>
                <w:sz w:val="20"/>
                <w:szCs w:val="20"/>
              </w:rPr>
            </w:pPr>
          </w:p>
        </w:tc>
        <w:tc>
          <w:tcPr>
            <w:tcW w:w="1890" w:type="dxa"/>
            <w:tcBorders>
              <w:bottom w:val="single" w:sz="12" w:space="0" w:color="auto"/>
            </w:tcBorders>
            <w:vAlign w:val="center"/>
          </w:tcPr>
          <w:p w14:paraId="607039FF"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12.66</w:t>
            </w:r>
          </w:p>
        </w:tc>
        <w:tc>
          <w:tcPr>
            <w:tcW w:w="1260" w:type="dxa"/>
            <w:vAlign w:val="center"/>
          </w:tcPr>
          <w:p w14:paraId="4C6DC301" w14:textId="77777777" w:rsidR="00F979B9" w:rsidRPr="00D71F8C" w:rsidRDefault="00F979B9" w:rsidP="002E0578">
            <w:pPr>
              <w:spacing w:before="100" w:line="360" w:lineRule="auto"/>
              <w:jc w:val="center"/>
              <w:rPr>
                <w:rFonts w:ascii="Arial" w:hAnsi="Arial" w:cs="Arial"/>
                <w:bCs/>
                <w:sz w:val="20"/>
                <w:szCs w:val="20"/>
              </w:rPr>
            </w:pPr>
            <w:r w:rsidRPr="00D71F8C">
              <w:rPr>
                <w:rFonts w:ascii="Arial" w:hAnsi="Arial" w:cs="Arial"/>
                <w:bCs/>
                <w:sz w:val="20"/>
                <w:szCs w:val="20"/>
              </w:rPr>
              <w:t>31.91</w:t>
            </w:r>
          </w:p>
        </w:tc>
      </w:tr>
      <w:tr w:rsidR="00D71F8C" w:rsidRPr="00D71F8C" w14:paraId="45B3AC10" w14:textId="77777777" w:rsidTr="002E0578">
        <w:trPr>
          <w:jc w:val="center"/>
        </w:trPr>
        <w:tc>
          <w:tcPr>
            <w:tcW w:w="1545" w:type="dxa"/>
            <w:tcBorders>
              <w:top w:val="single" w:sz="12" w:space="0" w:color="auto"/>
              <w:bottom w:val="single" w:sz="12" w:space="0" w:color="auto"/>
            </w:tcBorders>
            <w:shd w:val="clear" w:color="auto" w:fill="auto"/>
            <w:vAlign w:val="center"/>
          </w:tcPr>
          <w:p w14:paraId="63C20545" w14:textId="77777777" w:rsidR="00F979B9" w:rsidRPr="00D71F8C" w:rsidRDefault="00F979B9" w:rsidP="002E0578">
            <w:pPr>
              <w:jc w:val="center"/>
              <w:rPr>
                <w:rFonts w:ascii="Calibri" w:hAnsi="Calibri" w:cs="Calibri"/>
                <w:b/>
                <w:bCs/>
              </w:rPr>
            </w:pPr>
            <w:r w:rsidRPr="00D71F8C">
              <w:rPr>
                <w:rFonts w:ascii="Calibri" w:hAnsi="Calibri" w:cs="Calibri"/>
                <w:b/>
                <w:bCs/>
              </w:rPr>
              <w:t>Average</w:t>
            </w:r>
          </w:p>
        </w:tc>
        <w:tc>
          <w:tcPr>
            <w:tcW w:w="3480" w:type="dxa"/>
            <w:gridSpan w:val="2"/>
            <w:tcBorders>
              <w:top w:val="single" w:sz="12" w:space="0" w:color="auto"/>
              <w:bottom w:val="single" w:sz="12" w:space="0" w:color="auto"/>
            </w:tcBorders>
            <w:shd w:val="clear" w:color="auto" w:fill="auto"/>
            <w:vAlign w:val="center"/>
          </w:tcPr>
          <w:p w14:paraId="2551104B" w14:textId="77777777" w:rsidR="00F979B9" w:rsidRPr="00D71F8C" w:rsidRDefault="00F979B9" w:rsidP="002E0578">
            <w:pPr>
              <w:spacing w:before="100" w:line="360" w:lineRule="auto"/>
              <w:jc w:val="center"/>
              <w:rPr>
                <w:rFonts w:ascii="Arial" w:hAnsi="Arial" w:cs="Arial"/>
                <w:b/>
                <w:bCs/>
                <w:sz w:val="20"/>
                <w:szCs w:val="20"/>
              </w:rPr>
            </w:pPr>
            <w:r w:rsidRPr="00D71F8C">
              <w:rPr>
                <w:rFonts w:ascii="Arial" w:hAnsi="Arial" w:cs="Arial"/>
                <w:b/>
                <w:bCs/>
                <w:sz w:val="20"/>
                <w:szCs w:val="20"/>
              </w:rPr>
              <w:t>80.05</w:t>
            </w:r>
          </w:p>
        </w:tc>
        <w:tc>
          <w:tcPr>
            <w:tcW w:w="285" w:type="dxa"/>
            <w:tcBorders>
              <w:top w:val="single" w:sz="12" w:space="0" w:color="auto"/>
              <w:bottom w:val="single" w:sz="12" w:space="0" w:color="auto"/>
            </w:tcBorders>
            <w:shd w:val="clear" w:color="auto" w:fill="auto"/>
          </w:tcPr>
          <w:p w14:paraId="31EADA20" w14:textId="77777777" w:rsidR="00F979B9" w:rsidRPr="00D71F8C" w:rsidRDefault="00F979B9" w:rsidP="002E0578">
            <w:pPr>
              <w:spacing w:before="100" w:line="360" w:lineRule="auto"/>
              <w:jc w:val="center"/>
              <w:rPr>
                <w:rFonts w:ascii="Arial" w:hAnsi="Arial" w:cs="Arial"/>
                <w:b/>
                <w:bCs/>
                <w:sz w:val="20"/>
                <w:szCs w:val="20"/>
              </w:rPr>
            </w:pPr>
          </w:p>
        </w:tc>
        <w:tc>
          <w:tcPr>
            <w:tcW w:w="3150" w:type="dxa"/>
            <w:gridSpan w:val="2"/>
            <w:tcBorders>
              <w:top w:val="single" w:sz="12" w:space="0" w:color="auto"/>
              <w:bottom w:val="single" w:sz="12" w:space="0" w:color="auto"/>
            </w:tcBorders>
            <w:shd w:val="clear" w:color="auto" w:fill="auto"/>
            <w:vAlign w:val="center"/>
          </w:tcPr>
          <w:p w14:paraId="19BEBF0A" w14:textId="77777777" w:rsidR="00F979B9" w:rsidRPr="00D71F8C" w:rsidRDefault="00F979B9" w:rsidP="002E0578">
            <w:pPr>
              <w:spacing w:before="100" w:line="360" w:lineRule="auto"/>
              <w:jc w:val="center"/>
              <w:rPr>
                <w:rFonts w:ascii="Arial" w:hAnsi="Arial" w:cs="Arial"/>
                <w:b/>
                <w:bCs/>
                <w:sz w:val="20"/>
                <w:szCs w:val="20"/>
              </w:rPr>
            </w:pPr>
            <w:r w:rsidRPr="00D71F8C">
              <w:rPr>
                <w:rFonts w:ascii="Arial" w:hAnsi="Arial" w:cs="Arial"/>
                <w:b/>
                <w:bCs/>
                <w:sz w:val="20"/>
                <w:szCs w:val="20"/>
              </w:rPr>
              <w:t>19.95</w:t>
            </w:r>
          </w:p>
        </w:tc>
      </w:tr>
    </w:tbl>
    <w:p w14:paraId="72B8BF09" w14:textId="17595B48" w:rsidR="00600155" w:rsidRPr="00D71F8C" w:rsidRDefault="00600155" w:rsidP="00600155">
      <w:pPr>
        <w:tabs>
          <w:tab w:val="left" w:pos="3401"/>
        </w:tabs>
        <w:jc w:val="both"/>
        <w:rPr>
          <w:rFonts w:ascii="Arial" w:hAnsi="Arial" w:cs="Arial"/>
          <w:sz w:val="20"/>
        </w:rPr>
      </w:pPr>
      <w:r w:rsidRPr="00D71F8C">
        <w:rPr>
          <w:rFonts w:ascii="Arial" w:hAnsi="Arial" w:cs="Arial"/>
          <w:sz w:val="20"/>
        </w:rPr>
        <w:t xml:space="preserve"> </w:t>
      </w:r>
    </w:p>
    <w:sectPr w:rsidR="00600155" w:rsidRPr="00D71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LTStd-Lt">
    <w:altName w:val="Arial"/>
    <w:charset w:val="00"/>
    <w:family w:val="auto"/>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EE"/>
    <w:rsid w:val="000B76FD"/>
    <w:rsid w:val="00125263"/>
    <w:rsid w:val="00153336"/>
    <w:rsid w:val="001C5835"/>
    <w:rsid w:val="002829A8"/>
    <w:rsid w:val="002E2FEE"/>
    <w:rsid w:val="00463372"/>
    <w:rsid w:val="0056640D"/>
    <w:rsid w:val="00572310"/>
    <w:rsid w:val="005746CD"/>
    <w:rsid w:val="005F5CC6"/>
    <w:rsid w:val="00600155"/>
    <w:rsid w:val="00604287"/>
    <w:rsid w:val="007A7F82"/>
    <w:rsid w:val="008B3B68"/>
    <w:rsid w:val="00AB6572"/>
    <w:rsid w:val="00BC4BD7"/>
    <w:rsid w:val="00BC784E"/>
    <w:rsid w:val="00D71F8C"/>
    <w:rsid w:val="00DE66E7"/>
    <w:rsid w:val="00F979B9"/>
    <w:rsid w:val="00FD3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EAE11"/>
  <w15:chartTrackingRefBased/>
  <w15:docId w15:val="{38E6A5F8-BFF3-4A23-8045-C01C946ED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9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979B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979B9"/>
    <w:rPr>
      <w:color w:val="0000FF"/>
      <w:u w:val="single"/>
    </w:rPr>
  </w:style>
  <w:style w:type="character" w:styleId="CommentReference">
    <w:name w:val="annotation reference"/>
    <w:basedOn w:val="DefaultParagraphFont"/>
    <w:uiPriority w:val="99"/>
    <w:semiHidden/>
    <w:unhideWhenUsed/>
    <w:rsid w:val="00153336"/>
    <w:rPr>
      <w:sz w:val="16"/>
      <w:szCs w:val="16"/>
    </w:rPr>
  </w:style>
  <w:style w:type="paragraph" w:styleId="CommentText">
    <w:name w:val="annotation text"/>
    <w:basedOn w:val="Normal"/>
    <w:link w:val="CommentTextChar"/>
    <w:uiPriority w:val="99"/>
    <w:unhideWhenUsed/>
    <w:rsid w:val="00153336"/>
    <w:pPr>
      <w:spacing w:line="240" w:lineRule="auto"/>
    </w:pPr>
    <w:rPr>
      <w:sz w:val="20"/>
      <w:szCs w:val="20"/>
    </w:rPr>
  </w:style>
  <w:style w:type="character" w:customStyle="1" w:styleId="CommentTextChar">
    <w:name w:val="Comment Text Char"/>
    <w:basedOn w:val="DefaultParagraphFont"/>
    <w:link w:val="CommentText"/>
    <w:uiPriority w:val="99"/>
    <w:rsid w:val="00153336"/>
    <w:rPr>
      <w:sz w:val="20"/>
      <w:szCs w:val="20"/>
    </w:rPr>
  </w:style>
  <w:style w:type="paragraph" w:styleId="BalloonText">
    <w:name w:val="Balloon Text"/>
    <w:basedOn w:val="Normal"/>
    <w:link w:val="BalloonTextChar"/>
    <w:uiPriority w:val="99"/>
    <w:semiHidden/>
    <w:unhideWhenUsed/>
    <w:rsid w:val="001533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3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svg"/><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hyperlink" Target="https://orcid.org/0000-0002-8421-9688" TargetMode="External"/><Relationship Id="rId10" Type="http://schemas.openxmlformats.org/officeDocument/2006/relationships/image" Target="media/image5.png"/><Relationship Id="rId4" Type="http://schemas.openxmlformats.org/officeDocument/2006/relationships/hyperlink" Target="mailto:mrazavi@binghamton.edu" TargetMode="External"/><Relationship Id="rId9" Type="http://schemas.openxmlformats.org/officeDocument/2006/relationships/image" Target="media/image4.sv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558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Jalil Razavi Aghjeh</dc:creator>
  <cp:keywords/>
  <dc:description/>
  <cp:lastModifiedBy>Akbar Solhtalab</cp:lastModifiedBy>
  <cp:revision>25</cp:revision>
  <cp:lastPrinted>2024-08-25T16:52:00Z</cp:lastPrinted>
  <dcterms:created xsi:type="dcterms:W3CDTF">2024-05-01T22:59:00Z</dcterms:created>
  <dcterms:modified xsi:type="dcterms:W3CDTF">2024-09-18T16:33:00Z</dcterms:modified>
</cp:coreProperties>
</file>