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2F5" w:rsidRPr="00BE62F5" w:rsidRDefault="00BE62F5" w:rsidP="00BE62F5">
      <w:pPr>
        <w:adjustRightInd/>
        <w:snapToGrid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BE62F5">
        <w:rPr>
          <w:rFonts w:ascii="Times New Roman" w:hAnsi="Times New Roman" w:cs="Times New Roman"/>
          <w:b/>
          <w:sz w:val="20"/>
          <w:szCs w:val="20"/>
        </w:rPr>
        <w:t xml:space="preserve">Supplementary figure 1. </w:t>
      </w:r>
    </w:p>
    <w:p w:rsidR="00BE62F5" w:rsidRPr="00BE62F5" w:rsidRDefault="00BE62F5" w:rsidP="00BE62F5">
      <w:pPr>
        <w:adjustRightInd/>
        <w:snapToGrid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BE62F5">
        <w:rPr>
          <w:rFonts w:ascii="Times New Roman" w:hAnsi="Times New Roman" w:cs="Times New Roman"/>
          <w:sz w:val="20"/>
          <w:szCs w:val="20"/>
        </w:rPr>
        <w:t>Cohort flow chart illustrating the inclusion and exclusion of RCC subjects in the study.</w:t>
      </w:r>
    </w:p>
    <w:p w:rsidR="00BE62F5" w:rsidRPr="00BE62F5" w:rsidRDefault="00BE62F5" w:rsidP="00BE62F5">
      <w:pPr>
        <w:adjustRightInd/>
        <w:snapToGrid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BE62F5">
        <w:rPr>
          <w:rFonts w:ascii="Times New Roman" w:hAnsi="Times New Roman" w:cs="Times New Roman"/>
          <w:sz w:val="20"/>
          <w:szCs w:val="20"/>
        </w:rPr>
        <w:t>Of 148 participants assessed for study eligibility, 132 were included. Reasons for screening</w:t>
      </w:r>
    </w:p>
    <w:p w:rsidR="00BE62F5" w:rsidRPr="00BE62F5" w:rsidRDefault="00BE62F5" w:rsidP="00BE62F5">
      <w:pPr>
        <w:adjustRightInd/>
        <w:snapToGrid/>
        <w:spacing w:line="36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BE62F5">
        <w:rPr>
          <w:rFonts w:ascii="Times New Roman" w:hAnsi="Times New Roman" w:cs="Times New Roman"/>
          <w:sz w:val="20"/>
          <w:szCs w:val="20"/>
        </w:rPr>
        <w:t>failures</w:t>
      </w:r>
      <w:proofErr w:type="gramEnd"/>
      <w:r w:rsidRPr="00BE62F5">
        <w:rPr>
          <w:rFonts w:ascii="Times New Roman" w:hAnsi="Times New Roman" w:cs="Times New Roman"/>
          <w:sz w:val="20"/>
          <w:szCs w:val="20"/>
        </w:rPr>
        <w:t xml:space="preserve"> are displayed </w:t>
      </w:r>
      <w:r>
        <w:rPr>
          <w:rFonts w:ascii="Times New Roman" w:hAnsi="Times New Roman" w:cs="Times New Roman"/>
          <w:sz w:val="20"/>
          <w:szCs w:val="20"/>
        </w:rPr>
        <w:t>in figure</w:t>
      </w:r>
      <w:r w:rsidR="00FF6450">
        <w:rPr>
          <w:rFonts w:ascii="Times New Roman" w:hAnsi="Times New Roman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1.45pt;height:330.85pt">
            <v:imagedata r:id="rId6" o:title="Figure 1_ flow chart"/>
          </v:shape>
        </w:pict>
      </w:r>
      <w:r w:rsidRPr="00BE62F5">
        <w:rPr>
          <w:rFonts w:ascii="Times New Roman" w:hAnsi="Times New Roman" w:cs="Times New Roman"/>
          <w:sz w:val="20"/>
          <w:szCs w:val="20"/>
        </w:rPr>
        <w:t>.</w:t>
      </w:r>
    </w:p>
    <w:p w:rsidR="00BE62F5" w:rsidRDefault="00BE62F5">
      <w:pPr>
        <w:adjustRightInd/>
        <w:snapToGrid/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E37C69" w:rsidRPr="00301800" w:rsidRDefault="00BE62F5" w:rsidP="00BE62F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Supplementary figure 2</w:t>
      </w:r>
      <w:r w:rsidR="00E37C69" w:rsidRPr="00301800">
        <w:rPr>
          <w:rFonts w:ascii="Times New Roman" w:hAnsi="Times New Roman" w:cs="Times New Roman"/>
          <w:sz w:val="20"/>
          <w:szCs w:val="20"/>
        </w:rPr>
        <w:t xml:space="preserve"> Progression-free survival on first-line tyrosin</w:t>
      </w:r>
      <w:r w:rsidR="00FF6450">
        <w:rPr>
          <w:rFonts w:ascii="Times New Roman" w:hAnsi="Times New Roman" w:cs="Times New Roman"/>
          <w:sz w:val="20"/>
          <w:szCs w:val="20"/>
        </w:rPr>
        <w:t>e kinase inhibitor (sunitinib</w:t>
      </w:r>
      <w:r w:rsidR="00E37C69" w:rsidRPr="00301800">
        <w:rPr>
          <w:rFonts w:ascii="Times New Roman" w:hAnsi="Times New Roman" w:cs="Times New Roman"/>
          <w:sz w:val="20"/>
          <w:szCs w:val="20"/>
        </w:rPr>
        <w:t>) versus second-line treatment with sorafenib</w:t>
      </w:r>
    </w:p>
    <w:p w:rsidR="00BE62F5" w:rsidRDefault="007D5A20">
      <w:bookmarkStart w:id="0" w:name="_GoBack"/>
      <w:bookmarkEnd w:id="0"/>
      <w:r>
        <w:pict>
          <v:shape id="_x0000_i1026" type="#_x0000_t75" style="width:441.45pt;height:297.45pt">
            <v:imagedata r:id="rId7" o:title="Supplementary figure 2"/>
          </v:shape>
        </w:pict>
      </w:r>
    </w:p>
    <w:p w:rsidR="00BE62F5" w:rsidRDefault="00BE62F5">
      <w:pPr>
        <w:adjustRightInd/>
        <w:snapToGrid/>
        <w:spacing w:line="240" w:lineRule="auto"/>
      </w:pPr>
      <w:r>
        <w:br w:type="page"/>
      </w:r>
    </w:p>
    <w:p w:rsidR="00BE62F5" w:rsidRPr="00301800" w:rsidRDefault="00787D45" w:rsidP="00BE62F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pict>
          <v:shape id="_x0000_s1026" type="#_x0000_t75" style="position:absolute;margin-left:-6pt;margin-top:121.45pt;width:441.45pt;height:294.85pt;z-index:251659264;mso-position-horizontal-relative:text;mso-position-vertical-relative:text;mso-width-relative:page;mso-height-relative:page">
            <v:imagedata r:id="rId8" o:title="Supplementary figure 3"/>
            <w10:wrap type="topAndBottom"/>
          </v:shape>
        </w:pict>
      </w:r>
      <w:r w:rsidR="00BE62F5" w:rsidRPr="00BE62F5">
        <w:rPr>
          <w:rFonts w:ascii="Times New Roman" w:hAnsi="Times New Roman" w:cs="Times New Roman"/>
          <w:b/>
          <w:sz w:val="20"/>
          <w:szCs w:val="20"/>
        </w:rPr>
        <w:t>Supplementary figure 3.</w:t>
      </w:r>
      <w:r w:rsidR="00BE62F5" w:rsidRPr="00BE62F5">
        <w:rPr>
          <w:rFonts w:ascii="Times New Roman" w:hAnsi="Times New Roman" w:cs="Times New Roman"/>
          <w:sz w:val="20"/>
          <w:szCs w:val="20"/>
        </w:rPr>
        <w:t xml:space="preserve"> Progression-free survival on sorafenib in subjects with no risk factors (favorable prognosis) and ≥1 risk factors (intermediate prognosis)</w:t>
      </w:r>
    </w:p>
    <w:p w:rsidR="00361375" w:rsidRDefault="00787D45"/>
    <w:sectPr w:rsidR="00361375">
      <w:headerReference w:type="default" r:id="rId9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7D45" w:rsidRDefault="00787D45">
      <w:pPr>
        <w:spacing w:line="240" w:lineRule="auto"/>
      </w:pPr>
      <w:r>
        <w:separator/>
      </w:r>
    </w:p>
  </w:endnote>
  <w:endnote w:type="continuationSeparator" w:id="0">
    <w:p w:rsidR="00787D45" w:rsidRDefault="00787D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7D45" w:rsidRDefault="00787D45">
      <w:pPr>
        <w:spacing w:line="240" w:lineRule="auto"/>
      </w:pPr>
      <w:r>
        <w:separator/>
      </w:r>
    </w:p>
  </w:footnote>
  <w:footnote w:type="continuationSeparator" w:id="0">
    <w:p w:rsidR="00787D45" w:rsidRDefault="00787D4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1662164"/>
      <w:docPartObj>
        <w:docPartGallery w:val="Page Numbers (Top of Page)"/>
        <w:docPartUnique/>
      </w:docPartObj>
    </w:sdtPr>
    <w:sdtEndPr/>
    <w:sdtContent>
      <w:p w:rsidR="00E1388E" w:rsidRDefault="00E37C69">
        <w:pPr>
          <w:pStyle w:val="Encabezad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5A20" w:rsidRPr="007D5A20">
          <w:rPr>
            <w:noProof/>
            <w:lang w:val="es-ES"/>
          </w:rPr>
          <w:t>3</w:t>
        </w:r>
        <w:r>
          <w:fldChar w:fldCharType="end"/>
        </w:r>
      </w:p>
      <w:p w:rsidR="00E1388E" w:rsidRDefault="00E37C69" w:rsidP="007124BA">
        <w:pPr>
          <w:pStyle w:val="Encabezado"/>
        </w:pPr>
        <w:r>
          <w:t>Martin-Aguilar</w:t>
        </w:r>
      </w:p>
    </w:sdtContent>
  </w:sdt>
  <w:p w:rsidR="00E1388E" w:rsidRPr="007124BA" w:rsidRDefault="00787D45" w:rsidP="007124B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8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C69"/>
    <w:rsid w:val="004E77FB"/>
    <w:rsid w:val="00787D45"/>
    <w:rsid w:val="007D5A20"/>
    <w:rsid w:val="008C5920"/>
    <w:rsid w:val="00AA7EEB"/>
    <w:rsid w:val="00BE62F5"/>
    <w:rsid w:val="00E37C69"/>
    <w:rsid w:val="00FF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A8A3723A-D89E-954F-9F4F-333F2189E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7C69"/>
    <w:pPr>
      <w:adjustRightInd w:val="0"/>
      <w:snapToGrid w:val="0"/>
      <w:spacing w:line="480" w:lineRule="auto"/>
    </w:pPr>
    <w:rPr>
      <w:color w:val="000000" w:themeColor="text1"/>
      <w:sz w:val="22"/>
      <w:szCs w:val="22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37C69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7C69"/>
    <w:rPr>
      <w:color w:val="000000" w:themeColor="text1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10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RAMIREZ SANDOVAL</dc:creator>
  <cp:keywords/>
  <dc:description/>
  <cp:lastModifiedBy>Juan Carlos Ramirez Sandoval</cp:lastModifiedBy>
  <cp:revision>5</cp:revision>
  <dcterms:created xsi:type="dcterms:W3CDTF">2020-04-16T19:48:00Z</dcterms:created>
  <dcterms:modified xsi:type="dcterms:W3CDTF">2020-11-17T17:58:00Z</dcterms:modified>
</cp:coreProperties>
</file>