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32FA8C" w14:textId="77777777" w:rsidR="00E5511E" w:rsidRPr="00935C38" w:rsidRDefault="00E5511E" w:rsidP="00935C38">
      <w:pPr>
        <w:pStyle w:val="Heading1"/>
        <w:rPr>
          <w:rFonts w:ascii="Times New Roman" w:eastAsia="Times New Roman" w:hAnsi="Times New Roman" w:cs="Times New Roman"/>
        </w:rPr>
      </w:pPr>
      <w:r w:rsidRPr="00935C38">
        <w:rPr>
          <w:rFonts w:ascii="Times New Roman" w:eastAsia="Times New Roman" w:hAnsi="Times New Roman" w:cs="Times New Roman"/>
        </w:rPr>
        <w:t>Supplementary materials</w:t>
      </w:r>
    </w:p>
    <w:p w14:paraId="06C2AFEB" w14:textId="77777777" w:rsidR="00E5511E" w:rsidRPr="00D41F20" w:rsidRDefault="00E5511E" w:rsidP="00E5511E">
      <w:pPr>
        <w:spacing w:line="480" w:lineRule="auto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Supplementary table S1. </w:t>
      </w:r>
      <w:r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>List of antibodies used in immunocytochemistry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9"/>
        <w:gridCol w:w="1601"/>
        <w:gridCol w:w="1111"/>
        <w:gridCol w:w="1669"/>
        <w:gridCol w:w="1219"/>
        <w:gridCol w:w="1244"/>
        <w:gridCol w:w="1277"/>
      </w:tblGrid>
      <w:tr w:rsidR="00E5511E" w14:paraId="40FA0C22" w14:textId="77777777" w:rsidTr="00604739"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382CA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41F20">
              <w:rPr>
                <w:rFonts w:ascii="Times New Roman" w:eastAsia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1D76F8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41F20">
              <w:rPr>
                <w:rFonts w:ascii="Times New Roman" w:eastAsia="Times New Roman" w:hAnsi="Times New Roman" w:cs="Times New Roman"/>
                <w:b/>
                <w:bCs/>
              </w:rPr>
              <w:t>Antibody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69DE09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41F20">
              <w:rPr>
                <w:rFonts w:ascii="Times New Roman" w:eastAsia="Times New Roman" w:hAnsi="Times New Roman" w:cs="Times New Roman"/>
                <w:b/>
                <w:bCs/>
              </w:rPr>
              <w:t>Origin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77E639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Manufacturer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C7E237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Cat. No.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3E12B9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Dilution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612CA2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Fixation</w:t>
            </w:r>
          </w:p>
        </w:tc>
      </w:tr>
      <w:tr w:rsidR="00E5511E" w14:paraId="33E2C67F" w14:textId="77777777" w:rsidTr="00604739"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3B0408E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C185B">
              <w:rPr>
                <w:rFonts w:ascii="Times New Roman" w:eastAsia="Times New Roman" w:hAnsi="Times New Roman" w:cs="Times New Roman"/>
              </w:rPr>
              <w:t>Primary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A95703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aSMA</w:t>
            </w:r>
            <w:proofErr w:type="spellEnd"/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7BD640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mouse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D705A8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Sigma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00BE8C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A5228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9AC365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1:300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246DEEB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FA/MeOH</w:t>
            </w:r>
          </w:p>
        </w:tc>
      </w:tr>
      <w:tr w:rsidR="00E5511E" w14:paraId="0002AC26" w14:textId="77777777" w:rsidTr="00604739">
        <w:tc>
          <w:tcPr>
            <w:tcW w:w="122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E5C9E9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 w14:paraId="137FA5F8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CD13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230EE905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mouse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14:paraId="0E0E3B10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Santa Cruz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52FC8AE9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sc-166105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3D69EC07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1:200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90AB27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FA</w:t>
            </w:r>
          </w:p>
        </w:tc>
      </w:tr>
      <w:tr w:rsidR="00E5511E" w14:paraId="57FFB6A8" w14:textId="77777777" w:rsidTr="00604739">
        <w:tc>
          <w:tcPr>
            <w:tcW w:w="122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92CB08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 w14:paraId="77839F3C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PDGFRa&amp;b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0F80CAB7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rabbit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14:paraId="5AED9570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Abcam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678AC40D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ab32570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519002CF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1:100-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125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C8A21B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FA/MeOH</w:t>
            </w:r>
          </w:p>
        </w:tc>
      </w:tr>
      <w:tr w:rsidR="00E5511E" w14:paraId="5EC0A415" w14:textId="77777777" w:rsidTr="00604739">
        <w:tc>
          <w:tcPr>
            <w:tcW w:w="1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80F2480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F7F154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VE-cadherin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F21184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mouse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969AF2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Santa Cruz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C2ECEA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sc-9989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078CEC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1:100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B61140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41F20">
              <w:rPr>
                <w:rFonts w:ascii="Times New Roman" w:eastAsia="Times New Roman" w:hAnsi="Times New Roman" w:cs="Times New Roman"/>
                <w:sz w:val="22"/>
                <w:szCs w:val="22"/>
              </w:rPr>
              <w:t>MeOH</w:t>
            </w:r>
          </w:p>
        </w:tc>
      </w:tr>
      <w:tr w:rsidR="00E5511E" w14:paraId="669B4896" w14:textId="77777777" w:rsidTr="00604739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F639FAF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C185B">
              <w:rPr>
                <w:rFonts w:ascii="Times New Roman" w:eastAsia="Times New Roman" w:hAnsi="Times New Roman" w:cs="Times New Roman"/>
              </w:rPr>
              <w:t>Secondary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F1BF2F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anti-mouse 488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405A46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goat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D3EE00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Invitrogen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5E1CCF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A11001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8434D9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1:300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FEC4837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E5511E" w14:paraId="33110D8C" w14:textId="77777777" w:rsidTr="00604739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E3C7DD4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B417F7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anti-rabbit 568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83294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goat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89150E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Invitrogen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F9AA42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A11011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05564F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1:300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CCCE3F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14:paraId="3041725A" w14:textId="77777777" w:rsidR="00E5511E" w:rsidRPr="009B38DE" w:rsidRDefault="00E5511E" w:rsidP="00E5511E">
      <w:pPr>
        <w:spacing w:line="480" w:lineRule="auto"/>
        <w:rPr>
          <w:rFonts w:ascii="Times New Roman" w:eastAsia="Times New Roman" w:hAnsi="Times New Roman" w:cs="Times New Roman"/>
          <w:i/>
          <w:iCs/>
        </w:rPr>
      </w:pPr>
    </w:p>
    <w:p w14:paraId="59CCACE7" w14:textId="77777777" w:rsidR="00E5511E" w:rsidRPr="00D41F20" w:rsidRDefault="00E5511E" w:rsidP="00E5511E">
      <w:pPr>
        <w:spacing w:line="480" w:lineRule="auto"/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</w:pPr>
      <w:r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Supplementary table S2. </w:t>
      </w:r>
      <w:r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>List of primers used in RT-qPCR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4253"/>
        <w:gridCol w:w="3117"/>
      </w:tblGrid>
      <w:tr w:rsidR="00E5511E" w14:paraId="36F83305" w14:textId="77777777" w:rsidTr="00604739"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11FB54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41F20">
              <w:rPr>
                <w:rFonts w:ascii="Times New Roman" w:eastAsia="Times New Roman" w:hAnsi="Times New Roman" w:cs="Times New Roman"/>
                <w:b/>
                <w:bCs/>
              </w:rPr>
              <w:t>Gene symbol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E37E15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41F20">
              <w:rPr>
                <w:rFonts w:ascii="Times New Roman" w:eastAsia="Times New Roman" w:hAnsi="Times New Roman" w:cs="Times New Roman"/>
                <w:b/>
                <w:bCs/>
              </w:rPr>
              <w:t>Gene name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68F127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D41F20">
              <w:rPr>
                <w:rFonts w:ascii="Times New Roman" w:eastAsia="Times New Roman" w:hAnsi="Times New Roman" w:cs="Times New Roman"/>
                <w:b/>
                <w:bCs/>
              </w:rPr>
              <w:t>TagMan</w:t>
            </w:r>
            <w:proofErr w:type="spellEnd"/>
            <w:r w:rsidRPr="00D41F20">
              <w:rPr>
                <w:rFonts w:ascii="Times New Roman" w:eastAsia="Times New Roman" w:hAnsi="Times New Roman" w:cs="Times New Roman"/>
                <w:b/>
                <w:bCs/>
              </w:rPr>
              <w:t xml:space="preserve"> Gene expression assay ID</w:t>
            </w:r>
          </w:p>
        </w:tc>
      </w:tr>
      <w:tr w:rsidR="00E5511E" w:rsidRPr="0032737D" w14:paraId="4F15D229" w14:textId="77777777" w:rsidTr="0060473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ACA1617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D41F20">
              <w:rPr>
                <w:rFonts w:ascii="Times New Roman" w:eastAsia="Times New Roman" w:hAnsi="Times New Roman" w:cs="Times New Roman"/>
              </w:rPr>
              <w:t>ACTB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BE50F0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Beta-actin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133E645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4326315 E</w:t>
            </w:r>
          </w:p>
        </w:tc>
      </w:tr>
      <w:tr w:rsidR="00E5511E" w:rsidRPr="0032737D" w14:paraId="295CB7F0" w14:textId="77777777" w:rsidTr="00604739"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2C5AB8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32737D">
              <w:rPr>
                <w:rFonts w:ascii="Times New Roman" w:eastAsia="Times New Roman" w:hAnsi="Times New Roman" w:cs="Times New Roman"/>
              </w:rPr>
              <w:t>CSPG4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7A106EF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Chondroitin Sulfate Proteoglycan 4 (Neural/glial antigen 2, NG2)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93BA3E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Hs00426981_m1</w:t>
            </w:r>
          </w:p>
        </w:tc>
      </w:tr>
      <w:tr w:rsidR="00E5511E" w:rsidRPr="0032737D" w14:paraId="6FB6465F" w14:textId="77777777" w:rsidTr="00604739"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093CBD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32737D">
              <w:rPr>
                <w:rFonts w:ascii="Times New Roman" w:eastAsia="Times New Roman" w:hAnsi="Times New Roman" w:cs="Times New Roman"/>
              </w:rPr>
              <w:t>LRRK2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E6C1499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Leucine rich repeat kinase 2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5F07AE" w14:textId="77777777" w:rsidR="00E5511E" w:rsidRPr="00D41F20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Hs00968209_m1</w:t>
            </w:r>
          </w:p>
        </w:tc>
      </w:tr>
      <w:tr w:rsidR="00E5511E" w:rsidRPr="0032737D" w14:paraId="427230B5" w14:textId="77777777" w:rsidTr="00604739"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B69223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32737D">
              <w:rPr>
                <w:rFonts w:ascii="Times New Roman" w:eastAsia="Times New Roman" w:hAnsi="Times New Roman" w:cs="Times New Roman"/>
              </w:rPr>
              <w:t>OCLN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D112AA5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Occludin</w:t>
            </w:r>
            <w:proofErr w:type="spellEnd"/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9DE54B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Hs00170162_m1</w:t>
            </w:r>
          </w:p>
        </w:tc>
      </w:tr>
      <w:tr w:rsidR="00E5511E" w:rsidRPr="0032737D" w14:paraId="645B8788" w14:textId="77777777" w:rsidTr="00604739"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C36E04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2737D">
              <w:rPr>
                <w:rFonts w:ascii="Times New Roman" w:eastAsia="Times New Roman" w:hAnsi="Times New Roman" w:cs="Times New Roman"/>
              </w:rPr>
              <w:t>PDGFRb</w:t>
            </w:r>
            <w:proofErr w:type="spellEnd"/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1605643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Platelet derived growth factor beta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DA14C4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Hs01019589_m1</w:t>
            </w:r>
          </w:p>
        </w:tc>
      </w:tr>
      <w:tr w:rsidR="00E5511E" w:rsidRPr="0032737D" w14:paraId="2D2A9957" w14:textId="77777777" w:rsidTr="00604739"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6B4E90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32737D">
              <w:rPr>
                <w:rFonts w:ascii="Times New Roman" w:eastAsia="Times New Roman" w:hAnsi="Times New Roman" w:cs="Times New Roman"/>
              </w:rPr>
              <w:t>SNCA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DB1C233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Synuclein alpha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742134" w14:textId="77777777" w:rsidR="00E5511E" w:rsidRPr="0032737D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Hs01103383_m1</w:t>
            </w:r>
          </w:p>
        </w:tc>
      </w:tr>
      <w:tr w:rsidR="00E5511E" w14:paraId="5DB65C09" w14:textId="77777777" w:rsidTr="00604739"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496317" w14:textId="77777777" w:rsidR="00E5511E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32737D">
              <w:rPr>
                <w:rFonts w:ascii="Times New Roman" w:eastAsia="Times New Roman" w:hAnsi="Times New Roman" w:cs="Times New Roman"/>
              </w:rPr>
              <w:t>VTN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6B43F1" w14:textId="77777777" w:rsidR="00E5511E" w:rsidRPr="00D01769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Vitronectin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1A658B" w14:textId="77777777" w:rsidR="00E5511E" w:rsidRPr="00D01769" w:rsidRDefault="00E5511E" w:rsidP="00E17FF5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Hs00169863_m1</w:t>
            </w:r>
          </w:p>
        </w:tc>
      </w:tr>
    </w:tbl>
    <w:p w14:paraId="37F5BD9B" w14:textId="77777777" w:rsidR="00E5511E" w:rsidRPr="00813018" w:rsidRDefault="00E5511E" w:rsidP="00E5511E">
      <w:pPr>
        <w:spacing w:line="480" w:lineRule="auto"/>
        <w:rPr>
          <w:rFonts w:ascii="Times New Roman" w:eastAsia="Times New Roman" w:hAnsi="Times New Roman" w:cs="Times New Roman"/>
        </w:rPr>
      </w:pPr>
    </w:p>
    <w:p w14:paraId="6977B235" w14:textId="77777777" w:rsidR="00E5511E" w:rsidRPr="00813018" w:rsidRDefault="00E5511E" w:rsidP="00E5511E">
      <w:pPr>
        <w:spacing w:line="480" w:lineRule="auto"/>
        <w:rPr>
          <w:rFonts w:ascii="Times New Roman" w:eastAsia="Times New Roman" w:hAnsi="Times New Roman" w:cs="Times New Roman"/>
          <w:lang w:val="fi-FI"/>
        </w:rPr>
      </w:pPr>
    </w:p>
    <w:p w14:paraId="2FFC7F5C" w14:textId="566C49CD" w:rsidR="00E5511E" w:rsidRPr="005E45FC" w:rsidRDefault="00935C38" w:rsidP="00E5511E">
      <w:pPr>
        <w:spacing w:line="48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935C38">
        <w:rPr>
          <w:rFonts w:ascii="Times New Roman" w:eastAsia="Times New Roman" w:hAnsi="Times New Roman" w:cs="Times New Roman"/>
          <w:i/>
          <w:iCs/>
          <w:noProof/>
          <w:sz w:val="22"/>
          <w:szCs w:val="22"/>
        </w:rPr>
        <w:lastRenderedPageBreak/>
        <w:drawing>
          <wp:inline distT="0" distB="0" distL="0" distR="0" wp14:anchorId="55C74277" wp14:editId="048F4D1F">
            <wp:extent cx="5772150" cy="3024829"/>
            <wp:effectExtent l="0" t="0" r="0" b="4445"/>
            <wp:docPr id="1417582963" name="Picture 2" descr="A bar graph with blue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bar graph with blue and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007" cy="303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5C38">
        <w:rPr>
          <w:rFonts w:ascii="Times New Roman" w:eastAsia="Times New Roman" w:hAnsi="Times New Roman" w:cs="Times New Roman"/>
          <w:i/>
          <w:iCs/>
          <w:sz w:val="22"/>
          <w:szCs w:val="22"/>
        </w:rPr>
        <w:br/>
      </w:r>
      <w:r w:rsidR="00E5511E"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Supplementary figure S1: </w:t>
      </w:r>
      <w:r w:rsidR="00E5511E"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>Pericyte associated pathways.</w:t>
      </w:r>
      <w:r w:rsidR="00E5511E"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  <w:r w:rsidR="00E5511E" w:rsidRPr="005E45FC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GO BP and </w:t>
      </w:r>
      <w:r w:rsidR="00E5511E" w:rsidRPr="005E45FC">
        <w:rPr>
          <w:rFonts w:ascii="Times New Roman" w:hAnsi="Times New Roman" w:cs="Times New Roman"/>
          <w:i/>
          <w:iCs/>
          <w:sz w:val="22"/>
          <w:szCs w:val="22"/>
        </w:rPr>
        <w:t xml:space="preserve">KEGG pathways associated with pericytes. Based on 98 pericyte genes from Pericyte: brain CellMarker_Augmented_2021 data set in </w:t>
      </w:r>
      <w:proofErr w:type="spellStart"/>
      <w:r w:rsidR="00E5511E" w:rsidRPr="005E45FC">
        <w:rPr>
          <w:rFonts w:ascii="Times New Roman" w:hAnsi="Times New Roman" w:cs="Times New Roman"/>
          <w:i/>
          <w:iCs/>
          <w:sz w:val="22"/>
          <w:szCs w:val="22"/>
        </w:rPr>
        <w:t>EnrichR</w:t>
      </w:r>
      <w:proofErr w:type="spellEnd"/>
      <w:r w:rsidR="00E5511E" w:rsidRPr="005E45FC"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14:paraId="04AEB9AD" w14:textId="5D6BB371" w:rsidR="00E5511E" w:rsidRPr="00D41F20" w:rsidRDefault="00935C38" w:rsidP="00E5511E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935C38">
        <w:rPr>
          <w:rFonts w:ascii="Times New Roman" w:eastAsia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278C01D3" wp14:editId="14F7DBF7">
            <wp:extent cx="5943600" cy="5943600"/>
            <wp:effectExtent l="0" t="0" r="0" b="0"/>
            <wp:docPr id="1042532853" name="Picture 4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532853" name="Picture 4" descr="A collage of images of cel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5C38">
        <w:rPr>
          <w:rFonts w:ascii="Times New Roman" w:eastAsia="Times New Roman" w:hAnsi="Times New Roman" w:cs="Times New Roman"/>
          <w:sz w:val="22"/>
          <w:szCs w:val="22"/>
        </w:rPr>
        <w:br/>
      </w:r>
    </w:p>
    <w:p w14:paraId="3E15DFBD" w14:textId="77777777" w:rsidR="00E5511E" w:rsidRPr="00D41F20" w:rsidRDefault="00E5511E" w:rsidP="00E5511E">
      <w:pPr>
        <w:spacing w:line="480" w:lineRule="auto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Supplementary figure S2: </w:t>
      </w:r>
      <w:r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 xml:space="preserve">Expression of pericyte markers in </w:t>
      </w:r>
      <w:proofErr w:type="spellStart"/>
      <w:r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>hiPSC</w:t>
      </w:r>
      <w:proofErr w:type="spellEnd"/>
      <w:r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>-derived pericyte-like cells.</w:t>
      </w:r>
      <w:r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Representative immunofluorescence images of healthy (H1,2 and 4) and PD (PD1-3) pericyte-like cells stained for αSMA and PDGFRβ/α. Scale bar 100 µm.</w:t>
      </w:r>
    </w:p>
    <w:p w14:paraId="683530D9" w14:textId="77777777" w:rsidR="00E5511E" w:rsidRPr="00D41F20" w:rsidRDefault="00E5511E" w:rsidP="00E5511E">
      <w:pPr>
        <w:spacing w:line="480" w:lineRule="auto"/>
        <w:rPr>
          <w:rFonts w:ascii="Times New Roman" w:eastAsia="Times New Roman" w:hAnsi="Times New Roman" w:cs="Times New Roman"/>
          <w:i/>
          <w:iCs/>
          <w:sz w:val="22"/>
          <w:szCs w:val="22"/>
        </w:rPr>
      </w:pPr>
    </w:p>
    <w:p w14:paraId="5B9FD0D8" w14:textId="750CF939" w:rsidR="00E5511E" w:rsidRPr="00D41F20" w:rsidRDefault="00935C38" w:rsidP="00E5511E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73D0F921" wp14:editId="43C63DB5">
            <wp:extent cx="5667375" cy="3781425"/>
            <wp:effectExtent l="0" t="0" r="9525" b="0"/>
            <wp:docPr id="1806250858" name="Picture 5" descr="A graph of a number of patie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250858" name="Picture 5" descr="A graph of a number of patien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11E"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Supplementary figure S3: </w:t>
      </w:r>
      <w:r w:rsidR="00E5511E" w:rsidRPr="005E45FC">
        <w:rPr>
          <w:rFonts w:ascii="Times New Roman" w:hAnsi="Times New Roman" w:cs="Times New Roman"/>
          <w:b/>
          <w:bCs/>
          <w:i/>
          <w:iCs/>
          <w:sz w:val="22"/>
          <w:szCs w:val="22"/>
        </w:rPr>
        <w:t>KEGG pathway analysis of up- and down regulated genes in PD pericyte-like cells compared to healthy cells.</w:t>
      </w:r>
      <w:r w:rsidR="00E5511E" w:rsidRPr="005E45FC">
        <w:rPr>
          <w:rFonts w:ascii="Times New Roman" w:hAnsi="Times New Roman" w:cs="Times New Roman"/>
          <w:i/>
          <w:iCs/>
          <w:sz w:val="22"/>
          <w:szCs w:val="22"/>
        </w:rPr>
        <w:t xml:space="preserve"> (From genes with p-value &lt;0.05).</w:t>
      </w:r>
      <w:r w:rsidR="00E5511E"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br w:type="textWrapping" w:clear="all"/>
      </w:r>
    </w:p>
    <w:p w14:paraId="1D1BCA69" w14:textId="2EAB2F3B" w:rsidR="00E5511E" w:rsidRPr="00D41F20" w:rsidRDefault="00935C38" w:rsidP="00E5511E">
      <w:pPr>
        <w:spacing w:line="480" w:lineRule="auto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935C38">
        <w:rPr>
          <w:rFonts w:ascii="Times New Roman" w:eastAsia="Times New Roman" w:hAnsi="Times New Roman" w:cs="Times New Roman"/>
          <w:i/>
          <w:iCs/>
          <w:noProof/>
          <w:sz w:val="22"/>
          <w:szCs w:val="22"/>
        </w:rPr>
        <w:lastRenderedPageBreak/>
        <w:drawing>
          <wp:inline distT="0" distB="0" distL="0" distR="0" wp14:anchorId="1F0FF1A4" wp14:editId="2B4C3F43">
            <wp:extent cx="4000500" cy="2705100"/>
            <wp:effectExtent l="0" t="0" r="0" b="0"/>
            <wp:docPr id="44962754" name="Picture 7" descr="A graph of a b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2754" name="Picture 7" descr="A graph of a ba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5C38">
        <w:rPr>
          <w:rFonts w:ascii="Times New Roman" w:eastAsia="Times New Roman" w:hAnsi="Times New Roman" w:cs="Times New Roman"/>
          <w:i/>
          <w:iCs/>
          <w:sz w:val="22"/>
          <w:szCs w:val="22"/>
        </w:rPr>
        <w:br/>
      </w:r>
      <w:r w:rsidR="00E5511E"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Supplementary figure S4: </w:t>
      </w:r>
      <w:r w:rsidR="00E5511E"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 xml:space="preserve">Relative expression of LRRK2 and SNCA in healthy and PD pericyte-like cells. </w:t>
      </w:r>
      <w:r w:rsidR="00E5511E"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>(n=3) (+/-SD)</w:t>
      </w:r>
    </w:p>
    <w:p w14:paraId="4E30CCC0" w14:textId="77777777" w:rsidR="00E5511E" w:rsidRPr="00D41F20" w:rsidRDefault="00E5511E" w:rsidP="00E5511E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37864C8F" w14:textId="5367053C" w:rsidR="00E5511E" w:rsidRPr="00E5511E" w:rsidRDefault="00935C38" w:rsidP="00E5511E">
      <w:pPr>
        <w:spacing w:line="480" w:lineRule="auto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935C38">
        <w:rPr>
          <w:rFonts w:ascii="Times New Roman" w:eastAsia="Times New Roman" w:hAnsi="Times New Roman" w:cs="Times New Roman"/>
          <w:i/>
          <w:iCs/>
          <w:noProof/>
          <w:sz w:val="22"/>
          <w:szCs w:val="22"/>
        </w:rPr>
        <w:drawing>
          <wp:inline distT="0" distB="0" distL="0" distR="0" wp14:anchorId="76B3BDEB" wp14:editId="7F4BFBA8">
            <wp:extent cx="5943600" cy="2457450"/>
            <wp:effectExtent l="0" t="0" r="0" b="0"/>
            <wp:docPr id="788505023" name="Picture 9" descr="A collage of green and blue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05023" name="Picture 9" descr="A collage of green and blue sp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5C38">
        <w:rPr>
          <w:rFonts w:ascii="Times New Roman" w:eastAsia="Times New Roman" w:hAnsi="Times New Roman" w:cs="Times New Roman"/>
          <w:i/>
          <w:iCs/>
          <w:sz w:val="22"/>
          <w:szCs w:val="22"/>
        </w:rPr>
        <w:br/>
      </w:r>
      <w:r w:rsidR="00E5511E"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Supplementary figure S5: </w:t>
      </w:r>
      <w:r w:rsidR="00E5511E" w:rsidRPr="00D41F20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>Representative images of unexposed and IL-1β exposed endothelial cells on inserts stained with VE-cadherin.</w:t>
      </w:r>
      <w:r w:rsidR="00E5511E" w:rsidRPr="00D41F20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Scale bar 100 µm.</w:t>
      </w:r>
    </w:p>
    <w:sectPr w:rsidR="00E5511E" w:rsidRPr="00E5511E" w:rsidSect="00E5511E">
      <w:headerReference w:type="defaul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8E5DB4" w14:textId="77777777" w:rsidR="00EE5E41" w:rsidRDefault="00EE5E41">
      <w:pPr>
        <w:spacing w:after="0" w:line="240" w:lineRule="auto"/>
      </w:pPr>
      <w:r>
        <w:separator/>
      </w:r>
    </w:p>
  </w:endnote>
  <w:endnote w:type="continuationSeparator" w:id="0">
    <w:p w14:paraId="2020D4A6" w14:textId="77777777" w:rsidR="00EE5E41" w:rsidRDefault="00EE5E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BC0355" w14:textId="77777777" w:rsidR="00EE5E41" w:rsidRDefault="00EE5E41">
      <w:pPr>
        <w:spacing w:after="0" w:line="240" w:lineRule="auto"/>
      </w:pPr>
      <w:r>
        <w:separator/>
      </w:r>
    </w:p>
  </w:footnote>
  <w:footnote w:type="continuationSeparator" w:id="0">
    <w:p w14:paraId="1BC17DB8" w14:textId="77777777" w:rsidR="00EE5E41" w:rsidRDefault="00EE5E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18547258"/>
      <w:docPartObj>
        <w:docPartGallery w:val="Page Numbers (Top of Page)"/>
        <w:docPartUnique/>
      </w:docPartObj>
    </w:sdtPr>
    <w:sdtContent>
      <w:p w14:paraId="570FBB85" w14:textId="77777777" w:rsidR="00B818EF" w:rsidRDefault="00B818EF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i-FI"/>
          </w:rPr>
          <w:t>2</w:t>
        </w:r>
        <w:r>
          <w:fldChar w:fldCharType="end"/>
        </w:r>
      </w:p>
    </w:sdtContent>
  </w:sdt>
  <w:p w14:paraId="1199CC4A" w14:textId="77777777" w:rsidR="00B818EF" w:rsidRDefault="00B818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11E"/>
    <w:rsid w:val="0037667B"/>
    <w:rsid w:val="00935C38"/>
    <w:rsid w:val="00B818EF"/>
    <w:rsid w:val="00E17FF5"/>
    <w:rsid w:val="00E5511E"/>
    <w:rsid w:val="00EE5E41"/>
    <w:rsid w:val="00F8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6712B"/>
  <w15:chartTrackingRefBased/>
  <w15:docId w15:val="{F203C517-9263-4801-A94F-CA42E9D7E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11E"/>
    <w:pPr>
      <w:spacing w:line="279" w:lineRule="auto"/>
    </w:pPr>
    <w:rPr>
      <w:rFonts w:eastAsiaTheme="minorEastAsia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51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1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1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1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1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1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1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1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1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1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1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1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1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1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1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1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1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1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1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1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1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1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1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1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1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1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1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1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11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5511E"/>
    <w:pPr>
      <w:spacing w:after="0" w:line="240" w:lineRule="auto"/>
    </w:pPr>
    <w:rPr>
      <w:rFonts w:eastAsiaTheme="minorEastAsia"/>
      <w:kern w:val="0"/>
      <w:lang w:val="en-US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551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511E"/>
    <w:rPr>
      <w:rFonts w:eastAsiaTheme="minorEastAsia"/>
      <w:kern w:val="0"/>
      <w:lang w:val="en-US"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55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60DA9A6D4C5F894993A9F1C3E34D8AC5" ma:contentTypeVersion="18" ma:contentTypeDescription="Luo uusi asiakirja." ma:contentTypeScope="" ma:versionID="5f40ddd0cfc621101d06193c2b574725">
  <xsd:schema xmlns:xsd="http://www.w3.org/2001/XMLSchema" xmlns:xs="http://www.w3.org/2001/XMLSchema" xmlns:p="http://schemas.microsoft.com/office/2006/metadata/properties" xmlns:ns2="f4647660-a83d-4699-8f54-e895e23f82db" xmlns:ns3="2ebddd3a-e29e-4828-892a-598c62bf38de" targetNamespace="http://schemas.microsoft.com/office/2006/metadata/properties" ma:root="true" ma:fieldsID="ceb7487dec292f387bef483eddabc714" ns2:_="" ns3:_="">
    <xsd:import namespace="f4647660-a83d-4699-8f54-e895e23f82db"/>
    <xsd:import namespace="2ebddd3a-e29e-4828-892a-598c62bf38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647660-a83d-4699-8f54-e895e23f82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5ba83825-fb8d-42b2-af4d-523da4d0f3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ddd3a-e29e-4828-892a-598c62bf38d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02d444f-83bb-468a-a66c-132ba0fe4ded}" ma:internalName="TaxCatchAll" ma:showField="CatchAllData" ma:web="2ebddd3a-e29e-4828-892a-598c62bf38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ebddd3a-e29e-4828-892a-598c62bf38de" xsi:nil="true"/>
    <lcf76f155ced4ddcb4097134ff3c332f xmlns="f4647660-a83d-4699-8f54-e895e23f82d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9B2CCB-33AD-4242-B9FC-CB86F99491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647660-a83d-4699-8f54-e895e23f82db"/>
    <ds:schemaRef ds:uri="2ebddd3a-e29e-4828-892a-598c62bf38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B5F1C9-1415-42CF-9344-135086679824}">
  <ds:schemaRefs>
    <ds:schemaRef ds:uri="http://schemas.microsoft.com/office/2006/metadata/properties"/>
    <ds:schemaRef ds:uri="http://schemas.microsoft.com/office/infopath/2007/PartnerControls"/>
    <ds:schemaRef ds:uri="2ebddd3a-e29e-4828-892a-598c62bf38de"/>
    <ds:schemaRef ds:uri="f4647660-a83d-4699-8f54-e895e23f82db"/>
  </ds:schemaRefs>
</ds:datastoreItem>
</file>

<file path=customXml/itemProps3.xml><?xml version="1.0" encoding="utf-8"?>
<ds:datastoreItem xmlns:ds="http://schemas.openxmlformats.org/officeDocument/2006/customXml" ds:itemID="{D8D50EBC-DC78-418D-8B33-5C0FD838B0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194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Peltonen</dc:creator>
  <cp:keywords/>
  <dc:description/>
  <cp:lastModifiedBy>Sanni Peltonen</cp:lastModifiedBy>
  <cp:revision>2</cp:revision>
  <dcterms:created xsi:type="dcterms:W3CDTF">2024-09-17T10:45:00Z</dcterms:created>
  <dcterms:modified xsi:type="dcterms:W3CDTF">2024-09-17T13:00:00Z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0x01010060DA9A6D4C5F894993A9F1C3E34D8AC5</vt:lpwstr>
  </property>
  <property fmtid="{D5CDD505-2E9C-101B-9397-08002B2CF9AE}" pid="3" name="MediaServiceImageTags">
    <vt:lpwstr/>
  </property>
</Properties>
</file>