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7871E7" w14:textId="1DDADC45" w:rsidR="00E81AB3" w:rsidRDefault="003D7EAE" w:rsidP="003D7EAE">
      <w:pPr>
        <w:jc w:val="center"/>
      </w:pPr>
      <w:r>
        <w:rPr>
          <w:noProof/>
        </w:rPr>
        <w:drawing>
          <wp:inline distT="0" distB="0" distL="0" distR="0" wp14:anchorId="1137E36A" wp14:editId="15B87F2B">
            <wp:extent cx="4467225" cy="84201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67225" cy="8420100"/>
                    </a:xfrm>
                    <a:prstGeom prst="rect">
                      <a:avLst/>
                    </a:prstGeom>
                    <a:noFill/>
                    <a:ln>
                      <a:noFill/>
                    </a:ln>
                  </pic:spPr>
                </pic:pic>
              </a:graphicData>
            </a:graphic>
          </wp:inline>
        </w:drawing>
      </w:r>
    </w:p>
    <w:p w14:paraId="3F0EEDB9" w14:textId="61F34F4A" w:rsidR="003D7EAE" w:rsidRPr="003D7EAE" w:rsidRDefault="003D7EAE" w:rsidP="003D7EAE">
      <w:pPr>
        <w:overflowPunct w:val="0"/>
        <w:adjustRightInd w:val="0"/>
        <w:snapToGrid w:val="0"/>
        <w:spacing w:beforeLines="50" w:before="156" w:afterLines="50" w:after="156" w:line="288" w:lineRule="auto"/>
        <w:jc w:val="left"/>
        <w:rPr>
          <w:rFonts w:ascii="Times New Roman" w:hAnsi="Times New Roman" w:cs="Times New Roman" w:hint="eastAsia"/>
          <w:bCs/>
          <w:color w:val="000000" w:themeColor="text1"/>
          <w:sz w:val="24"/>
          <w:szCs w:val="24"/>
        </w:rPr>
      </w:pPr>
      <w:r w:rsidRPr="003D7EAE">
        <w:rPr>
          <w:rFonts w:ascii="Times New Roman" w:hAnsi="Times New Roman" w:cs="Times New Roman"/>
          <w:b/>
          <w:color w:val="000000" w:themeColor="text1"/>
          <w:sz w:val="24"/>
          <w:szCs w:val="24"/>
        </w:rPr>
        <w:t>Figure S1</w:t>
      </w:r>
      <w:r w:rsidRPr="003D7EAE">
        <w:rPr>
          <w:rFonts w:ascii="Times New Roman" w:hAnsi="Times New Roman" w:cs="Times New Roman"/>
          <w:b/>
          <w:color w:val="000000" w:themeColor="text1"/>
          <w:sz w:val="24"/>
          <w:szCs w:val="24"/>
        </w:rPr>
        <w:t>.</w:t>
      </w:r>
      <w:r w:rsidRPr="003D7EAE">
        <w:rPr>
          <w:rFonts w:ascii="Times New Roman" w:hAnsi="Times New Roman" w:cs="Times New Roman"/>
          <w:bCs/>
          <w:color w:val="000000" w:themeColor="text1"/>
          <w:sz w:val="24"/>
          <w:szCs w:val="24"/>
        </w:rPr>
        <w:t xml:space="preserve"> Graphical outputs of RNAsnp web server (Mode 2) generated for the 6 </w:t>
      </w:r>
      <w:r w:rsidRPr="003D7EAE">
        <w:rPr>
          <w:rFonts w:ascii="Times New Roman" w:hAnsi="Times New Roman" w:cs="Times New Roman"/>
          <w:bCs/>
          <w:color w:val="000000" w:themeColor="text1"/>
          <w:sz w:val="24"/>
          <w:szCs w:val="24"/>
        </w:rPr>
        <w:lastRenderedPageBreak/>
        <w:t xml:space="preserve">SNPs present in 3'-UTR region of TLR4 (NM_003266.3). (a) </w:t>
      </w:r>
      <w:bookmarkStart w:id="0" w:name="OLE_LINK2"/>
      <w:r w:rsidRPr="003D7EAE">
        <w:rPr>
          <w:rFonts w:ascii="Times New Roman" w:hAnsi="Times New Roman" w:cs="Times New Roman"/>
          <w:bCs/>
          <w:color w:val="000000" w:themeColor="text1"/>
          <w:sz w:val="24"/>
          <w:szCs w:val="24"/>
        </w:rPr>
        <w:t>The graphical summary showing the location of the predicted local region over the query sequence.</w:t>
      </w:r>
      <w:bookmarkEnd w:id="0"/>
      <w:r w:rsidRPr="003D7EAE">
        <w:rPr>
          <w:rFonts w:ascii="Times New Roman" w:hAnsi="Times New Roman" w:cs="Times New Roman"/>
          <w:bCs/>
          <w:color w:val="000000" w:themeColor="text1"/>
          <w:sz w:val="24"/>
          <w:szCs w:val="24"/>
        </w:rPr>
        <w:t xml:space="preserve"> Here, the SNPs effects of maximum structural change were quantified in terms of computational </w:t>
      </w:r>
      <w:bookmarkStart w:id="1" w:name="_Hlk16805689"/>
      <w:r w:rsidRPr="003D7EAE">
        <w:rPr>
          <w:rFonts w:ascii="Times New Roman" w:hAnsi="Times New Roman" w:cs="Times New Roman"/>
          <w:bCs/>
          <w:i/>
          <w:iCs/>
          <w:color w:val="000000" w:themeColor="text1"/>
          <w:sz w:val="24"/>
          <w:szCs w:val="24"/>
        </w:rPr>
        <w:t>p</w:t>
      </w:r>
      <w:r w:rsidRPr="003D7EAE">
        <w:rPr>
          <w:rFonts w:ascii="Times New Roman" w:hAnsi="Times New Roman" w:cs="Times New Roman"/>
          <w:bCs/>
          <w:color w:val="000000" w:themeColor="text1"/>
          <w:sz w:val="24"/>
          <w:szCs w:val="24"/>
        </w:rPr>
        <w:t>-values</w:t>
      </w:r>
      <w:bookmarkEnd w:id="1"/>
      <w:r w:rsidRPr="003D7EAE">
        <w:rPr>
          <w:rFonts w:ascii="Times New Roman" w:hAnsi="Times New Roman" w:cs="Times New Roman"/>
          <w:bCs/>
          <w:color w:val="000000" w:themeColor="text1"/>
          <w:sz w:val="24"/>
          <w:szCs w:val="24"/>
        </w:rPr>
        <w:t xml:space="preserve">. The region will be colored in black when </w:t>
      </w:r>
      <w:r w:rsidRPr="003D7EAE">
        <w:rPr>
          <w:rFonts w:ascii="Times New Roman" w:hAnsi="Times New Roman" w:cs="Times New Roman"/>
          <w:bCs/>
          <w:i/>
          <w:iCs/>
          <w:color w:val="000000" w:themeColor="text1"/>
          <w:sz w:val="24"/>
          <w:szCs w:val="24"/>
        </w:rPr>
        <w:t>p</w:t>
      </w:r>
      <w:r w:rsidRPr="003D7EAE">
        <w:rPr>
          <w:rFonts w:ascii="Times New Roman" w:hAnsi="Times New Roman" w:cs="Times New Roman"/>
          <w:bCs/>
          <w:color w:val="000000" w:themeColor="text1"/>
          <w:sz w:val="24"/>
          <w:szCs w:val="24"/>
        </w:rPr>
        <w:t>-values greater than 0.2 (i.e not so significant structural change). The dot plot shows the base pair probabilities of the local region (1003-1098) around rs41436344 (b), the local region (1095-1140) around rs7869402 (c), the local region (1149-1208) around rs11536889 (d), the local region (1990-2020) around rs7873784 (e), the local region (2404-2480) around rs11536891 (f), and the local region (2778-2809) around rs11536896 (g). The upper triangle represents the</w:t>
      </w:r>
      <w:r w:rsidRPr="003D7EAE">
        <w:rPr>
          <w:rFonts w:ascii="Times New Roman" w:hAnsi="Times New Roman" w:cs="Times New Roman"/>
          <w:sz w:val="24"/>
          <w:szCs w:val="24"/>
        </w:rPr>
        <w:t xml:space="preserve"> </w:t>
      </w:r>
      <w:r w:rsidRPr="003D7EAE">
        <w:rPr>
          <w:rFonts w:ascii="Times New Roman" w:hAnsi="Times New Roman" w:cs="Times New Roman"/>
          <w:bCs/>
          <w:color w:val="000000" w:themeColor="text1"/>
          <w:sz w:val="24"/>
          <w:szCs w:val="24"/>
        </w:rPr>
        <w:t>base pair probabilities for wild-type (green) and the lower triangle represents the mutant (red). The orange marks represent the SNP position. Position of the local region was calculated from the first base of TLR4 3'-UTR region</w:t>
      </w:r>
      <w:r>
        <w:rPr>
          <w:rFonts w:ascii="Times New Roman" w:hAnsi="Times New Roman" w:cs="Times New Roman"/>
          <w:bCs/>
          <w:color w:val="000000" w:themeColor="text1"/>
          <w:sz w:val="24"/>
          <w:szCs w:val="24"/>
        </w:rPr>
        <w:t>.</w:t>
      </w:r>
      <w:bookmarkStart w:id="2" w:name="_GoBack"/>
      <w:bookmarkEnd w:id="2"/>
    </w:p>
    <w:sectPr w:rsidR="003D7EAE" w:rsidRPr="003D7E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F5086B" w14:textId="77777777" w:rsidR="00DE6FED" w:rsidRDefault="00DE6FED" w:rsidP="003D7EAE">
      <w:r>
        <w:separator/>
      </w:r>
    </w:p>
  </w:endnote>
  <w:endnote w:type="continuationSeparator" w:id="0">
    <w:p w14:paraId="6603BA3C" w14:textId="77777777" w:rsidR="00DE6FED" w:rsidRDefault="00DE6FED" w:rsidP="003D7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85A714" w14:textId="77777777" w:rsidR="00DE6FED" w:rsidRDefault="00DE6FED" w:rsidP="003D7EAE">
      <w:r>
        <w:separator/>
      </w:r>
    </w:p>
  </w:footnote>
  <w:footnote w:type="continuationSeparator" w:id="0">
    <w:p w14:paraId="23F70E86" w14:textId="77777777" w:rsidR="00DE6FED" w:rsidRDefault="00DE6FED" w:rsidP="003D7E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2C"/>
    <w:rsid w:val="003D7EAE"/>
    <w:rsid w:val="00504B4E"/>
    <w:rsid w:val="00B5742C"/>
    <w:rsid w:val="00DE6FED"/>
    <w:rsid w:val="00E81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C0A730"/>
  <w15:chartTrackingRefBased/>
  <w15:docId w15:val="{CEDCF551-9142-4C21-830E-FD1A9536D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7EA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D7EAE"/>
    <w:rPr>
      <w:sz w:val="18"/>
      <w:szCs w:val="18"/>
    </w:rPr>
  </w:style>
  <w:style w:type="paragraph" w:styleId="a5">
    <w:name w:val="footer"/>
    <w:basedOn w:val="a"/>
    <w:link w:val="a6"/>
    <w:uiPriority w:val="99"/>
    <w:unhideWhenUsed/>
    <w:rsid w:val="003D7EAE"/>
    <w:pPr>
      <w:tabs>
        <w:tab w:val="center" w:pos="4153"/>
        <w:tab w:val="right" w:pos="8306"/>
      </w:tabs>
      <w:snapToGrid w:val="0"/>
      <w:jc w:val="left"/>
    </w:pPr>
    <w:rPr>
      <w:sz w:val="18"/>
      <w:szCs w:val="18"/>
    </w:rPr>
  </w:style>
  <w:style w:type="character" w:customStyle="1" w:styleId="a6">
    <w:name w:val="页脚 字符"/>
    <w:basedOn w:val="a0"/>
    <w:link w:val="a5"/>
    <w:uiPriority w:val="99"/>
    <w:rsid w:val="003D7EA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161</Words>
  <Characters>918</Characters>
  <Application>Microsoft Office Word</Application>
  <DocSecurity>0</DocSecurity>
  <Lines>7</Lines>
  <Paragraphs>2</Paragraphs>
  <ScaleCrop>false</ScaleCrop>
  <Company/>
  <LinksUpToDate>false</LinksUpToDate>
  <CharactersWithSpaces>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国栋</dc:creator>
  <cp:keywords/>
  <dc:description/>
  <cp:lastModifiedBy>陈 国栋</cp:lastModifiedBy>
  <cp:revision>2</cp:revision>
  <dcterms:created xsi:type="dcterms:W3CDTF">2019-09-06T05:20:00Z</dcterms:created>
  <dcterms:modified xsi:type="dcterms:W3CDTF">2019-09-06T05:26:00Z</dcterms:modified>
</cp:coreProperties>
</file>