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042BC" w14:textId="77777777" w:rsidR="001702B1" w:rsidRPr="001702B1" w:rsidRDefault="001702B1" w:rsidP="001702B1">
      <w:pPr>
        <w:spacing w:after="0" w:line="240" w:lineRule="auto"/>
        <w:rPr>
          <w:rFonts w:ascii="Times New Roman" w:hAnsi="Times New Roman" w:cs="Times New Roman"/>
          <w:b/>
          <w:bCs/>
          <w:w w:val="105"/>
          <w:sz w:val="24"/>
          <w:szCs w:val="24"/>
        </w:rPr>
      </w:pPr>
    </w:p>
    <w:p w14:paraId="2EA1FF33" w14:textId="698D40F2" w:rsidR="001702B1" w:rsidRPr="001702B1" w:rsidRDefault="001702B1" w:rsidP="001702B1">
      <w:pPr>
        <w:spacing w:after="200" w:line="240" w:lineRule="auto"/>
        <w:jc w:val="center"/>
        <w:rPr>
          <w:rFonts w:ascii="Times New Roman" w:eastAsia="Times New Roman" w:hAnsi="Times New Roman" w:cs="Times New Roman"/>
          <w:b/>
          <w:sz w:val="40"/>
        </w:rPr>
      </w:pPr>
      <w:r w:rsidRPr="001702B1">
        <w:rPr>
          <w:rFonts w:ascii="Times New Roman" w:eastAsia="Times New Roman" w:hAnsi="Times New Roman" w:cs="Times New Roman"/>
          <w:b/>
          <w:sz w:val="40"/>
        </w:rPr>
        <w:t xml:space="preserve">Challenges and Prospects for the Substitution of Plastic Products with Jute in </w:t>
      </w:r>
      <w:r w:rsidR="00543FF3">
        <w:rPr>
          <w:rFonts w:ascii="Times New Roman" w:eastAsia="Times New Roman" w:hAnsi="Times New Roman" w:cs="Times New Roman"/>
          <w:b/>
          <w:sz w:val="40"/>
        </w:rPr>
        <w:t xml:space="preserve">the </w:t>
      </w:r>
      <w:r w:rsidRPr="001702B1">
        <w:rPr>
          <w:rFonts w:ascii="Times New Roman" w:eastAsia="Times New Roman" w:hAnsi="Times New Roman" w:cs="Times New Roman"/>
          <w:b/>
          <w:sz w:val="40"/>
        </w:rPr>
        <w:t>context of Bangladesh – A Social Study</w:t>
      </w:r>
    </w:p>
    <w:p w14:paraId="17C801E6" w14:textId="77777777" w:rsidR="001702B1" w:rsidRPr="001702B1" w:rsidRDefault="001702B1" w:rsidP="001702B1">
      <w:pPr>
        <w:spacing w:after="200" w:line="240" w:lineRule="auto"/>
        <w:jc w:val="center"/>
        <w:rPr>
          <w:rFonts w:ascii="Times New Roman" w:eastAsia="Times New Roman" w:hAnsi="Times New Roman" w:cs="Times New Roman"/>
          <w:b/>
          <w:sz w:val="32"/>
        </w:rPr>
      </w:pPr>
    </w:p>
    <w:p w14:paraId="6EFD9B22" w14:textId="77777777" w:rsidR="001702B1" w:rsidRPr="001702B1" w:rsidRDefault="001702B1" w:rsidP="001702B1">
      <w:pPr>
        <w:spacing w:line="240" w:lineRule="auto"/>
        <w:jc w:val="center"/>
        <w:rPr>
          <w:rFonts w:ascii="Times New Roman" w:hAnsi="Times New Roman" w:cs="Times New Roman"/>
          <w:sz w:val="24"/>
          <w:szCs w:val="20"/>
          <w:lang w:val="sv-SE"/>
        </w:rPr>
      </w:pPr>
      <w:r w:rsidRPr="001702B1">
        <w:rPr>
          <w:rFonts w:ascii="Times New Roman" w:hAnsi="Times New Roman" w:cs="Times New Roman"/>
          <w:sz w:val="24"/>
          <w:szCs w:val="20"/>
          <w:lang w:val="sv-SE"/>
        </w:rPr>
        <w:t>Md. Mehedi Hassan Masum</w:t>
      </w:r>
      <w:r w:rsidRPr="001702B1">
        <w:rPr>
          <w:rFonts w:ascii="Times New Roman" w:hAnsi="Times New Roman" w:cs="Times New Roman"/>
          <w:sz w:val="24"/>
          <w:szCs w:val="20"/>
          <w:vertAlign w:val="superscript"/>
          <w:lang w:val="sv-SE"/>
        </w:rPr>
        <w:t>1</w:t>
      </w:r>
      <w:r w:rsidRPr="001702B1">
        <w:rPr>
          <w:rFonts w:ascii="Times New Roman" w:hAnsi="Times New Roman" w:cs="Times New Roman"/>
          <w:sz w:val="24"/>
          <w:szCs w:val="20"/>
          <w:lang w:val="sv-SE"/>
        </w:rPr>
        <w:t>,</w:t>
      </w:r>
      <w:r w:rsidRPr="001702B1">
        <w:rPr>
          <w:rFonts w:ascii="Times New Roman" w:hAnsi="Times New Roman" w:cs="Times New Roman"/>
          <w:lang w:val="sv-SE"/>
        </w:rPr>
        <w:t xml:space="preserve"> </w:t>
      </w:r>
      <w:proofErr w:type="spellStart"/>
      <w:r w:rsidRPr="001702B1">
        <w:rPr>
          <w:rFonts w:ascii="Times New Roman" w:hAnsi="Times New Roman" w:cs="Times New Roman"/>
          <w:sz w:val="24"/>
          <w:szCs w:val="20"/>
          <w:lang w:val="sv-SE"/>
        </w:rPr>
        <w:t>Mst</w:t>
      </w:r>
      <w:proofErr w:type="spellEnd"/>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Farzana</w:t>
      </w:r>
      <w:proofErr w:type="spellEnd"/>
      <w:r w:rsidRPr="001702B1">
        <w:rPr>
          <w:rFonts w:ascii="Times New Roman" w:hAnsi="Times New Roman" w:cs="Times New Roman"/>
          <w:sz w:val="24"/>
          <w:szCs w:val="20"/>
          <w:lang w:val="sv-SE"/>
        </w:rPr>
        <w:t xml:space="preserve"> Rahman Zuthi</w:t>
      </w:r>
      <w:r w:rsidRPr="001702B1">
        <w:rPr>
          <w:rFonts w:ascii="Times New Roman" w:hAnsi="Times New Roman" w:cs="Times New Roman"/>
          <w:sz w:val="24"/>
          <w:szCs w:val="20"/>
          <w:vertAlign w:val="superscript"/>
          <w:lang w:val="sv-SE"/>
        </w:rPr>
        <w:t>2*</w:t>
      </w:r>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Farjana</w:t>
      </w:r>
      <w:proofErr w:type="spellEnd"/>
      <w:r w:rsidRPr="001702B1">
        <w:rPr>
          <w:rFonts w:ascii="Times New Roman" w:hAnsi="Times New Roman" w:cs="Times New Roman"/>
          <w:sz w:val="24"/>
          <w:szCs w:val="20"/>
          <w:lang w:val="sv-SE"/>
        </w:rPr>
        <w:t xml:space="preserve"> Khan</w:t>
      </w:r>
      <w:r w:rsidRPr="001702B1">
        <w:rPr>
          <w:rFonts w:ascii="Times New Roman" w:hAnsi="Times New Roman" w:cs="Times New Roman"/>
          <w:sz w:val="24"/>
          <w:szCs w:val="20"/>
          <w:vertAlign w:val="superscript"/>
          <w:lang w:val="sv-SE"/>
        </w:rPr>
        <w:t>2</w:t>
      </w:r>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Asiful</w:t>
      </w:r>
      <w:proofErr w:type="spellEnd"/>
      <w:r w:rsidRPr="001702B1">
        <w:rPr>
          <w:rFonts w:ascii="Times New Roman" w:hAnsi="Times New Roman" w:cs="Times New Roman"/>
          <w:sz w:val="24"/>
          <w:szCs w:val="20"/>
          <w:lang w:val="sv-SE"/>
        </w:rPr>
        <w:t xml:space="preserve"> Hoque</w:t>
      </w:r>
      <w:r w:rsidRPr="001702B1">
        <w:rPr>
          <w:rFonts w:ascii="Times New Roman" w:hAnsi="Times New Roman" w:cs="Times New Roman"/>
          <w:sz w:val="24"/>
          <w:szCs w:val="20"/>
          <w:vertAlign w:val="superscript"/>
          <w:lang w:val="sv-SE"/>
        </w:rPr>
        <w:t>2</w:t>
      </w:r>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Sudip</w:t>
      </w:r>
      <w:proofErr w:type="spellEnd"/>
      <w:r w:rsidRPr="001702B1">
        <w:rPr>
          <w:rFonts w:ascii="Times New Roman" w:hAnsi="Times New Roman" w:cs="Times New Roman"/>
          <w:sz w:val="24"/>
          <w:szCs w:val="20"/>
          <w:lang w:val="sv-SE"/>
        </w:rPr>
        <w:t xml:space="preserve"> Kumar Pal</w:t>
      </w:r>
      <w:r w:rsidRPr="001702B1">
        <w:rPr>
          <w:rFonts w:ascii="Times New Roman" w:hAnsi="Times New Roman" w:cs="Times New Roman"/>
          <w:sz w:val="24"/>
          <w:szCs w:val="20"/>
          <w:vertAlign w:val="superscript"/>
          <w:lang w:val="sv-SE"/>
        </w:rPr>
        <w:t>2</w:t>
      </w:r>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Ahasan</w:t>
      </w:r>
      <w:proofErr w:type="spellEnd"/>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Ul</w:t>
      </w:r>
      <w:proofErr w:type="spellEnd"/>
      <w:r w:rsidRPr="001702B1">
        <w:rPr>
          <w:rFonts w:ascii="Times New Roman" w:hAnsi="Times New Roman" w:cs="Times New Roman"/>
          <w:sz w:val="24"/>
          <w:szCs w:val="20"/>
          <w:lang w:val="sv-SE"/>
        </w:rPr>
        <w:t xml:space="preserve"> Islam Emon</w:t>
      </w:r>
      <w:r w:rsidRPr="001702B1">
        <w:rPr>
          <w:rFonts w:ascii="Times New Roman" w:hAnsi="Times New Roman" w:cs="Times New Roman"/>
          <w:sz w:val="24"/>
          <w:szCs w:val="20"/>
          <w:vertAlign w:val="superscript"/>
          <w:lang w:val="sv-SE"/>
        </w:rPr>
        <w:t>2</w:t>
      </w:r>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Sujit</w:t>
      </w:r>
      <w:proofErr w:type="spellEnd"/>
      <w:r w:rsidRPr="001702B1">
        <w:rPr>
          <w:rFonts w:ascii="Times New Roman" w:hAnsi="Times New Roman" w:cs="Times New Roman"/>
          <w:sz w:val="24"/>
          <w:szCs w:val="20"/>
          <w:lang w:val="sv-SE"/>
        </w:rPr>
        <w:t xml:space="preserve"> </w:t>
      </w:r>
      <w:proofErr w:type="spellStart"/>
      <w:r w:rsidRPr="001702B1">
        <w:rPr>
          <w:rFonts w:ascii="Times New Roman" w:hAnsi="Times New Roman" w:cs="Times New Roman"/>
          <w:sz w:val="24"/>
          <w:szCs w:val="20"/>
          <w:lang w:val="sv-SE"/>
        </w:rPr>
        <w:t>Ranjan</w:t>
      </w:r>
      <w:proofErr w:type="spellEnd"/>
      <w:r w:rsidRPr="001702B1">
        <w:rPr>
          <w:rFonts w:ascii="Times New Roman" w:hAnsi="Times New Roman" w:cs="Times New Roman"/>
          <w:sz w:val="24"/>
          <w:szCs w:val="20"/>
          <w:lang w:val="sv-SE"/>
        </w:rPr>
        <w:t xml:space="preserve"> Das</w:t>
      </w:r>
      <w:r w:rsidRPr="001702B1">
        <w:rPr>
          <w:rFonts w:ascii="Times New Roman" w:hAnsi="Times New Roman" w:cs="Times New Roman"/>
          <w:sz w:val="24"/>
          <w:szCs w:val="20"/>
          <w:vertAlign w:val="superscript"/>
          <w:lang w:val="sv-SE"/>
        </w:rPr>
        <w:t>2</w:t>
      </w:r>
      <w:r w:rsidRPr="001702B1">
        <w:rPr>
          <w:rFonts w:ascii="Times New Roman" w:hAnsi="Times New Roman" w:cs="Times New Roman"/>
          <w:sz w:val="24"/>
          <w:szCs w:val="20"/>
          <w:lang w:val="sv-SE"/>
        </w:rPr>
        <w:t>, Eckhard Kraft</w:t>
      </w:r>
      <w:r w:rsidRPr="001702B1">
        <w:rPr>
          <w:rFonts w:ascii="Times New Roman" w:hAnsi="Times New Roman" w:cs="Times New Roman"/>
          <w:sz w:val="24"/>
          <w:szCs w:val="20"/>
          <w:vertAlign w:val="superscript"/>
          <w:lang w:val="sv-SE"/>
        </w:rPr>
        <w:t>3</w:t>
      </w:r>
      <w:r w:rsidRPr="001702B1">
        <w:rPr>
          <w:rFonts w:ascii="Times New Roman" w:hAnsi="Times New Roman" w:cs="Times New Roman"/>
          <w:sz w:val="24"/>
          <w:szCs w:val="20"/>
          <w:lang w:val="sv-SE"/>
        </w:rPr>
        <w:t>, Susanne Kühlewindt</w:t>
      </w:r>
      <w:r w:rsidRPr="001702B1">
        <w:rPr>
          <w:rFonts w:ascii="Times New Roman" w:hAnsi="Times New Roman" w:cs="Times New Roman"/>
          <w:sz w:val="24"/>
          <w:szCs w:val="20"/>
          <w:vertAlign w:val="superscript"/>
          <w:lang w:val="sv-SE"/>
        </w:rPr>
        <w:t xml:space="preserve">3 </w:t>
      </w:r>
    </w:p>
    <w:p w14:paraId="12356B9A" w14:textId="77777777" w:rsidR="001702B1" w:rsidRPr="001702B1" w:rsidRDefault="001702B1" w:rsidP="001702B1">
      <w:pPr>
        <w:spacing w:after="0" w:line="240" w:lineRule="auto"/>
        <w:jc w:val="both"/>
        <w:rPr>
          <w:rFonts w:ascii="Times New Roman" w:hAnsi="Times New Roman" w:cs="Times New Roman"/>
          <w:sz w:val="24"/>
          <w:szCs w:val="20"/>
          <w:lang w:val="sv-SE"/>
        </w:rPr>
      </w:pPr>
    </w:p>
    <w:p w14:paraId="266DBD5A" w14:textId="77777777" w:rsidR="001702B1" w:rsidRPr="001702B1" w:rsidRDefault="001702B1" w:rsidP="001702B1">
      <w:pPr>
        <w:spacing w:after="0" w:line="240" w:lineRule="auto"/>
        <w:jc w:val="both"/>
        <w:rPr>
          <w:rFonts w:ascii="Times New Roman" w:hAnsi="Times New Roman" w:cs="Times New Roman"/>
          <w:sz w:val="24"/>
          <w:szCs w:val="20"/>
        </w:rPr>
      </w:pPr>
      <w:r w:rsidRPr="001702B1">
        <w:rPr>
          <w:rFonts w:ascii="Times New Roman" w:hAnsi="Times New Roman" w:cs="Times New Roman"/>
          <w:sz w:val="24"/>
          <w:szCs w:val="20"/>
          <w:vertAlign w:val="superscript"/>
        </w:rPr>
        <w:t>1</w:t>
      </w:r>
      <w:r w:rsidRPr="001702B1">
        <w:rPr>
          <w:rFonts w:ascii="Times New Roman" w:hAnsi="Times New Roman" w:cs="Times New Roman"/>
          <w:sz w:val="24"/>
          <w:szCs w:val="20"/>
        </w:rPr>
        <w:t xml:space="preserve">Institute of River, harbor and Environmental Science (IRHES), Chittagong University of Engineering &amp; Technology (CUET), Chattogram-4349, Bangladesh </w:t>
      </w:r>
    </w:p>
    <w:p w14:paraId="5B05E755" w14:textId="77777777" w:rsidR="001702B1" w:rsidRPr="001702B1" w:rsidRDefault="001702B1" w:rsidP="001702B1">
      <w:pPr>
        <w:spacing w:after="0" w:line="240" w:lineRule="auto"/>
        <w:jc w:val="both"/>
        <w:rPr>
          <w:rFonts w:ascii="Times New Roman" w:hAnsi="Times New Roman" w:cs="Times New Roman"/>
          <w:sz w:val="24"/>
          <w:szCs w:val="20"/>
        </w:rPr>
      </w:pPr>
    </w:p>
    <w:p w14:paraId="0C888638" w14:textId="77777777" w:rsidR="001702B1" w:rsidRPr="001702B1" w:rsidRDefault="001702B1" w:rsidP="001702B1">
      <w:pPr>
        <w:spacing w:after="0" w:line="240" w:lineRule="auto"/>
        <w:jc w:val="both"/>
        <w:rPr>
          <w:rFonts w:ascii="Times New Roman" w:hAnsi="Times New Roman" w:cs="Times New Roman"/>
          <w:sz w:val="24"/>
          <w:szCs w:val="20"/>
        </w:rPr>
      </w:pPr>
      <w:r w:rsidRPr="001702B1">
        <w:rPr>
          <w:rFonts w:ascii="Times New Roman" w:hAnsi="Times New Roman" w:cs="Times New Roman"/>
          <w:sz w:val="24"/>
          <w:szCs w:val="20"/>
          <w:shd w:val="clear" w:color="auto" w:fill="FFFFFF"/>
          <w:vertAlign w:val="superscript"/>
        </w:rPr>
        <w:t>2</w:t>
      </w:r>
      <w:r w:rsidRPr="001702B1">
        <w:rPr>
          <w:rFonts w:ascii="Times New Roman" w:hAnsi="Times New Roman" w:cs="Times New Roman"/>
          <w:sz w:val="24"/>
          <w:szCs w:val="20"/>
          <w:shd w:val="clear" w:color="auto" w:fill="FFFFFF"/>
        </w:rPr>
        <w:t xml:space="preserve">Department of Civil Engineering, </w:t>
      </w:r>
      <w:r w:rsidRPr="001702B1">
        <w:rPr>
          <w:rFonts w:ascii="Times New Roman" w:hAnsi="Times New Roman" w:cs="Times New Roman"/>
          <w:sz w:val="24"/>
          <w:szCs w:val="20"/>
        </w:rPr>
        <w:t>Chittagong University of Engineering &amp; Technology (CUET), Chattogram-4349, Bangladesh</w:t>
      </w:r>
    </w:p>
    <w:p w14:paraId="6C91B9C1" w14:textId="77777777" w:rsidR="001702B1" w:rsidRPr="001702B1" w:rsidRDefault="001702B1" w:rsidP="001702B1">
      <w:pPr>
        <w:spacing w:after="0" w:line="240" w:lineRule="auto"/>
        <w:jc w:val="both"/>
        <w:rPr>
          <w:rFonts w:ascii="Times New Roman" w:hAnsi="Times New Roman" w:cs="Times New Roman"/>
          <w:sz w:val="24"/>
          <w:szCs w:val="20"/>
        </w:rPr>
      </w:pPr>
    </w:p>
    <w:p w14:paraId="2D900FC9" w14:textId="77777777" w:rsidR="001702B1" w:rsidRPr="001702B1" w:rsidRDefault="001702B1" w:rsidP="001702B1">
      <w:pPr>
        <w:spacing w:after="0" w:line="240" w:lineRule="auto"/>
        <w:jc w:val="both"/>
        <w:rPr>
          <w:rFonts w:ascii="Times New Roman" w:hAnsi="Times New Roman" w:cs="Times New Roman"/>
          <w:sz w:val="24"/>
          <w:szCs w:val="20"/>
        </w:rPr>
      </w:pPr>
      <w:r w:rsidRPr="001702B1">
        <w:rPr>
          <w:rFonts w:ascii="Times New Roman" w:hAnsi="Times New Roman" w:cs="Times New Roman"/>
          <w:sz w:val="24"/>
          <w:szCs w:val="20"/>
          <w:vertAlign w:val="superscript"/>
        </w:rPr>
        <w:t>3</w:t>
      </w:r>
      <w:r w:rsidRPr="001702B1">
        <w:rPr>
          <w:rFonts w:ascii="Times New Roman" w:hAnsi="Times New Roman" w:cs="Times New Roman"/>
          <w:sz w:val="24"/>
          <w:szCs w:val="20"/>
        </w:rPr>
        <w:t>Biotechnology in Resources Management, Bauhaus-</w:t>
      </w:r>
      <w:proofErr w:type="spellStart"/>
      <w:r w:rsidRPr="001702B1">
        <w:rPr>
          <w:rFonts w:ascii="Times New Roman" w:hAnsi="Times New Roman" w:cs="Times New Roman"/>
          <w:sz w:val="24"/>
          <w:szCs w:val="20"/>
        </w:rPr>
        <w:t>Universitaet</w:t>
      </w:r>
      <w:proofErr w:type="spellEnd"/>
      <w:r w:rsidRPr="001702B1">
        <w:rPr>
          <w:rFonts w:ascii="Times New Roman" w:hAnsi="Times New Roman" w:cs="Times New Roman"/>
          <w:sz w:val="24"/>
          <w:szCs w:val="20"/>
        </w:rPr>
        <w:t xml:space="preserve"> Weimar (BUW), Weimar, Germany</w:t>
      </w:r>
    </w:p>
    <w:p w14:paraId="0ABA5070" w14:textId="77777777" w:rsidR="001702B1" w:rsidRPr="001702B1" w:rsidRDefault="001702B1" w:rsidP="001702B1">
      <w:pPr>
        <w:spacing w:line="240" w:lineRule="auto"/>
        <w:jc w:val="both"/>
        <w:rPr>
          <w:rFonts w:ascii="Times New Roman" w:hAnsi="Times New Roman" w:cs="Times New Roman"/>
          <w:b/>
          <w:sz w:val="24"/>
          <w:szCs w:val="20"/>
        </w:rPr>
      </w:pPr>
    </w:p>
    <w:p w14:paraId="28AC97EE" w14:textId="77777777" w:rsidR="001702B1" w:rsidRPr="001702B1" w:rsidRDefault="001702B1" w:rsidP="001702B1">
      <w:pPr>
        <w:spacing w:line="240" w:lineRule="auto"/>
        <w:jc w:val="both"/>
        <w:rPr>
          <w:rFonts w:ascii="Times New Roman" w:hAnsi="Times New Roman" w:cs="Times New Roman"/>
          <w:b/>
          <w:sz w:val="24"/>
          <w:szCs w:val="20"/>
        </w:rPr>
      </w:pPr>
    </w:p>
    <w:p w14:paraId="004D44A1" w14:textId="77777777" w:rsidR="001702B1" w:rsidRPr="001702B1" w:rsidRDefault="001702B1" w:rsidP="001702B1">
      <w:pPr>
        <w:spacing w:line="240" w:lineRule="auto"/>
        <w:jc w:val="both"/>
        <w:rPr>
          <w:rFonts w:ascii="Times New Roman" w:hAnsi="Times New Roman" w:cs="Times New Roman"/>
          <w:b/>
          <w:sz w:val="24"/>
          <w:szCs w:val="20"/>
        </w:rPr>
      </w:pPr>
    </w:p>
    <w:p w14:paraId="2F4E8CB0" w14:textId="77777777" w:rsidR="001702B1" w:rsidRPr="001702B1" w:rsidRDefault="001702B1" w:rsidP="001702B1">
      <w:pPr>
        <w:spacing w:line="240" w:lineRule="auto"/>
        <w:jc w:val="both"/>
        <w:rPr>
          <w:rFonts w:ascii="Times New Roman" w:hAnsi="Times New Roman" w:cs="Times New Roman"/>
          <w:b/>
          <w:sz w:val="24"/>
          <w:szCs w:val="20"/>
        </w:rPr>
      </w:pPr>
    </w:p>
    <w:p w14:paraId="7377F841" w14:textId="77777777" w:rsidR="001702B1" w:rsidRPr="001702B1" w:rsidRDefault="001702B1" w:rsidP="001702B1">
      <w:pPr>
        <w:spacing w:line="240" w:lineRule="auto"/>
        <w:jc w:val="both"/>
        <w:rPr>
          <w:rFonts w:ascii="Times New Roman" w:hAnsi="Times New Roman" w:cs="Times New Roman"/>
          <w:b/>
          <w:sz w:val="24"/>
          <w:szCs w:val="20"/>
        </w:rPr>
      </w:pPr>
    </w:p>
    <w:p w14:paraId="5C7BC64E" w14:textId="77777777" w:rsidR="001702B1" w:rsidRPr="001702B1" w:rsidRDefault="001702B1" w:rsidP="001702B1">
      <w:pPr>
        <w:spacing w:line="240" w:lineRule="auto"/>
        <w:jc w:val="both"/>
        <w:rPr>
          <w:rFonts w:ascii="Times New Roman" w:hAnsi="Times New Roman" w:cs="Times New Roman"/>
          <w:b/>
          <w:sz w:val="24"/>
          <w:szCs w:val="20"/>
        </w:rPr>
      </w:pPr>
    </w:p>
    <w:p w14:paraId="13737F5F" w14:textId="77777777" w:rsidR="001702B1" w:rsidRPr="001702B1" w:rsidRDefault="001702B1" w:rsidP="001702B1">
      <w:pPr>
        <w:spacing w:line="240" w:lineRule="auto"/>
        <w:jc w:val="both"/>
        <w:rPr>
          <w:rFonts w:ascii="Times New Roman" w:hAnsi="Times New Roman" w:cs="Times New Roman"/>
          <w:b/>
          <w:sz w:val="24"/>
          <w:szCs w:val="20"/>
        </w:rPr>
      </w:pPr>
    </w:p>
    <w:p w14:paraId="50EA1B9A" w14:textId="77777777" w:rsidR="001702B1" w:rsidRPr="001702B1" w:rsidRDefault="001702B1" w:rsidP="001702B1">
      <w:pPr>
        <w:spacing w:line="240" w:lineRule="auto"/>
        <w:jc w:val="both"/>
        <w:rPr>
          <w:rFonts w:ascii="Times New Roman" w:hAnsi="Times New Roman" w:cs="Times New Roman"/>
          <w:b/>
          <w:sz w:val="24"/>
          <w:szCs w:val="20"/>
        </w:rPr>
      </w:pPr>
    </w:p>
    <w:p w14:paraId="4031D6B6" w14:textId="77777777" w:rsidR="001702B1" w:rsidRPr="001702B1" w:rsidRDefault="001702B1" w:rsidP="001702B1">
      <w:pPr>
        <w:spacing w:line="240" w:lineRule="auto"/>
        <w:jc w:val="both"/>
        <w:rPr>
          <w:rFonts w:ascii="Times New Roman" w:hAnsi="Times New Roman" w:cs="Times New Roman"/>
          <w:b/>
          <w:sz w:val="24"/>
          <w:szCs w:val="20"/>
        </w:rPr>
      </w:pPr>
    </w:p>
    <w:p w14:paraId="5306CFF2" w14:textId="77777777" w:rsidR="001702B1" w:rsidRPr="001702B1" w:rsidRDefault="001702B1" w:rsidP="001702B1">
      <w:pPr>
        <w:spacing w:line="240" w:lineRule="auto"/>
        <w:jc w:val="both"/>
        <w:rPr>
          <w:rFonts w:ascii="Times New Roman" w:hAnsi="Times New Roman" w:cs="Times New Roman"/>
          <w:b/>
          <w:sz w:val="24"/>
          <w:szCs w:val="20"/>
        </w:rPr>
      </w:pPr>
    </w:p>
    <w:p w14:paraId="476449DC" w14:textId="77777777" w:rsidR="001702B1" w:rsidRPr="001702B1" w:rsidRDefault="001702B1" w:rsidP="001702B1">
      <w:pPr>
        <w:spacing w:line="240" w:lineRule="auto"/>
        <w:jc w:val="both"/>
        <w:rPr>
          <w:rFonts w:ascii="Times New Roman" w:hAnsi="Times New Roman" w:cs="Times New Roman"/>
          <w:b/>
          <w:sz w:val="24"/>
          <w:szCs w:val="20"/>
        </w:rPr>
      </w:pPr>
    </w:p>
    <w:p w14:paraId="6D7259AE" w14:textId="77777777" w:rsidR="001702B1" w:rsidRPr="001702B1" w:rsidRDefault="001702B1" w:rsidP="001702B1">
      <w:pPr>
        <w:spacing w:line="240" w:lineRule="auto"/>
        <w:jc w:val="both"/>
        <w:rPr>
          <w:rFonts w:ascii="Times New Roman" w:hAnsi="Times New Roman" w:cs="Times New Roman"/>
          <w:b/>
          <w:sz w:val="24"/>
          <w:szCs w:val="20"/>
        </w:rPr>
      </w:pPr>
    </w:p>
    <w:p w14:paraId="56E76378" w14:textId="77777777" w:rsidR="001702B1" w:rsidRPr="001702B1" w:rsidRDefault="001702B1" w:rsidP="001702B1">
      <w:pPr>
        <w:spacing w:line="240" w:lineRule="auto"/>
        <w:jc w:val="both"/>
        <w:rPr>
          <w:rFonts w:ascii="Times New Roman" w:hAnsi="Times New Roman" w:cs="Times New Roman"/>
          <w:b/>
          <w:sz w:val="24"/>
          <w:szCs w:val="20"/>
        </w:rPr>
      </w:pPr>
    </w:p>
    <w:p w14:paraId="05DFC4CB" w14:textId="77777777" w:rsidR="001702B1" w:rsidRPr="001702B1" w:rsidRDefault="001702B1" w:rsidP="001702B1">
      <w:pPr>
        <w:spacing w:line="240" w:lineRule="auto"/>
        <w:jc w:val="both"/>
        <w:rPr>
          <w:rFonts w:ascii="Times New Roman" w:hAnsi="Times New Roman" w:cs="Times New Roman"/>
          <w:b/>
          <w:sz w:val="24"/>
          <w:szCs w:val="20"/>
        </w:rPr>
      </w:pPr>
    </w:p>
    <w:p w14:paraId="748D5D2F" w14:textId="77777777" w:rsidR="001702B1" w:rsidRPr="001702B1" w:rsidRDefault="001702B1" w:rsidP="001702B1">
      <w:pPr>
        <w:spacing w:line="240" w:lineRule="auto"/>
        <w:jc w:val="both"/>
        <w:rPr>
          <w:rFonts w:ascii="Times New Roman" w:hAnsi="Times New Roman" w:cs="Times New Roman"/>
          <w:b/>
          <w:sz w:val="24"/>
          <w:szCs w:val="20"/>
        </w:rPr>
      </w:pPr>
    </w:p>
    <w:p w14:paraId="2E57FD2A" w14:textId="3CB930DC" w:rsidR="001702B1" w:rsidRPr="001702B1" w:rsidRDefault="001702B1" w:rsidP="001702B1">
      <w:pPr>
        <w:spacing w:line="240" w:lineRule="auto"/>
        <w:jc w:val="both"/>
        <w:rPr>
          <w:rFonts w:ascii="Times New Roman" w:hAnsi="Times New Roman" w:cs="Times New Roman"/>
          <w:b/>
          <w:sz w:val="24"/>
          <w:szCs w:val="20"/>
        </w:rPr>
      </w:pPr>
      <w:r w:rsidRPr="001702B1">
        <w:rPr>
          <w:rFonts w:ascii="Times New Roman" w:hAnsi="Times New Roman" w:cs="Times New Roman"/>
          <w:b/>
          <w:sz w:val="24"/>
          <w:szCs w:val="20"/>
        </w:rPr>
        <w:t>___________________________________________________________________________</w:t>
      </w:r>
    </w:p>
    <w:p w14:paraId="48C68CF4" w14:textId="0097EEA2" w:rsidR="001702B1" w:rsidRPr="001702B1" w:rsidRDefault="001702B1" w:rsidP="001702B1">
      <w:pPr>
        <w:jc w:val="both"/>
        <w:rPr>
          <w:rFonts w:ascii="Times New Roman" w:hAnsi="Times New Roman" w:cs="Times New Roman"/>
          <w:sz w:val="24"/>
          <w:szCs w:val="24"/>
        </w:rPr>
        <w:sectPr w:rsidR="001702B1" w:rsidRPr="001702B1" w:rsidSect="001702B1">
          <w:type w:val="continuous"/>
          <w:pgSz w:w="11907" w:h="16839" w:code="9"/>
          <w:pgMar w:top="1440" w:right="1440" w:bottom="1440" w:left="1440" w:header="720" w:footer="720" w:gutter="0"/>
          <w:lnNumType w:countBy="1" w:restart="continuous"/>
          <w:cols w:space="720"/>
          <w:docGrid w:linePitch="360"/>
        </w:sectPr>
      </w:pPr>
      <w:r w:rsidRPr="001702B1">
        <w:rPr>
          <w:rFonts w:ascii="Times New Roman" w:hAnsi="Times New Roman" w:cs="Times New Roman"/>
        </w:rPr>
        <w:t>*</w:t>
      </w:r>
      <w:r w:rsidRPr="001702B1">
        <w:rPr>
          <w:rFonts w:ascii="Times New Roman" w:hAnsi="Times New Roman" w:cs="Times New Roman"/>
          <w:sz w:val="20"/>
          <w:szCs w:val="20"/>
        </w:rPr>
        <w:t>Corresponding Author, Tel.: +8801798-227769; E-mail addresses: farzana@cuet.ac.bd (</w:t>
      </w:r>
      <w:proofErr w:type="spellStart"/>
      <w:r w:rsidRPr="001702B1">
        <w:rPr>
          <w:rFonts w:ascii="Times New Roman" w:hAnsi="Times New Roman" w:cs="Times New Roman"/>
          <w:sz w:val="20"/>
          <w:szCs w:val="20"/>
        </w:rPr>
        <w:t>Mst</w:t>
      </w:r>
      <w:proofErr w:type="spellEnd"/>
      <w:r w:rsidRPr="001702B1">
        <w:rPr>
          <w:rFonts w:ascii="Times New Roman" w:hAnsi="Times New Roman" w:cs="Times New Roman"/>
          <w:sz w:val="20"/>
          <w:szCs w:val="20"/>
        </w:rPr>
        <w:t xml:space="preserve">. Farzana Rahman </w:t>
      </w:r>
      <w:proofErr w:type="spellStart"/>
      <w:r w:rsidRPr="001702B1">
        <w:rPr>
          <w:rFonts w:ascii="Times New Roman" w:hAnsi="Times New Roman" w:cs="Times New Roman"/>
          <w:sz w:val="20"/>
          <w:szCs w:val="20"/>
        </w:rPr>
        <w:t>Zuthi</w:t>
      </w:r>
      <w:proofErr w:type="spellEnd"/>
      <w:r w:rsidRPr="001702B1">
        <w:rPr>
          <w:rFonts w:ascii="Times New Roman" w:hAnsi="Times New Roman" w:cs="Times New Roman"/>
          <w:sz w:val="20"/>
          <w:szCs w:val="20"/>
        </w:rPr>
        <w:t>); Professor, Department of Civil Engineering, Chittagong University of Engineering &amp; Technology (CUET), Chattogram-4349, Bangladesh</w:t>
      </w:r>
    </w:p>
    <w:p w14:paraId="0E15CAFA" w14:textId="3FAE0E3A" w:rsidR="001702B1" w:rsidRPr="001702B1" w:rsidRDefault="001702B1" w:rsidP="001702B1">
      <w:pPr>
        <w:spacing w:after="0" w:line="240" w:lineRule="auto"/>
        <w:rPr>
          <w:rFonts w:ascii="Times New Roman" w:hAnsi="Times New Roman" w:cs="Times New Roman"/>
          <w:w w:val="105"/>
          <w:sz w:val="24"/>
          <w:szCs w:val="24"/>
        </w:rPr>
      </w:pPr>
      <w:r w:rsidRPr="001702B1">
        <w:rPr>
          <w:rFonts w:ascii="Times New Roman" w:hAnsi="Times New Roman" w:cs="Times New Roman"/>
          <w:b/>
          <w:bCs/>
          <w:w w:val="105"/>
          <w:sz w:val="24"/>
          <w:szCs w:val="24"/>
        </w:rPr>
        <w:lastRenderedPageBreak/>
        <w:t>Table A1:</w:t>
      </w:r>
      <w:r w:rsidRPr="001702B1">
        <w:rPr>
          <w:rFonts w:ascii="Times New Roman" w:hAnsi="Times New Roman" w:cs="Times New Roman"/>
          <w:w w:val="105"/>
          <w:sz w:val="24"/>
          <w:szCs w:val="24"/>
        </w:rPr>
        <w:t xml:space="preserve"> </w:t>
      </w:r>
      <w:bookmarkStart w:id="0" w:name="_Hlk183250586"/>
      <w:r w:rsidRPr="001702B1">
        <w:rPr>
          <w:rFonts w:ascii="Times New Roman" w:hAnsi="Times New Roman" w:cs="Times New Roman"/>
          <w:w w:val="105"/>
          <w:sz w:val="24"/>
          <w:szCs w:val="24"/>
        </w:rPr>
        <w:t>A comprehensive overview of the relevant literature that worked on the social Perspectives on plastic products and strategies for pollution reduction</w:t>
      </w:r>
      <w:bookmarkEnd w:id="0"/>
    </w:p>
    <w:tbl>
      <w:tblPr>
        <w:tblStyle w:val="PlainTable2"/>
        <w:tblW w:w="0" w:type="auto"/>
        <w:tblLook w:val="04A0" w:firstRow="1" w:lastRow="0" w:firstColumn="1" w:lastColumn="0" w:noHBand="0" w:noVBand="1"/>
      </w:tblPr>
      <w:tblGrid>
        <w:gridCol w:w="2070"/>
        <w:gridCol w:w="4140"/>
        <w:gridCol w:w="1620"/>
        <w:gridCol w:w="4765"/>
        <w:gridCol w:w="1354"/>
      </w:tblGrid>
      <w:tr w:rsidR="001702B1" w:rsidRPr="001702B1" w14:paraId="658D9926" w14:textId="77777777" w:rsidTr="00CD77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75188E64"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Study Area</w:t>
            </w:r>
          </w:p>
        </w:tc>
        <w:tc>
          <w:tcPr>
            <w:tcW w:w="4140" w:type="dxa"/>
          </w:tcPr>
          <w:p w14:paraId="4A1B8DA9" w14:textId="77777777" w:rsidR="001702B1" w:rsidRPr="001702B1" w:rsidRDefault="001702B1" w:rsidP="00CD77CA">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Objective</w:t>
            </w:r>
          </w:p>
        </w:tc>
        <w:tc>
          <w:tcPr>
            <w:tcW w:w="1620" w:type="dxa"/>
          </w:tcPr>
          <w:p w14:paraId="1E1665A3" w14:textId="77777777" w:rsidR="001702B1" w:rsidRPr="001702B1" w:rsidRDefault="001702B1" w:rsidP="00CD77CA">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Methods</w:t>
            </w:r>
          </w:p>
        </w:tc>
        <w:tc>
          <w:tcPr>
            <w:tcW w:w="4765" w:type="dxa"/>
          </w:tcPr>
          <w:p w14:paraId="5C45DE80" w14:textId="77777777" w:rsidR="001702B1" w:rsidRPr="001702B1" w:rsidRDefault="001702B1" w:rsidP="00CD77CA">
            <w:pPr>
              <w:spacing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Results and Discussion</w:t>
            </w:r>
          </w:p>
        </w:tc>
        <w:tc>
          <w:tcPr>
            <w:tcW w:w="1354" w:type="dxa"/>
          </w:tcPr>
          <w:p w14:paraId="7F75CEDB" w14:textId="77777777" w:rsidR="001702B1" w:rsidRPr="001702B1" w:rsidRDefault="001702B1" w:rsidP="00CD77CA">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References</w:t>
            </w:r>
          </w:p>
        </w:tc>
      </w:tr>
      <w:tr w:rsidR="001702B1" w:rsidRPr="001702B1" w14:paraId="7407FADF" w14:textId="77777777" w:rsidTr="00CD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04392EBC"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Jiangsu Province, China</w:t>
            </w:r>
          </w:p>
          <w:p w14:paraId="20C2934D"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(2022-2023)</w:t>
            </w:r>
          </w:p>
        </w:tc>
        <w:tc>
          <w:tcPr>
            <w:tcW w:w="4140" w:type="dxa"/>
          </w:tcPr>
          <w:p w14:paraId="6399C2DE" w14:textId="77777777" w:rsidR="001702B1" w:rsidRPr="001702B1" w:rsidRDefault="001702B1" w:rsidP="00CD77C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Explore how attitude, subjective norms, perceived behavior control, and policy intervention influence residents' single-use plastic avoidance behavior, mediated by plastic avoidance intentions and environmental concerns.</w:t>
            </w:r>
          </w:p>
        </w:tc>
        <w:tc>
          <w:tcPr>
            <w:tcW w:w="1620" w:type="dxa"/>
          </w:tcPr>
          <w:p w14:paraId="1CD5ACF2"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421</w:t>
            </w:r>
          </w:p>
          <w:p w14:paraId="4C5881C7"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online questionnaire survey</w:t>
            </w:r>
          </w:p>
        </w:tc>
        <w:tc>
          <w:tcPr>
            <w:tcW w:w="4765" w:type="dxa"/>
          </w:tcPr>
          <w:p w14:paraId="7A777C2B" w14:textId="77777777" w:rsidR="001702B1" w:rsidRPr="001702B1" w:rsidRDefault="001702B1" w:rsidP="00CD77CA">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Attitude, PBC, and policy intervention shape plastic avoidance intentions (PABI).</w:t>
            </w:r>
          </w:p>
          <w:p w14:paraId="54E36565" w14:textId="77777777" w:rsidR="001702B1" w:rsidRPr="001702B1" w:rsidRDefault="001702B1" w:rsidP="00CD77CA">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PABI influences single-use plastic avoidance behavior (SPAB).</w:t>
            </w:r>
          </w:p>
          <w:p w14:paraId="32B5C38F" w14:textId="77777777" w:rsidR="001702B1" w:rsidRPr="001702B1" w:rsidRDefault="001702B1" w:rsidP="00CD77CA">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Plastic-related environmental concerns (PREC) impact both PABI and SPAB.</w:t>
            </w:r>
          </w:p>
          <w:p w14:paraId="021C260F" w14:textId="77777777" w:rsidR="001702B1" w:rsidRPr="001702B1" w:rsidRDefault="001702B1" w:rsidP="00CD77CA">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Effective policy interventions influence attitude, PBC, PABI, and PREC, contributing to environmental sustainability goals.</w:t>
            </w:r>
          </w:p>
        </w:tc>
        <w:tc>
          <w:tcPr>
            <w:tcW w:w="1354" w:type="dxa"/>
          </w:tcPr>
          <w:p w14:paraId="0CECD083" w14:textId="29AEF580"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Gu","given":"Feng","non-dropping-particle":"","parse-names":false,"suffix":""},{"dropping-particle":"","family":"Zhu","given":"Zhaowei","non-dropping-particle":"","parse-names":false,"suffix":""},{"dropping-particle":"","family":"Ali","given":"Sharafat","non-dropping-particle":"","parse-names":false,"suffix":""}],"container-title":"Processess","id":"ITEM-1","issue":"1412","issued":{"date-parts":[["2023"]]},"page":"1-20","title":"Analysis of Factors of Single-Use Plastic Avoidance Behavior","type":"article-journal","volume":"11"},"uris":["http://www.mendeley.com/documents/?uuid=cb0c2b3d-e6d6-466e-ab62-10d9a3af1480"]}],"mendeley":{"formattedCitation":"(Gu et al., 2023)","plainTextFormattedCitation":"(Gu et al., 2023)","previouslyFormattedCitation":"(Gu et al., 2023)"},"properties":{"noteIndex":0},"schema":"https://github.com/citation-style-language/schema/raw/master/csl-citation.json"}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(Gu et al., 2023)</w:t>
            </w:r>
            <w:r w:rsidRPr="001702B1">
              <w:rPr>
                <w:rFonts w:ascii="Times New Roman" w:hAnsi="Times New Roman" w:cs="Times New Roman"/>
                <w:sz w:val="20"/>
                <w:szCs w:val="20"/>
              </w:rPr>
              <w:fldChar w:fldCharType="end"/>
            </w:r>
          </w:p>
        </w:tc>
      </w:tr>
      <w:tr w:rsidR="001702B1" w:rsidRPr="001702B1" w14:paraId="68D9B3E7" w14:textId="77777777" w:rsidTr="00CD77CA">
        <w:tc>
          <w:tcPr>
            <w:cnfStyle w:val="001000000000" w:firstRow="0" w:lastRow="0" w:firstColumn="1" w:lastColumn="0" w:oddVBand="0" w:evenVBand="0" w:oddHBand="0" w:evenHBand="0" w:firstRowFirstColumn="0" w:firstRowLastColumn="0" w:lastRowFirstColumn="0" w:lastRowLastColumn="0"/>
            <w:tcW w:w="2070" w:type="dxa"/>
          </w:tcPr>
          <w:p w14:paraId="71302034"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 xml:space="preserve">Technical University of Cluj </w:t>
            </w:r>
            <w:proofErr w:type="spellStart"/>
            <w:r w:rsidRPr="001702B1">
              <w:rPr>
                <w:rFonts w:ascii="Times New Roman" w:hAnsi="Times New Roman" w:cs="Times New Roman"/>
                <w:sz w:val="20"/>
                <w:szCs w:val="20"/>
              </w:rPr>
              <w:t>Napoca</w:t>
            </w:r>
            <w:proofErr w:type="spellEnd"/>
            <w:r w:rsidRPr="001702B1">
              <w:rPr>
                <w:rFonts w:ascii="Times New Roman" w:hAnsi="Times New Roman" w:cs="Times New Roman"/>
                <w:sz w:val="20"/>
                <w:szCs w:val="20"/>
              </w:rPr>
              <w:t>, Romania</w:t>
            </w:r>
          </w:p>
          <w:p w14:paraId="5E506ED6"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(June and July 2022)</w:t>
            </w:r>
          </w:p>
        </w:tc>
        <w:tc>
          <w:tcPr>
            <w:tcW w:w="4140" w:type="dxa"/>
          </w:tcPr>
          <w:p w14:paraId="4EB90300" w14:textId="77777777" w:rsidR="001702B1" w:rsidRPr="001702B1" w:rsidRDefault="001702B1" w:rsidP="00CD77C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Investigate how students' awareness and needs influence environmental behavior, particularly in sustainable practices and plastic recycling.</w:t>
            </w:r>
          </w:p>
        </w:tc>
        <w:tc>
          <w:tcPr>
            <w:tcW w:w="1620" w:type="dxa"/>
          </w:tcPr>
          <w:p w14:paraId="2AB4E91F"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537</w:t>
            </w:r>
          </w:p>
          <w:p w14:paraId="79602718"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Google drive</w:t>
            </w:r>
          </w:p>
          <w:p w14:paraId="78C8C5F1"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Students</w:t>
            </w:r>
          </w:p>
        </w:tc>
        <w:tc>
          <w:tcPr>
            <w:tcW w:w="4765" w:type="dxa"/>
          </w:tcPr>
          <w:p w14:paraId="495EA310" w14:textId="77777777" w:rsidR="001702B1" w:rsidRPr="001702B1" w:rsidRDefault="001702B1" w:rsidP="00CD77CA">
            <w:pPr>
              <w:pStyle w:val="ListParagraph"/>
              <w:numPr>
                <w:ilvl w:val="0"/>
                <w:numId w:val="7"/>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20–30% lack interest in plastic pollution reduction due to awareness issues.</w:t>
            </w:r>
          </w:p>
          <w:p w14:paraId="4EA28809" w14:textId="77777777" w:rsidR="001702B1" w:rsidRPr="001702B1" w:rsidRDefault="001702B1" w:rsidP="00CD77CA">
            <w:pPr>
              <w:pStyle w:val="ListParagraph"/>
              <w:numPr>
                <w:ilvl w:val="0"/>
                <w:numId w:val="7"/>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Students know about biodegradable plastics.</w:t>
            </w:r>
          </w:p>
          <w:p w14:paraId="4C499856" w14:textId="77777777" w:rsidR="001702B1" w:rsidRPr="001702B1" w:rsidRDefault="001702B1" w:rsidP="00CD77CA">
            <w:pPr>
              <w:pStyle w:val="ListParagraph"/>
              <w:numPr>
                <w:ilvl w:val="0"/>
                <w:numId w:val="7"/>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Adherence to waste sorting depends on situations.</w:t>
            </w:r>
          </w:p>
        </w:tc>
        <w:tc>
          <w:tcPr>
            <w:tcW w:w="1354" w:type="dxa"/>
          </w:tcPr>
          <w:p w14:paraId="3E65F7A1" w14:textId="7A7BD29D"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{"citationItems":[{"id":"ITEM-1","itemData":{"DOI":"10.3390/su15086811","ISSN":"20711050","abstract":"The purpose of this study is to examine the effects of needs and awareness of university students on their environmental behaviour. With this purpose the data was collected from 537 students from the University of Cluj Napoca, Romania, from the engineering and management specializations respectively via an online questionnaire. The questionnaire was structured in four parts including 29 questions in total. The first part is meant to identify the students’ characteristics (gender, field of study, participation and attendance in field-specific activities, and if he/she is an environmentalist). The second part is meant to determine the students’ awareness regarding plastic and plastic pollution. Another part is meant to determine the needs of students and the manner in which they learn and gather information. The last part allows the determination of the students’ behavior in their daily life (use of bio plastic bags, environmental protection). The results show that students have enough information about biodegradable plastic but they act depending on the situation, respecting or not the rules for selecting plastic waste. The female student’ pay a lot of attention to selecting and choosing bioplastic products. The male students are directly involved in cleaning nature. Management students pay attention to small details as compared to engineering students who choose bioplastic even though the costs are higher. Related with their thoughts the factors effecting the opinion of either they are environmentalist or not are also examined. Being aware of the plastic waste show significant effect from the sides of awareness and behaviour. Finally, the structural model show that strongest connection is between students’ awareness about the plastic problem and the need to adapt to new regulations. Using the model universities can promote the importance of bioplastic through study programs or by involving students in volunteering activities, through their active involvement in environmental protection, and selective waste recycling.","author":[{"dropping-particle":"","family":"Boca","given":"Gratiela Dana","non-dropping-particle":"","parse-names":false,"suffix":""},{"dropping-particle":"","family":"Saraçli","given":"Sinan","non-dropping-particle":"","parse-names":false,"suffix":""}],"container-title":"Sustainability (Switzerland)","id":"ITEM-1","issue":"8","issued":{"date-parts":[["2023"]]},"page":"1-21","title":"Effects of Romanian Student’s Awareness and Needs Regarding Plastic Waste Management","type":"article-journal","volume":"15"},"uris":["http://www.mendeley.com/documents/?uuid=22dc7a6a-981d-4836-8232-3153d206836b"]}],"mendeley":{"formattedCitation":"(Boca &amp; Saraçli, 2023)","plainTextFormattedCitation":"(Boca &amp; Saraçli, 2023)","previouslyFormattedCitation":"(Boca &amp; Saraçli, 2023)"},"properties":{"noteIndex":0},"schema":"https://github.com/citation-style-language/schema/raw/master/csl-citation.json"}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(Boca &amp; Saraçli, 2023)</w:t>
            </w:r>
            <w:r w:rsidRPr="001702B1">
              <w:rPr>
                <w:rFonts w:ascii="Times New Roman" w:hAnsi="Times New Roman" w:cs="Times New Roman"/>
                <w:sz w:val="20"/>
                <w:szCs w:val="20"/>
              </w:rPr>
              <w:fldChar w:fldCharType="end"/>
            </w:r>
          </w:p>
        </w:tc>
      </w:tr>
      <w:tr w:rsidR="001702B1" w:rsidRPr="001702B1" w14:paraId="6C003A97" w14:textId="77777777" w:rsidTr="00CD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02D78BA6"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Greek consumer, Greece</w:t>
            </w:r>
          </w:p>
          <w:p w14:paraId="221513E8"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(October, 2020- June 2021)</w:t>
            </w:r>
          </w:p>
        </w:tc>
        <w:tc>
          <w:tcPr>
            <w:tcW w:w="4140" w:type="dxa"/>
          </w:tcPr>
          <w:p w14:paraId="1DA97265" w14:textId="77777777" w:rsidR="001702B1" w:rsidRPr="001702B1" w:rsidRDefault="001702B1" w:rsidP="00CD77C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Assess awareness, environmental impact, consumer reactions, and willingness-to-pay for plastic bags, considering marine plastic pollution and environmental levies.</w:t>
            </w:r>
          </w:p>
        </w:tc>
        <w:tc>
          <w:tcPr>
            <w:tcW w:w="1620" w:type="dxa"/>
          </w:tcPr>
          <w:p w14:paraId="08963F46"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834 &amp; 713</w:t>
            </w:r>
          </w:p>
          <w:p w14:paraId="070604D9"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Web based survey</w:t>
            </w:r>
          </w:p>
        </w:tc>
        <w:tc>
          <w:tcPr>
            <w:tcW w:w="4765" w:type="dxa"/>
          </w:tcPr>
          <w:p w14:paraId="0CF4B6F3" w14:textId="77777777" w:rsidR="001702B1" w:rsidRPr="001702B1" w:rsidRDefault="001702B1" w:rsidP="00CD77CA">
            <w:pPr>
              <w:pStyle w:val="ListParagraph"/>
              <w:numPr>
                <w:ilvl w:val="0"/>
                <w:numId w:val="8"/>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Environmental levy on plastic bags boosts eco-friendly behaviors.</w:t>
            </w:r>
          </w:p>
          <w:p w14:paraId="231B5202" w14:textId="77777777" w:rsidR="001702B1" w:rsidRPr="001702B1" w:rsidRDefault="001702B1" w:rsidP="00CD77CA">
            <w:pPr>
              <w:pStyle w:val="ListParagraph"/>
              <w:numPr>
                <w:ilvl w:val="0"/>
                <w:numId w:val="8"/>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Emphasizes collective and individual responsibility for marine conservation.</w:t>
            </w:r>
          </w:p>
          <w:p w14:paraId="6A25E660" w14:textId="77777777" w:rsidR="001702B1" w:rsidRPr="001702B1" w:rsidRDefault="001702B1" w:rsidP="00CD77CA">
            <w:pPr>
              <w:pStyle w:val="ListParagraph"/>
              <w:numPr>
                <w:ilvl w:val="0"/>
                <w:numId w:val="8"/>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Combined economic and non-economic approaches reduce plastic bag consumption and environmental impact.</w:t>
            </w:r>
          </w:p>
        </w:tc>
        <w:tc>
          <w:tcPr>
            <w:tcW w:w="1354" w:type="dxa"/>
          </w:tcPr>
          <w:p w14:paraId="4B03CDF0" w14:textId="27C68133"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{"citationItems":[{"id":"ITEM-1","itemData":{"DOI":"10.1007/s10668-022-02465-6","ISBN":"0123456789","ISSN":"15732975","abstract":"The focus of this study is to examine the level of awareness, as well as the impacts of environmental information provision, regarding plastic bag consumption in Greece, taking into consideration the effects of plastic pollution in the marine environment within the framework of the environmental levy. This study was conducted through the use of two structured questionnaires as web-based surveys. The aim of both questionnaires was to explore citizen attitudes towards the marine environment in addition to their preferences with regard to the implementation of a program aimed at marine conservation and the reduction of plastic bag use. Data on plastic bag consumption at a national level were also incorporated. This research was carried out according to the contingent valuation method aimed at estimating citizen willingness-to-pay (WTP) on both structured questionnaires. The first questionnaire utilized the minimal legal WTP (ML-WTP) model resulting in 834 responses in total, while the second questionnaire applied a double-bounded dichotomous choice method and amassed 713 responses in aggregate. Based on the results of the first questionnaire, pre-existing environmentally friendly behaviour was further enhanced by the introduction of the environmental levy on plastic bags. The second questionnaire revealed that marine conservation is based both on collective as well as individual responsibility. This study provides evidence that the utilization of both economic and non-economic measures may be very effective in considerably reducing plastic bag consumption and its detrimental impact on the marine environment.","author":[{"dropping-particle":"","family":"Mentis","given":"Charalampos","non-dropping-particle":"","parse-names":false,"suffix":""},{"dropping-particle":"","family":"Maroulis","given":"George","non-dropping-particle":"","parse-names":false,"suffix":""},{"dropping-particle":"","family":"Latinopoulos","given":"Dionysis","non-dropping-particle":"","parse-names":false,"suffix":""},{"dropping-particle":"","family":"Bithas","given":"Kostas","non-dropping-particle":"","parse-names":false,"suffix":""}],"container-title":"Environment, Development and Sustainability","id":"ITEM-1","issue":"5","issued":{"date-parts":[["2022"]]},"page":"1-22","publisher":"Springer Netherlands","title":"The effects of environmental information provision on plastic bag use and marine environment status in the context of the environmental levy in Greece","type":"article-journal","volume":"24"},"uris":["http://www.mendeley.com/documents/?uuid=7817c30d-9e9f-4514-9dc0-d3acb33210d5"]}],"mendeley":{"formattedCitation":"(Mentis et al., 2022)","plainTextFormattedCitation":"(Mentis et al., 2022)","previouslyFormattedCitation":"(Mentis et al., 2022)"},"properties":{"noteIndex":0},"schema":"https://github.com/citation-style-language/schema/raw/master/csl-citation.json"}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(Mentis et al., 2022)</w:t>
            </w:r>
            <w:r w:rsidRPr="001702B1">
              <w:rPr>
                <w:rFonts w:ascii="Times New Roman" w:hAnsi="Times New Roman" w:cs="Times New Roman"/>
                <w:sz w:val="20"/>
                <w:szCs w:val="20"/>
              </w:rPr>
              <w:fldChar w:fldCharType="end"/>
            </w:r>
          </w:p>
        </w:tc>
      </w:tr>
      <w:tr w:rsidR="001702B1" w:rsidRPr="001702B1" w14:paraId="47A21CC6" w14:textId="77777777" w:rsidTr="00CD77CA">
        <w:tc>
          <w:tcPr>
            <w:cnfStyle w:val="001000000000" w:firstRow="0" w:lastRow="0" w:firstColumn="1" w:lastColumn="0" w:oddVBand="0" w:evenVBand="0" w:oddHBand="0" w:evenHBand="0" w:firstRowFirstColumn="0" w:firstRowLastColumn="0" w:lastRowFirstColumn="0" w:lastRowLastColumn="0"/>
            <w:tcW w:w="2070" w:type="dxa"/>
          </w:tcPr>
          <w:p w14:paraId="5FD49ADB"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Japan</w:t>
            </w:r>
          </w:p>
          <w:p w14:paraId="7A45A1E4"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(2021)</w:t>
            </w:r>
          </w:p>
        </w:tc>
        <w:tc>
          <w:tcPr>
            <w:tcW w:w="4140" w:type="dxa"/>
          </w:tcPr>
          <w:p w14:paraId="5C609BF7" w14:textId="77777777" w:rsidR="001702B1" w:rsidRPr="001702B1" w:rsidRDefault="001702B1" w:rsidP="00CD77C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Analyze influential factors and explore the relationship between environmental risk perceptions and pro-environmental behaviors in reducing plastic bag usage, using binary logistic and structural models.</w:t>
            </w:r>
          </w:p>
        </w:tc>
        <w:tc>
          <w:tcPr>
            <w:tcW w:w="1620" w:type="dxa"/>
          </w:tcPr>
          <w:p w14:paraId="014C418E"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218</w:t>
            </w:r>
          </w:p>
          <w:p w14:paraId="657B8A7F"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Face to face</w:t>
            </w:r>
          </w:p>
        </w:tc>
        <w:tc>
          <w:tcPr>
            <w:tcW w:w="4765" w:type="dxa"/>
          </w:tcPr>
          <w:p w14:paraId="4F7D26E5" w14:textId="77777777" w:rsidR="001702B1" w:rsidRPr="001702B1" w:rsidRDefault="001702B1" w:rsidP="00CD77CA">
            <w:pPr>
              <w:pStyle w:val="ListParagraph"/>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Rural youth reduce plastic use through eco-friendly practices.</w:t>
            </w:r>
          </w:p>
          <w:p w14:paraId="0F49EEB2" w14:textId="77777777" w:rsidR="001702B1" w:rsidRPr="001702B1" w:rsidRDefault="001702B1" w:rsidP="00CD77CA">
            <w:pPr>
              <w:pStyle w:val="ListParagraph"/>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Environmental perceptions and reuse behavior are influenced.</w:t>
            </w:r>
          </w:p>
          <w:p w14:paraId="2256CB6D" w14:textId="77777777" w:rsidR="001702B1" w:rsidRPr="001702B1" w:rsidRDefault="001702B1" w:rsidP="00CD77CA">
            <w:pPr>
              <w:pStyle w:val="ListParagraph"/>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Mandatory charges boost interest, requiring targeted outreach and ongoing education.</w:t>
            </w:r>
          </w:p>
        </w:tc>
        <w:bookmarkStart w:id="1" w:name="_Hlk183250337"/>
        <w:tc>
          <w:tcPr>
            <w:tcW w:w="1354" w:type="dxa"/>
          </w:tcPr>
          <w:p w14:paraId="76C6E73E" w14:textId="008629E8"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{"citationItems":[{"id":"ITEM-1","itemData":{"DOI":"10.1371/journal.pstr.0000011","ISBN":"1111111111","abstract":"Mandatory charges for plastic bags at all stores was implemented in Japan in July 2020 to encourage interest in environmental issues and raise awareness of environmental risks. We conducted a survey on mandatory plastic bag charging, dealing with environmental risk perception, pro-environmental habits, attempts to reduce plastic bags, and sense of community. In this study, we assumed that factors distinguished by the behavior change after charging, that is, reduced use of plastic shopping bags or no change from before, and the relationship with other typical environmental behaviors and perceptions would suggest its long-term success. Data were collected from two groups: Group 1 consisted of those who had reduced their use of plastic bags after the implementation of the mandate, and Group 2 were those who had not changed their behavior because of the mandate. First, we extracted factors to distinguish Group 1 from Group 2 using binary regression analysis. Second, we illustrated the relationship between the attempt to reduce plastic bags and other typical environmental behaviors and perceptions by conducting structural equation modeling (SEM). The results showed that age, place of residence, observing others’ behavior, attempts to use eco-friendly bags, and energy-saving behavior were significant influential factors in reducing plastic bags. Moreover, SEM showed that it was not significantly related to pro-environmental habits but would significantly influence environmental risk perception and recycling behavior. Therefore, it is suggested that mandatory charging can raise interest in environmental issues to foster further environmental behavior, while a detailed outreach strategy considering influential factors such as age, place of residence, individual pro-environmental habits, and so on would be necessary to successfully implement this strategy.","author":[{"dropping-particle":"","family":"Seo","given":"Yuna","non-dropping-particle":"","parse-names":false,"suffix":""},{"dropping-particle":"","family":"Kudo","given":"Fumiko","non-dropping-particle":"","parse-names":false,"suffix":""}],"container-title":"PLOS Sustainability and Transformation","id":"ITEM-1","issue":"5","issued":{"date-parts":[["2022"]]},"page":"e0000011 (1-11)","title":"Charging plastic bags: Perceptions from Japan","type":"article-journal","volume":"1"},"uris":["http://www.mendeley.com/documents/?uuid=8a4a30f6-467d-4597-80f3-d742297ed14c"]}],"mendeley":{"formattedCitation":"(Seo &amp; Kudo, 2022)","plainTextFormattedCitation":"(Seo &amp; Kudo, 2022)","previouslyFormattedCitation":"(Seo &amp; Kudo, 2022)"},"properties":{"noteIndex":0},"schema":"https://github.com/citation-style-language/schema/raw/master/csl-citation.json"}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(Seo &amp; Kudo, 2022)</w:t>
            </w:r>
            <w:r w:rsidRPr="001702B1">
              <w:rPr>
                <w:rFonts w:ascii="Times New Roman" w:hAnsi="Times New Roman" w:cs="Times New Roman"/>
                <w:sz w:val="20"/>
                <w:szCs w:val="20"/>
              </w:rPr>
              <w:fldChar w:fldCharType="end"/>
            </w:r>
            <w:bookmarkEnd w:id="1"/>
          </w:p>
        </w:tc>
      </w:tr>
      <w:tr w:rsidR="001702B1" w:rsidRPr="001702B1" w14:paraId="64205483" w14:textId="77777777" w:rsidTr="00CD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3136BD75"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China</w:t>
            </w:r>
          </w:p>
          <w:p w14:paraId="1C0F1011"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(Sep-Oct, 2020)</w:t>
            </w:r>
          </w:p>
        </w:tc>
        <w:tc>
          <w:tcPr>
            <w:tcW w:w="4140" w:type="dxa"/>
          </w:tcPr>
          <w:p w14:paraId="08E8187F" w14:textId="77777777" w:rsidR="001702B1" w:rsidRPr="001702B1" w:rsidRDefault="001702B1" w:rsidP="00CD77C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Examine the willingness to purchase single-use plastic items using the theory of planned behavior.</w:t>
            </w:r>
          </w:p>
        </w:tc>
        <w:tc>
          <w:tcPr>
            <w:tcW w:w="1620" w:type="dxa"/>
          </w:tcPr>
          <w:p w14:paraId="4B007C14"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402</w:t>
            </w:r>
          </w:p>
          <w:p w14:paraId="6CA4F117"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Online (Survey Star)</w:t>
            </w:r>
          </w:p>
        </w:tc>
        <w:tc>
          <w:tcPr>
            <w:tcW w:w="4765" w:type="dxa"/>
          </w:tcPr>
          <w:p w14:paraId="0EC1F9CB" w14:textId="77777777" w:rsidR="001702B1" w:rsidRPr="001702B1" w:rsidRDefault="001702B1" w:rsidP="00CD77CA">
            <w:pPr>
              <w:pStyle w:val="ListParagraph"/>
              <w:numPr>
                <w:ilvl w:val="0"/>
                <w:numId w:val="10"/>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Attitude, control, social influence, and emotion impact buying single-use plastics.</w:t>
            </w:r>
          </w:p>
          <w:p w14:paraId="42988CBB" w14:textId="77777777" w:rsidR="001702B1" w:rsidRPr="001702B1" w:rsidRDefault="001702B1" w:rsidP="00CD77CA">
            <w:pPr>
              <w:pStyle w:val="ListParagraph"/>
              <w:numPr>
                <w:ilvl w:val="0"/>
                <w:numId w:val="10"/>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Positive emotions decrease buying intentions.</w:t>
            </w:r>
          </w:p>
          <w:p w14:paraId="715BAD4F" w14:textId="77777777" w:rsidR="001702B1" w:rsidRPr="001702B1" w:rsidRDefault="001702B1" w:rsidP="00CD77CA">
            <w:pPr>
              <w:pStyle w:val="ListParagraph"/>
              <w:numPr>
                <w:ilvl w:val="0"/>
                <w:numId w:val="10"/>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Various influences and emotions collectively shape purchase inclination.</w:t>
            </w:r>
          </w:p>
        </w:tc>
        <w:tc>
          <w:tcPr>
            <w:tcW w:w="1354" w:type="dxa"/>
          </w:tcPr>
          <w:p w14:paraId="6514A58F" w14:textId="43640F00"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{"citationItems":[{"id":"ITEM-1","itemData":{"DOI":"10.3389/fpsyg.2023.1105959","ISSN":"16641078","abstract":"Human health and marine life are facing the hazards and threats of plastic waste. China is the world’s largest producer and consumer of disposable plastic products, thus paying more attention to the threats and challenges of single-use plastics products in China is urgent. This study aims to explore the intention to purchase single-use plastic products based on the theory of planned behavior. Data collection using self-reported questionnaires, and 402 valid questionnaires were obtained, thus analyzed using Amos 22.0 and SPSS 18.0 software. Results indicate that attitude, perceived behavioral control, normative social influence, informational social influence, and positive anticipated emotion positively affect intention to purchase single-use plastic products. Meanwhile, positive anticipated emotion positively moderates the relationship between normative social influence and intention to purchase single-use plastic products, but negatively moderates the relationship between informational social influence and intention to purchase single-use plastic products. This research provides some theoretical and policy implications to help relevant agencies design targeted interventions to address environmental issues related to single-use plastic consumption.","author":[{"dropping-particle":"","family":"Sun","given":"Ying","non-dropping-particle":"","parse-names":false,"suffix":""},{"dropping-particle":"","family":"He","given":"Haonan","non-dropping-particle":"","parse-names":false,"suffix":""}],"container-title":"Frontiers in Psychology","id":"ITEM-1","issue":"1105959","issued":{"date-parts":[["2023"]]},"page":"1-13","title":"Understanding consumers’ purchase intentions of single-use plastic products","type":"article-journal","volume":"14"},"uris":["http://www.mendeley.com/documents/?uuid=39688b88-cbca-4918-bb81-de93ac8eadec"]}],"mendeley":{"formattedCitation":"(Sun &amp; He, 2023)","plainTextFormattedCitation":"(Sun &amp; He, 2023)","previouslyFormattedCitation":"(Sun &amp; He, 2023)"},"properties":{"noteIndex":0},"schema":"https://github.com/citation-style-language/schema/raw/master/csl-citation.json"}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(Sun &amp; He, 2023)</w:t>
            </w:r>
            <w:r w:rsidRPr="001702B1">
              <w:rPr>
                <w:rFonts w:ascii="Times New Roman" w:hAnsi="Times New Roman" w:cs="Times New Roman"/>
                <w:sz w:val="20"/>
                <w:szCs w:val="20"/>
              </w:rPr>
              <w:fldChar w:fldCharType="end"/>
            </w:r>
          </w:p>
        </w:tc>
      </w:tr>
      <w:tr w:rsidR="001702B1" w:rsidRPr="001702B1" w14:paraId="4C69B7D5" w14:textId="77777777" w:rsidTr="00CD77CA">
        <w:tc>
          <w:tcPr>
            <w:cnfStyle w:val="001000000000" w:firstRow="0" w:lastRow="0" w:firstColumn="1" w:lastColumn="0" w:oddVBand="0" w:evenVBand="0" w:oddHBand="0" w:evenHBand="0" w:firstRowFirstColumn="0" w:firstRowLastColumn="0" w:lastRowFirstColumn="0" w:lastRowLastColumn="0"/>
            <w:tcW w:w="2070" w:type="dxa"/>
          </w:tcPr>
          <w:p w14:paraId="4756FF34"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Kinshasa, Congo</w:t>
            </w:r>
          </w:p>
          <w:p w14:paraId="6F895105"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(2020)</w:t>
            </w:r>
          </w:p>
        </w:tc>
        <w:tc>
          <w:tcPr>
            <w:tcW w:w="4140" w:type="dxa"/>
          </w:tcPr>
          <w:p w14:paraId="01F61293" w14:textId="77777777" w:rsidR="001702B1" w:rsidRPr="001702B1" w:rsidRDefault="001702B1" w:rsidP="00CD77C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Examine the impact of individual factors (Environmental, Government, and Economic) on reducing plastic waste pollution.</w:t>
            </w:r>
          </w:p>
        </w:tc>
        <w:tc>
          <w:tcPr>
            <w:tcW w:w="1620" w:type="dxa"/>
          </w:tcPr>
          <w:p w14:paraId="5833384A"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267</w:t>
            </w:r>
          </w:p>
          <w:p w14:paraId="40035324"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Face to face</w:t>
            </w:r>
          </w:p>
        </w:tc>
        <w:tc>
          <w:tcPr>
            <w:tcW w:w="4765" w:type="dxa"/>
          </w:tcPr>
          <w:p w14:paraId="5A9957E7" w14:textId="77777777" w:rsidR="001702B1" w:rsidRPr="001702B1" w:rsidRDefault="001702B1" w:rsidP="00CD77CA">
            <w:pPr>
              <w:pStyle w:val="ListParagraph"/>
              <w:numPr>
                <w:ilvl w:val="0"/>
                <w:numId w:val="11"/>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 xml:space="preserve">Environmental factors (88.8%), government policy (42.3%), and economic factors (36.0%) all </w:t>
            </w:r>
            <w:r w:rsidRPr="001702B1">
              <w:rPr>
                <w:rFonts w:ascii="Times New Roman" w:hAnsi="Times New Roman" w:cs="Times New Roman"/>
                <w:sz w:val="20"/>
                <w:szCs w:val="20"/>
              </w:rPr>
              <w:lastRenderedPageBreak/>
              <w:t>contribute significantly to reducing plastic waste pollution.</w:t>
            </w:r>
          </w:p>
        </w:tc>
        <w:bookmarkStart w:id="2" w:name="_Hlk183250349"/>
        <w:tc>
          <w:tcPr>
            <w:tcW w:w="1354" w:type="dxa"/>
          </w:tcPr>
          <w:p w14:paraId="47CE323A" w14:textId="0E6F10B6"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lastRenderedPageBreak/>
              <w:fldChar w:fldCharType="begin" w:fldLock="1"/>
            </w:r>
            <w:r>
              <w:rPr>
                <w:rFonts w:ascii="Times New Roman" w:hAnsi="Times New Roman" w:cs="Times New Roman"/>
                <w:sz w:val="20"/>
                <w:szCs w:val="20"/>
              </w:rPr>
              <w:instrText>ADDIN CSL_CITATION {"citationItems":[{"id":"ITEM-1","itemData":{"DOI":"10.4236/gep.2020.812011","ISSN":"2327-4336","abstract":"Plastic products, e.g., plastic bags, plastic bottles, and other plastic materials are widely used in people’s daily life and industrial production worldwide since they are cheap, easy to get, and convenient for all-purpose of transportation or movement. The wide application of plastic products also brings a lot of problems. The significant adverse consequences include plastic waste pollution and waste of resources, which pose a high threat to social development and environmental protection. In this research, a social survey involving 267 people was conducted to examine how certain factors reduce plastic waste pollution in Kinshasa. Statistical Product and Service Solutions were employed to analyze the data gathered from the survey. The results indicate that all the factors or strategies for reducing plastic waste pollution have a significant positive impact on plastic waste pollution reduction. The environmental factors have the highest contribution to the control of plastic waste pollution with an impact of 88.8%, followed by Government policy with an impact of 42.3%. Economic factors have the least impact contribution, with an impact of 36.0%. This finding and conclusion could be used as a framework for implementing plastic waste pollution management strategies or developing waste management systems.","author":[{"dropping-particle":"","family":"Bukasa","given":"Orphe Tshinkobo","non-dropping-particle":"","parse-names":false,"suffix":""},{"dropping-particle":"","family":"Iskakova","given":"Diana","non-dropping-particle":"","parse-names":false,"suffix":""},{"dropping-particle":"","family":"Ganiyu","given":"Sherif Abdul","non-dropping-particle":"","parse-names":false,"suffix":""},{"dropping-particle":"","family":"Rong","given":"Xing","non-dropping-particle":"","parse-names":false,"suffix":""},{"dropping-particle":"","family":"Li","given":"Meng","non-dropping-particle":"","parse-names":false,"suffix":""},{"dropping-particle":"","family":"Li","given":"Jianjun","non-dropping-particle":"","parse-names":false,"suffix":""}],"container-title":"Journal of Geoscience and Environment Protection","id":"ITEM-1","issue":"12","issued":{"date-parts":[["2020"]]},"page":"180-199","title":"Influencing Factors of Plastic Waste Pollution Reduction in Kinshasa","type":"article-journal","volume":"08"},"uris":["http://www.mendeley.com/documents/?uuid=25a71981-2d3d-4230-b13d-ebe2908e2393"]}],"mendeley":{"formattedCitation":"(Bukasa et al., 2020)","plainTextFormattedCitation":"(Bukasa et al., 2020)","previouslyFormattedCitation":"(Bukasa et al., 2020)"},"properties":{"noteIndex":0},"schema":"https://github.com/citation-style-language/schema/raw/master/csl-citation.json"}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(Bukasa et al., 2020)</w:t>
            </w:r>
            <w:r w:rsidRPr="001702B1">
              <w:rPr>
                <w:rFonts w:ascii="Times New Roman" w:hAnsi="Times New Roman" w:cs="Times New Roman"/>
                <w:sz w:val="20"/>
                <w:szCs w:val="20"/>
              </w:rPr>
              <w:fldChar w:fldCharType="end"/>
            </w:r>
            <w:bookmarkEnd w:id="2"/>
          </w:p>
        </w:tc>
      </w:tr>
      <w:tr w:rsidR="001702B1" w:rsidRPr="001702B1" w14:paraId="70DC69C1" w14:textId="77777777" w:rsidTr="00CD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0EBE3B47" w14:textId="77777777" w:rsidR="001702B1" w:rsidRPr="001702B1" w:rsidRDefault="001702B1" w:rsidP="00CD77CA">
            <w:pPr>
              <w:spacing w:line="240" w:lineRule="auto"/>
              <w:jc w:val="center"/>
              <w:rPr>
                <w:rFonts w:ascii="Times New Roman" w:hAnsi="Times New Roman" w:cs="Times New Roman"/>
                <w:sz w:val="20"/>
                <w:szCs w:val="20"/>
              </w:rPr>
            </w:pPr>
            <w:proofErr w:type="spellStart"/>
            <w:r w:rsidRPr="001702B1">
              <w:rPr>
                <w:rFonts w:ascii="Times New Roman" w:hAnsi="Times New Roman" w:cs="Times New Roman"/>
                <w:sz w:val="20"/>
                <w:szCs w:val="20"/>
              </w:rPr>
              <w:t>Hatay</w:t>
            </w:r>
            <w:proofErr w:type="spellEnd"/>
            <w:r w:rsidRPr="001702B1">
              <w:rPr>
                <w:rFonts w:ascii="Times New Roman" w:hAnsi="Times New Roman" w:cs="Times New Roman"/>
                <w:sz w:val="20"/>
                <w:szCs w:val="20"/>
              </w:rPr>
              <w:t xml:space="preserve">/ </w:t>
            </w:r>
            <w:proofErr w:type="spellStart"/>
            <w:r w:rsidRPr="001702B1">
              <w:rPr>
                <w:rFonts w:ascii="Times New Roman" w:hAnsi="Times New Roman" w:cs="Times New Roman"/>
                <w:sz w:val="20"/>
                <w:szCs w:val="20"/>
              </w:rPr>
              <w:t>Samandağ</w:t>
            </w:r>
            <w:proofErr w:type="spellEnd"/>
            <w:r w:rsidRPr="001702B1">
              <w:rPr>
                <w:rFonts w:ascii="Times New Roman" w:hAnsi="Times New Roman" w:cs="Times New Roman"/>
                <w:sz w:val="20"/>
                <w:szCs w:val="20"/>
              </w:rPr>
              <w:t>, Mediterranean Sea, Turkey</w:t>
            </w:r>
          </w:p>
          <w:p w14:paraId="32F4BE8D"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(2018)</w:t>
            </w:r>
          </w:p>
        </w:tc>
        <w:tc>
          <w:tcPr>
            <w:tcW w:w="4140" w:type="dxa"/>
          </w:tcPr>
          <w:p w14:paraId="723F040E" w14:textId="77777777" w:rsidR="001702B1" w:rsidRPr="001702B1" w:rsidRDefault="001702B1" w:rsidP="00CD77C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Bridge the gap in public perspectives on the impact of plastic pollution on the environment, particularly in marine ecosystems</w:t>
            </w:r>
          </w:p>
        </w:tc>
        <w:tc>
          <w:tcPr>
            <w:tcW w:w="1620" w:type="dxa"/>
          </w:tcPr>
          <w:p w14:paraId="768B8F4F"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194</w:t>
            </w:r>
          </w:p>
          <w:p w14:paraId="6305BE36"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face-to-face survey</w:t>
            </w:r>
          </w:p>
        </w:tc>
        <w:tc>
          <w:tcPr>
            <w:tcW w:w="4765" w:type="dxa"/>
          </w:tcPr>
          <w:p w14:paraId="6E5F08D6" w14:textId="77777777" w:rsidR="001702B1" w:rsidRPr="001702B1" w:rsidRDefault="001702B1" w:rsidP="00CD77CA">
            <w:pPr>
              <w:pStyle w:val="ListParagraph"/>
              <w:numPr>
                <w:ilvl w:val="0"/>
                <w:numId w:val="11"/>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96.4% of participants recognized the environmental harm of plastics.</w:t>
            </w:r>
          </w:p>
          <w:p w14:paraId="4EE2F72C" w14:textId="77777777" w:rsidR="001702B1" w:rsidRPr="001702B1" w:rsidRDefault="001702B1" w:rsidP="00CD77CA">
            <w:pPr>
              <w:pStyle w:val="ListParagraph"/>
              <w:numPr>
                <w:ilvl w:val="0"/>
                <w:numId w:val="11"/>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Despite awareness, 88.7% still used plastics for shopping, averaging 4.19 bags per shopping day.</w:t>
            </w:r>
          </w:p>
          <w:p w14:paraId="74312F85" w14:textId="77777777" w:rsidR="001702B1" w:rsidRPr="001702B1" w:rsidRDefault="001702B1" w:rsidP="00CD77CA">
            <w:pPr>
              <w:pStyle w:val="ListParagraph"/>
              <w:numPr>
                <w:ilvl w:val="0"/>
                <w:numId w:val="11"/>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 xml:space="preserve">A notable disconnection exists, as only 26% of </w:t>
            </w:r>
            <w:proofErr w:type="spellStart"/>
            <w:r w:rsidRPr="001702B1">
              <w:rPr>
                <w:rFonts w:ascii="Times New Roman" w:hAnsi="Times New Roman" w:cs="Times New Roman"/>
                <w:sz w:val="20"/>
                <w:szCs w:val="20"/>
              </w:rPr>
              <w:t>Samandağ's</w:t>
            </w:r>
            <w:proofErr w:type="spellEnd"/>
            <w:r w:rsidRPr="001702B1">
              <w:rPr>
                <w:rFonts w:ascii="Times New Roman" w:hAnsi="Times New Roman" w:cs="Times New Roman"/>
                <w:sz w:val="20"/>
                <w:szCs w:val="20"/>
              </w:rPr>
              <w:t xml:space="preserve"> annual plastic bag consumption was recycled.</w:t>
            </w:r>
          </w:p>
        </w:tc>
        <w:tc>
          <w:tcPr>
            <w:tcW w:w="1354" w:type="dxa"/>
          </w:tcPr>
          <w:p w14:paraId="1DF8E7AC" w14:textId="37CF70DA"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{"citationItems":[{"id":"ITEM-1","itemData":{"author":[{"dropping-particle":"","family":"Gündoğdu","given":"Sedat","non-dropping-particle":"","parse-names":false,"suffix":""},{"dropping-particle":"","family":"Yesilyurt","given":"Irem Nur","non-dropping-particle":"","parse-names":false,"suffix":""},{"dropping-particle":"","family":"Erbaş","given":"Celal","non-dropping-particle":"","parse-names":false,"suffix":""}],"container-title":"International Marine &amp; Freshwater Science Symposium (MAFRESH-2018)","id":"ITEM-1","issued":{"date-parts":[["2018"]]},"page":"134-138","publisher-place":"Kemer - Antalya / Turkey","title":"Survey on awareness and attitudes of citizens regarding plastic pollution in Hatay/Samandağ Turkey","type":"paper-conference"},"uris":["http://www.mendeley.com/documents/?uuid=62cd7774-8a22-4ade-a3cb-c7500784e76d"]}],"mendeley":{"formattedCitation":"(Gündoğdu et al., 2018)","plainTextFormattedCitation":"(Gündoğdu et al., 2018)","previouslyFormattedCitation":"(Gündoğdu et al., 2018)"},"properties":{"noteIndex":0},"schema":"https://github.com/citation-style-language/schema/raw/master/csl-citation.json"}</w:instrText>
            </w:r>
            <w:r w:rsidRPr="001702B1">
              <w:rPr>
                <w:rFonts w:ascii="Times New Roman" w:hAnsi="Times New Roman" w:cs="Times New Roman"/>
                <w:sz w:val="20"/>
                <w:szCs w:val="20"/>
              </w:rPr>
              <w:fldChar w:fldCharType="separate"/>
            </w:r>
            <w:bookmarkStart w:id="3" w:name="_Hlk183250373"/>
            <w:r w:rsidRPr="001702B1">
              <w:rPr>
                <w:rFonts w:ascii="Times New Roman" w:hAnsi="Times New Roman" w:cs="Times New Roman"/>
                <w:noProof/>
                <w:sz w:val="20"/>
                <w:szCs w:val="20"/>
              </w:rPr>
              <w:t>(Gündoğdu et al., 2018</w:t>
            </w:r>
            <w:bookmarkEnd w:id="3"/>
            <w:r w:rsidRPr="001702B1">
              <w:rPr>
                <w:rFonts w:ascii="Times New Roman" w:hAnsi="Times New Roman" w:cs="Times New Roman"/>
                <w:noProof/>
                <w:sz w:val="20"/>
                <w:szCs w:val="20"/>
              </w:rPr>
              <w:t>)</w:t>
            </w:r>
            <w:r w:rsidRPr="001702B1">
              <w:rPr>
                <w:rFonts w:ascii="Times New Roman" w:hAnsi="Times New Roman" w:cs="Times New Roman"/>
                <w:sz w:val="20"/>
                <w:szCs w:val="20"/>
              </w:rPr>
              <w:fldChar w:fldCharType="end"/>
            </w:r>
          </w:p>
        </w:tc>
      </w:tr>
      <w:tr w:rsidR="001702B1" w:rsidRPr="001702B1" w14:paraId="247E41BA" w14:textId="77777777" w:rsidTr="00CD77CA">
        <w:tc>
          <w:tcPr>
            <w:cnfStyle w:val="001000000000" w:firstRow="0" w:lastRow="0" w:firstColumn="1" w:lastColumn="0" w:oddVBand="0" w:evenVBand="0" w:oddHBand="0" w:evenHBand="0" w:firstRowFirstColumn="0" w:firstRowLastColumn="0" w:lastRowFirstColumn="0" w:lastRowLastColumn="0"/>
            <w:tcW w:w="2070" w:type="dxa"/>
          </w:tcPr>
          <w:p w14:paraId="52D1FAC3"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Eskisehir, Turkey</w:t>
            </w:r>
          </w:p>
          <w:p w14:paraId="5C8DE92C"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(2015)</w:t>
            </w:r>
          </w:p>
        </w:tc>
        <w:tc>
          <w:tcPr>
            <w:tcW w:w="4140" w:type="dxa"/>
          </w:tcPr>
          <w:p w14:paraId="4B37311F" w14:textId="77777777" w:rsidR="001702B1" w:rsidRPr="001702B1" w:rsidRDefault="001702B1" w:rsidP="00CD77C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Analyze consumer attitudes and behaviors regarding plastic and cloth bag usage using a research model focused on psychosocial determinants and the interrelation between preferences for these types of bag.</w:t>
            </w:r>
          </w:p>
        </w:tc>
        <w:tc>
          <w:tcPr>
            <w:tcW w:w="1620" w:type="dxa"/>
          </w:tcPr>
          <w:p w14:paraId="1F6460EF"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321</w:t>
            </w:r>
          </w:p>
          <w:p w14:paraId="68E76F2A"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Literature, Behavioral Questionnaire, Structural equation modeling (SEM)</w:t>
            </w:r>
          </w:p>
        </w:tc>
        <w:tc>
          <w:tcPr>
            <w:tcW w:w="4765" w:type="dxa"/>
          </w:tcPr>
          <w:p w14:paraId="11A07CE5" w14:textId="77777777" w:rsidR="001702B1" w:rsidRPr="001702B1" w:rsidRDefault="001702B1" w:rsidP="00CD77CA">
            <w:pPr>
              <w:pStyle w:val="ListParagraph"/>
              <w:numPr>
                <w:ilvl w:val="0"/>
                <w:numId w:val="12"/>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Environmental awareness and social pressure drive the shift to cloth bags.</w:t>
            </w:r>
          </w:p>
          <w:p w14:paraId="54E4207A" w14:textId="77777777" w:rsidR="001702B1" w:rsidRPr="001702B1" w:rsidRDefault="001702B1" w:rsidP="00CD77CA">
            <w:pPr>
              <w:pStyle w:val="ListParagraph"/>
              <w:numPr>
                <w:ilvl w:val="0"/>
                <w:numId w:val="12"/>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Factors include environmental consciousness, positive attitudes towards plastic bag bans, and reduced plastic bag usage.</w:t>
            </w:r>
          </w:p>
          <w:p w14:paraId="4EBEC681" w14:textId="77777777" w:rsidR="001702B1" w:rsidRPr="001702B1" w:rsidRDefault="001702B1" w:rsidP="00CD77CA">
            <w:pPr>
              <w:pStyle w:val="ListParagraph"/>
              <w:numPr>
                <w:ilvl w:val="0"/>
                <w:numId w:val="12"/>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Subjective social norms strongly influence cloth bag adoption.</w:t>
            </w:r>
          </w:p>
        </w:tc>
        <w:tc>
          <w:tcPr>
            <w:tcW w:w="1354" w:type="dxa"/>
          </w:tcPr>
          <w:p w14:paraId="07D22912" w14:textId="4759CB6D"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{"citationItems":[{"id":"ITEM-1","itemData":{"DOI":"10.1007/s10668-016-9791-x","ISSN":"15732975","abstract":"This paper examines consumer attitudes and behavior on the use of plastic and cloth bags in Eskişehir, Turkey. To this end, a structural equation model is proposed. Environmental consciousness regarding the use of plastic bags, social pressure, support for the banning of plastic bags, the intention to use cloth bags and behavior to reduce plastic bag use are employed as latent variables in the model. The intention to use cloth bags and the behavior to reduce the use of plastic bags are defined as endogenous latent variables in the structural model. In the conclusion of the study, it is identified that consumers who are environmentally conscious and feel under social pressure, tend to reduce the use of plastic bags and switch to using cloth bags.","author":[{"dropping-particle":"","family":"Arı","given":"Erkan","non-dropping-particle":"","parse-names":false,"suffix":""},{"dropping-particle":"","family":"Yılmaz","given":"Veysel","non-dropping-particle":"","parse-names":false,"suffix":""}],"container-title":"Environment, Development and Sustainability","id":"ITEM-1","issue":"4","issued":{"date-parts":[["2017"]]},"page":"1219-1234","title":"Consumer attitudes on the use of plastic and cloth bags","type":"article-journal","volume":"19"},"uris":["http://www.mendeley.com/documents/?uuid=76d6049f-1fb4-49da-a1b3-f0414551bf20"]}],"mendeley":{"formattedCitation":"(Arı &amp; Yılmaz, 2017)","plainTextFormattedCitation":"(Arı &amp; Yılmaz, 2017)","previouslyFormattedCitation":"(Arı &amp; Yılmaz, 2017)"},"properties":{"noteIndex":0},"schema":"https://github.com/citation-style-language/schema/raw/master/csl-citation.json"}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(Arı &amp; Yılmaz, 2017)</w:t>
            </w:r>
            <w:r w:rsidRPr="001702B1">
              <w:rPr>
                <w:rFonts w:ascii="Times New Roman" w:hAnsi="Times New Roman" w:cs="Times New Roman"/>
                <w:sz w:val="20"/>
                <w:szCs w:val="20"/>
              </w:rPr>
              <w:fldChar w:fldCharType="end"/>
            </w:r>
          </w:p>
        </w:tc>
      </w:tr>
      <w:tr w:rsidR="001702B1" w:rsidRPr="001702B1" w14:paraId="7E084AAD" w14:textId="77777777" w:rsidTr="00CD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1AAC3A2A"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Buenos Aires City, Argentina</w:t>
            </w:r>
          </w:p>
          <w:p w14:paraId="5C401C92"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(October-December, 2013)</w:t>
            </w:r>
          </w:p>
        </w:tc>
        <w:tc>
          <w:tcPr>
            <w:tcW w:w="4140" w:type="dxa"/>
          </w:tcPr>
          <w:p w14:paraId="2294F98A" w14:textId="77777777" w:rsidR="001702B1" w:rsidRPr="001702B1" w:rsidRDefault="001702B1" w:rsidP="00CD77C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The objective of this research is to examine the impact of a newly implemented charge for single-use plastic bags through two field studies, assessing its effects on consumer behavior and outcomes.</w:t>
            </w:r>
          </w:p>
        </w:tc>
        <w:tc>
          <w:tcPr>
            <w:tcW w:w="1620" w:type="dxa"/>
          </w:tcPr>
          <w:p w14:paraId="4835D735"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457</w:t>
            </w:r>
          </w:p>
          <w:p w14:paraId="548DEF4F"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Field observation</w:t>
            </w:r>
          </w:p>
        </w:tc>
        <w:tc>
          <w:tcPr>
            <w:tcW w:w="4765" w:type="dxa"/>
          </w:tcPr>
          <w:p w14:paraId="6422887B" w14:textId="77777777" w:rsidR="001702B1" w:rsidRPr="001702B1" w:rsidRDefault="001702B1" w:rsidP="00CD77CA">
            <w:pPr>
              <w:pStyle w:val="ListParagraph"/>
              <w:numPr>
                <w:ilvl w:val="0"/>
                <w:numId w:val="13"/>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Plastic bag charge increased personal bag use among Argentinean consumers.</w:t>
            </w:r>
          </w:p>
          <w:p w14:paraId="1BDACE46" w14:textId="77777777" w:rsidR="001702B1" w:rsidRPr="001702B1" w:rsidRDefault="001702B1" w:rsidP="00CD77CA">
            <w:pPr>
              <w:pStyle w:val="ListParagraph"/>
              <w:numPr>
                <w:ilvl w:val="0"/>
                <w:numId w:val="13"/>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The potential for lasting change exists when tied to environmental reasons.</w:t>
            </w:r>
          </w:p>
        </w:tc>
        <w:tc>
          <w:tcPr>
            <w:tcW w:w="1354" w:type="dxa"/>
          </w:tcPr>
          <w:p w14:paraId="34280303" w14:textId="60777F54"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{"citationItems":[{"id":"ITEM-1","itemData":{"DOI":"10.1016/j.jenvp.2014.09.004","ISSN":"15229610","abstract":"Two field studies tested the effects of a charge for single-use plastic bags recently implemented in Buenos Aires City, Argentina. Study 1 showed a greater increase in consumers' own bag use after the charge was introduced in supermarkets where the policy was introduced, in comparison to control supermarkets where the charge was not introduced, or was introduced later in time. The effects were even stronger two months later. Study 2 analyzed factors underlying policy support and own bag use six month after the charge was introduced. Policy supporters highlighted environmental benefits of the charge, while opponents stressed the financial costs. Moreover, most consumers indicated that they carried their own bags to protect the environment, suggesting that intrinsic rather than extrinsic motivations caused behavioral changes. The theoretical and practical implications of the findings are discussed.","author":[{"dropping-particle":"","family":"Jakovcevic","given":"Adriana","non-dropping-particle":"","parse-names":false,"suffix":""},{"dropping-particle":"","family":"Steg","given":"Linda","non-dropping-particle":"","parse-names":false,"suffix":""},{"dropping-particle":"","family":"Mazzeo","given":"Nadia","non-dropping-particle":"","parse-names":false,"suffix":""},{"dropping-particle":"","family":"Caballero","given":"Romina","non-dropping-particle":"","parse-names":false,"suffix":""},{"dropping-particle":"","family":"Franco","given":"Paul","non-dropping-particle":"","parse-names":false,"suffix":""},{"dropping-particle":"","family":"Putrino","given":"Natalia","non-dropping-particle":"","parse-names":false,"suffix":""},{"dropping-particle":"","family":"Favara","given":"Jesica","non-dropping-particle":"","parse-names":false,"suffix":""}],"container-title":"Journal of Environmental Psychology","id":"ITEM-1","issue":"2014","issued":{"date-parts":[["2014"]]},"page":"372-380","publisher":"Elsevier Ltd","title":"Charges for plastic bags: Motivational and behavioral effects","type":"article-journal","volume":"40"},"uris":["http://www.mendeley.com/documents/?uuid=8d1fa968-6b7f-4d8e-b844-50a2bea536d3"]}],"mendeley":{"formattedCitation":"(Jakovcevic et al., 2014)","plainTextFormattedCitation":"(Jakovcevic et al., 2014)","previouslyFormattedCitation":"(Jakovcevic et al., 2014)"},"properties":{"noteIndex":0},"schema":"https://github.com/citation-style-language/schema/raw/master/csl-citation.json"}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(Jakovcevic et al., 2014)</w:t>
            </w:r>
            <w:r w:rsidRPr="001702B1">
              <w:rPr>
                <w:rFonts w:ascii="Times New Roman" w:hAnsi="Times New Roman" w:cs="Times New Roman"/>
                <w:sz w:val="20"/>
                <w:szCs w:val="20"/>
              </w:rPr>
              <w:fldChar w:fldCharType="end"/>
            </w:r>
          </w:p>
        </w:tc>
      </w:tr>
      <w:tr w:rsidR="001702B1" w:rsidRPr="001702B1" w14:paraId="7A03EC2E" w14:textId="77777777" w:rsidTr="00CD77CA">
        <w:tc>
          <w:tcPr>
            <w:cnfStyle w:val="001000000000" w:firstRow="0" w:lastRow="0" w:firstColumn="1" w:lastColumn="0" w:oddVBand="0" w:evenVBand="0" w:oddHBand="0" w:evenHBand="0" w:firstRowFirstColumn="0" w:firstRowLastColumn="0" w:lastRowFirstColumn="0" w:lastRowLastColumn="0"/>
            <w:tcW w:w="2070" w:type="dxa"/>
          </w:tcPr>
          <w:p w14:paraId="1F25BEB8"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Bournemouth, UK</w:t>
            </w:r>
          </w:p>
          <w:p w14:paraId="061253AB"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(2012)</w:t>
            </w:r>
          </w:p>
        </w:tc>
        <w:tc>
          <w:tcPr>
            <w:tcW w:w="4140" w:type="dxa"/>
          </w:tcPr>
          <w:p w14:paraId="08206ACA" w14:textId="77777777" w:rsidR="001702B1" w:rsidRPr="001702B1" w:rsidRDefault="001702B1" w:rsidP="00CD77CA">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This study investigates the effectiveness of normative messages (injunctive and personal norms) alongside a standard environmental message from supermarkets in reducing the use of free plastic bags.</w:t>
            </w:r>
          </w:p>
        </w:tc>
        <w:tc>
          <w:tcPr>
            <w:tcW w:w="1620" w:type="dxa"/>
          </w:tcPr>
          <w:p w14:paraId="5EAD8C8A"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200</w:t>
            </w:r>
          </w:p>
          <w:p w14:paraId="42F57D13"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In-person</w:t>
            </w:r>
          </w:p>
          <w:p w14:paraId="5ECC0DCE" w14:textId="77777777"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Customers behavior  of local shop</w:t>
            </w:r>
          </w:p>
        </w:tc>
        <w:tc>
          <w:tcPr>
            <w:tcW w:w="4765" w:type="dxa"/>
          </w:tcPr>
          <w:p w14:paraId="553A71C0" w14:textId="77777777" w:rsidR="001702B1" w:rsidRPr="001702B1" w:rsidRDefault="001702B1" w:rsidP="00CD77CA">
            <w:pPr>
              <w:pStyle w:val="ListParagraph"/>
              <w:numPr>
                <w:ilvl w:val="0"/>
                <w:numId w:val="14"/>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Incorporating normative details in the environmental message is a promising strategy.</w:t>
            </w:r>
          </w:p>
          <w:p w14:paraId="3E2AAB64" w14:textId="77777777" w:rsidR="001702B1" w:rsidRPr="001702B1" w:rsidRDefault="001702B1" w:rsidP="00CD77CA">
            <w:pPr>
              <w:pStyle w:val="ListParagraph"/>
              <w:numPr>
                <w:ilvl w:val="0"/>
                <w:numId w:val="14"/>
              </w:num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Anticipated reduction in free plastic bag usage surpasses injunctive normative messages by around 20%.</w:t>
            </w:r>
          </w:p>
        </w:tc>
        <w:bookmarkStart w:id="4" w:name="_Hlk183250423"/>
        <w:tc>
          <w:tcPr>
            <w:tcW w:w="1354" w:type="dxa"/>
          </w:tcPr>
          <w:p w14:paraId="05FDF09A" w14:textId="19C489EC" w:rsidR="001702B1" w:rsidRPr="001702B1" w:rsidRDefault="001702B1" w:rsidP="00CD77C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{"citationItems":[{"id":"ITEM-1","itemData":{"DOI":"10.3390/su5051829","ISBN":"4401202961","ISSN":"20711050","abstract":"In this exploratory field-study, we examined how normative messages (i.e., activating an injunctive norm, personal norm, or both) could encourage shoppers to use fewer free plastic bags for their shopping in addition to the supermarket's standard environmental message aimed at reducing plastic bags. In a one-way subjects-design (N = 200) at a local supermarket, we showed that shoppers used significantly fewer free plastic bags in the injunctive, personal and combined normative message condition than in the condition where only an environmental message was present. The combined normative message did result in the smallest uptake of free plastic bags compared to the injunctive and personal normative-only message, although these differences were not significant. Our findings imply that re-wording the supermarket's environmental message by including normative information could be a promising way to reduce the use of free plastic bags, which will ultimately benefit the environment. © 2013 by the authors.","author":[{"dropping-particle":"de","family":"Groot","given":"Judith I.M.","non-dropping-particle":"","parse-names":false,"suffix":""},{"dropping-particle":"","family":"Abrahamse","given":"Wokje","non-dropping-particle":"","parse-names":false,"suffix":""},{"dropping-particle":"","family":"Jones","given":"Kayleigh","non-dropping-particle":"","parse-names":false,"suffix":""}],"container-title":"Sustainability (Switzerland)","id":"ITEM-1","issue":"5","issued":{"date-parts":[["2013"]]},"page":"1829-1844","title":"Persuasive normative messages: The influence of injunctive and personal norms on using free plastic bags","type":"article-journal","volume":"2013"},"uris":["http://www.mendeley.com/documents/?uuid=4d3eb0e3-270d-4c4e-aff7-1d08c59a7ed5"]}],"mendeley":{"formattedCitation":"(Groot et al., 2013)","plainTextFormattedCitation":"(Groot et al., 2013)","previouslyFormattedCitation":"(Groot et al., 2013)"},"properties":{"noteIndex":0},"schema":"https://github.com/citation-style-language/schema/raw/master/csl-citation.json"}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(Groot et al., 2013)</w:t>
            </w:r>
            <w:r w:rsidRPr="001702B1">
              <w:rPr>
                <w:rFonts w:ascii="Times New Roman" w:hAnsi="Times New Roman" w:cs="Times New Roman"/>
                <w:sz w:val="20"/>
                <w:szCs w:val="20"/>
              </w:rPr>
              <w:fldChar w:fldCharType="end"/>
            </w:r>
            <w:bookmarkEnd w:id="4"/>
          </w:p>
        </w:tc>
      </w:tr>
      <w:tr w:rsidR="001702B1" w:rsidRPr="001702B1" w14:paraId="50292336" w14:textId="77777777" w:rsidTr="00CD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14:paraId="03888F4F"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Wales, UK</w:t>
            </w:r>
          </w:p>
          <w:p w14:paraId="28EE8113" w14:textId="77777777" w:rsidR="001702B1" w:rsidRPr="001702B1" w:rsidRDefault="001702B1" w:rsidP="00CD77CA">
            <w:pPr>
              <w:spacing w:line="240" w:lineRule="auto"/>
              <w:jc w:val="center"/>
              <w:rPr>
                <w:rFonts w:ascii="Times New Roman" w:hAnsi="Times New Roman" w:cs="Times New Roman"/>
                <w:sz w:val="20"/>
                <w:szCs w:val="20"/>
              </w:rPr>
            </w:pPr>
            <w:r w:rsidRPr="001702B1">
              <w:rPr>
                <w:rFonts w:ascii="Times New Roman" w:hAnsi="Times New Roman" w:cs="Times New Roman"/>
                <w:sz w:val="20"/>
                <w:szCs w:val="20"/>
              </w:rPr>
              <w:t>(September-October, 2011)</w:t>
            </w:r>
          </w:p>
        </w:tc>
        <w:tc>
          <w:tcPr>
            <w:tcW w:w="4140" w:type="dxa"/>
          </w:tcPr>
          <w:p w14:paraId="60DA724B" w14:textId="77777777" w:rsidR="001702B1" w:rsidRPr="001702B1" w:rsidRDefault="001702B1" w:rsidP="00CD77C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The aim of this study is to assess the efficacy of the single-use carrier bag charge and explore its subsequent effects on attitudes and behaviors among consumers.</w:t>
            </w:r>
          </w:p>
        </w:tc>
        <w:tc>
          <w:tcPr>
            <w:tcW w:w="1620" w:type="dxa"/>
          </w:tcPr>
          <w:p w14:paraId="375F9085"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N  = 500</w:t>
            </w:r>
          </w:p>
          <w:p w14:paraId="68382005" w14:textId="77777777"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Quasi- experimental field study</w:t>
            </w:r>
          </w:p>
        </w:tc>
        <w:tc>
          <w:tcPr>
            <w:tcW w:w="4765" w:type="dxa"/>
          </w:tcPr>
          <w:p w14:paraId="4C315AA0" w14:textId="77777777" w:rsidR="001702B1" w:rsidRPr="001702B1" w:rsidRDefault="001702B1" w:rsidP="00CD77CA">
            <w:pPr>
              <w:pStyle w:val="ListParagraph"/>
              <w:numPr>
                <w:ilvl w:val="0"/>
                <w:numId w:val="15"/>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Bag charge in Wales led to significant behavior change.</w:t>
            </w:r>
          </w:p>
          <w:p w14:paraId="1C6E7ACD" w14:textId="77777777" w:rsidR="001702B1" w:rsidRPr="001702B1" w:rsidRDefault="001702B1" w:rsidP="00CD77CA">
            <w:pPr>
              <w:pStyle w:val="ListParagraph"/>
              <w:numPr>
                <w:ilvl w:val="0"/>
                <w:numId w:val="15"/>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Own bag use rose from 62% to 82%, establishing a habit change.</w:t>
            </w:r>
          </w:p>
          <w:p w14:paraId="5569D9AC" w14:textId="77777777" w:rsidR="001702B1" w:rsidRPr="001702B1" w:rsidRDefault="001702B1" w:rsidP="00CD77CA">
            <w:pPr>
              <w:pStyle w:val="ListParagraph"/>
              <w:numPr>
                <w:ilvl w:val="0"/>
                <w:numId w:val="15"/>
              </w:num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t>More people consistently brought their own bags to supermarkets (42% to 64%) and other shops (27% to 43%).</w:t>
            </w:r>
          </w:p>
        </w:tc>
        <w:tc>
          <w:tcPr>
            <w:tcW w:w="1354" w:type="dxa"/>
          </w:tcPr>
          <w:p w14:paraId="58D07519" w14:textId="19382295" w:rsidR="001702B1" w:rsidRPr="001702B1" w:rsidRDefault="001702B1" w:rsidP="00CD77C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702B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{"citationItems":[{"id":"ITEM-1","itemData":{"DOI":"10.1016/j.jenvp.2013.09.001","ISSN":"02724944","abstract":"Wales is the first country in the United Kingdom to have introduced a charge for single-use carrier bags. A 2×2 quasi-experimental field study was set up to evaluate the effectiveness and further attitudinal and behavioural impacts of the charge. Independent nationally representative quota samples were interviewed before and after the introduction of the carrier bag charge in Wales and at the same times in England (n=500 each). England, where no carrier bag charge was introduced, served as the comparator for the study. The study found increases in own bag use in both countries. However, the increase was much greater in Wales than in England. The study also found evidence for the policy becoming more popular after its implementation in Wales. While support for the carrier bag charge was already high before its introduction, the Welsh population became even more supportive afterwards. Although no support was found for positive behavioural spillover, the study found changes in self-reported environmental identity that could produce positive spillover effects in the longer term. The theoretical and policy implications of the findings are discussed. © 2013 Elsevier Ltd.","author":[{"dropping-particle":"","family":"Poortinga","given":"Wouter","non-dropping-particle":"","parse-names":false,"suffix":""},{"dropping-particle":"","family":"Whitmarsh","given":"Lorraine","non-dropping-particle":"","parse-names":false,"suffix":""},{"dropping-particle":"","family":"Suffolk","given":"Christine","non-dropping-particle":"","parse-names":false,"suffix":""}],"container-title":"Journal of Environmental Psychology","id":"ITEM-1","issue":"2013","issued":{"date-parts":[["2013"]]},"page":"240-247","publisher":"Elsevier Ltd","title":"The introduction of a single-use carrier bag charge in Wales: Attitude change and behavioural spillover effects","type":"article-journal","volume":"36"},"uris":["http://www.mendeley.com/documents/?uuid=07c9618e-33a1-4c7c-bbdf-88791a76fa64"]}],"mendeley":{"formattedCitation":"(Poortinga et al., 2013)","plainTextFormattedCitation":"(Poortinga et al., 2013)","previouslyFormattedCitation":"(Poortinga et al., 2013)"},"properties":{"noteIndex":0},"schema":"https://github.com/citation-style-language/schema/raw/master/csl-citation.json"}</w:instrText>
            </w:r>
            <w:r w:rsidRPr="001702B1">
              <w:rPr>
                <w:rFonts w:ascii="Times New Roman" w:hAnsi="Times New Roman" w:cs="Times New Roman"/>
                <w:sz w:val="20"/>
                <w:szCs w:val="20"/>
              </w:rPr>
              <w:fldChar w:fldCharType="separate"/>
            </w:r>
            <w:r w:rsidRPr="001702B1">
              <w:rPr>
                <w:rFonts w:ascii="Times New Roman" w:hAnsi="Times New Roman" w:cs="Times New Roman"/>
                <w:noProof/>
                <w:sz w:val="20"/>
                <w:szCs w:val="20"/>
              </w:rPr>
              <w:t>(Poortinga et al., 2013)</w:t>
            </w:r>
            <w:r w:rsidRPr="001702B1">
              <w:rPr>
                <w:rFonts w:ascii="Times New Roman" w:hAnsi="Times New Roman" w:cs="Times New Roman"/>
                <w:sz w:val="20"/>
                <w:szCs w:val="20"/>
              </w:rPr>
              <w:fldChar w:fldCharType="end"/>
            </w:r>
          </w:p>
        </w:tc>
      </w:tr>
    </w:tbl>
    <w:p w14:paraId="5538B45E" w14:textId="77777777" w:rsidR="001702B1" w:rsidRPr="001702B1" w:rsidRDefault="001702B1" w:rsidP="001702B1">
      <w:pPr>
        <w:spacing w:line="240" w:lineRule="auto"/>
        <w:jc w:val="both"/>
        <w:rPr>
          <w:rFonts w:ascii="Times New Roman" w:hAnsi="Times New Roman" w:cs="Times New Roman"/>
          <w:w w:val="105"/>
          <w:sz w:val="24"/>
          <w:szCs w:val="24"/>
        </w:rPr>
      </w:pPr>
    </w:p>
    <w:p w14:paraId="2042C3FF" w14:textId="77777777" w:rsidR="001702B1" w:rsidRPr="001702B1" w:rsidRDefault="001702B1" w:rsidP="00470915">
      <w:pPr>
        <w:spacing w:after="0" w:line="240" w:lineRule="auto"/>
        <w:jc w:val="center"/>
        <w:rPr>
          <w:rFonts w:ascii="Times New Roman" w:hAnsi="Times New Roman" w:cs="Times New Roman"/>
          <w:sz w:val="24"/>
          <w:szCs w:val="24"/>
        </w:rPr>
        <w:sectPr w:rsidR="001702B1" w:rsidRPr="001702B1" w:rsidSect="001702B1">
          <w:pgSz w:w="16839" w:h="11907" w:orient="landscape" w:code="9"/>
          <w:pgMar w:top="1440" w:right="1440" w:bottom="1440" w:left="1440" w:header="720" w:footer="720" w:gutter="0"/>
          <w:lnNumType w:countBy="1" w:restart="continuous"/>
          <w:cols w:space="720"/>
          <w:docGrid w:linePitch="360"/>
        </w:sectPr>
      </w:pPr>
    </w:p>
    <w:p w14:paraId="041A5ACA" w14:textId="77777777" w:rsidR="001702B1" w:rsidRPr="001702B1" w:rsidRDefault="001702B1" w:rsidP="00470915">
      <w:pPr>
        <w:spacing w:after="0" w:line="240" w:lineRule="auto"/>
        <w:jc w:val="center"/>
        <w:rPr>
          <w:rFonts w:ascii="Times New Roman" w:hAnsi="Times New Roman" w:cs="Times New Roman"/>
          <w:sz w:val="24"/>
          <w:szCs w:val="24"/>
        </w:rPr>
        <w:sectPr w:rsidR="001702B1" w:rsidRPr="001702B1" w:rsidSect="001702B1">
          <w:pgSz w:w="11907" w:h="16839" w:code="9"/>
          <w:pgMar w:top="1440" w:right="1440" w:bottom="1440" w:left="1440" w:header="720" w:footer="720" w:gutter="0"/>
          <w:lnNumType w:countBy="1" w:restart="continuous"/>
          <w:cols w:space="720"/>
          <w:docGrid w:linePitch="360"/>
        </w:sectPr>
      </w:pPr>
    </w:p>
    <w:p w14:paraId="33734DDD"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drawing>
          <wp:inline distT="0" distB="0" distL="0" distR="0" wp14:anchorId="415ED861" wp14:editId="6E9FE2A4">
            <wp:extent cx="5349240" cy="3931920"/>
            <wp:effectExtent l="0" t="0" r="381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7854" t="8832" r="1088" b="1828"/>
                    <a:stretch/>
                  </pic:blipFill>
                  <pic:spPr bwMode="auto">
                    <a:xfrm>
                      <a:off x="0" y="0"/>
                      <a:ext cx="5349240" cy="3931920"/>
                    </a:xfrm>
                    <a:prstGeom prst="rect">
                      <a:avLst/>
                    </a:prstGeom>
                    <a:noFill/>
                  </pic:spPr>
                </pic:pic>
              </a:graphicData>
            </a:graphic>
          </wp:inline>
        </w:drawing>
      </w:r>
    </w:p>
    <w:p w14:paraId="697EF013"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t>(a)</w:t>
      </w:r>
    </w:p>
    <w:p w14:paraId="45CCEC1B"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drawing>
          <wp:inline distT="0" distB="0" distL="0" distR="0" wp14:anchorId="06C6B2E1" wp14:editId="0FC91A9D">
            <wp:extent cx="5494020" cy="3933859"/>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7133" t="9431" b="1826"/>
                    <a:stretch/>
                  </pic:blipFill>
                  <pic:spPr bwMode="auto">
                    <a:xfrm>
                      <a:off x="0" y="0"/>
                      <a:ext cx="5497352" cy="3936245"/>
                    </a:xfrm>
                    <a:prstGeom prst="rect">
                      <a:avLst/>
                    </a:prstGeom>
                    <a:noFill/>
                  </pic:spPr>
                </pic:pic>
              </a:graphicData>
            </a:graphic>
          </wp:inline>
        </w:drawing>
      </w:r>
    </w:p>
    <w:p w14:paraId="618AB487"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t>(b)</w:t>
      </w:r>
    </w:p>
    <w:p w14:paraId="213C8E63"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lastRenderedPageBreak/>
        <w:drawing>
          <wp:inline distT="0" distB="0" distL="0" distR="0" wp14:anchorId="310EA758" wp14:editId="1A369830">
            <wp:extent cx="5422392" cy="393192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7698" t="9238" b="1522"/>
                    <a:stretch/>
                  </pic:blipFill>
                  <pic:spPr bwMode="auto">
                    <a:xfrm>
                      <a:off x="0" y="0"/>
                      <a:ext cx="5422392" cy="3931920"/>
                    </a:xfrm>
                    <a:prstGeom prst="rect">
                      <a:avLst/>
                    </a:prstGeom>
                    <a:noFill/>
                  </pic:spPr>
                </pic:pic>
              </a:graphicData>
            </a:graphic>
          </wp:inline>
        </w:drawing>
      </w:r>
    </w:p>
    <w:p w14:paraId="2B2F42A9"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t>(c)</w:t>
      </w:r>
    </w:p>
    <w:p w14:paraId="4F1D06F0"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drawing>
          <wp:inline distT="0" distB="0" distL="0" distR="0" wp14:anchorId="3B792C46" wp14:editId="32A4542B">
            <wp:extent cx="5458968" cy="393192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6998" t="9137" b="1422"/>
                    <a:stretch/>
                  </pic:blipFill>
                  <pic:spPr bwMode="auto">
                    <a:xfrm>
                      <a:off x="0" y="0"/>
                      <a:ext cx="5458968" cy="3931920"/>
                    </a:xfrm>
                    <a:prstGeom prst="rect">
                      <a:avLst/>
                    </a:prstGeom>
                    <a:noFill/>
                  </pic:spPr>
                </pic:pic>
              </a:graphicData>
            </a:graphic>
          </wp:inline>
        </w:drawing>
      </w:r>
    </w:p>
    <w:p w14:paraId="27A01236" w14:textId="77777777" w:rsidR="001702B1" w:rsidRPr="001702B1" w:rsidRDefault="001702B1" w:rsidP="001702B1">
      <w:pPr>
        <w:spacing w:after="0" w:line="240" w:lineRule="auto"/>
        <w:jc w:val="center"/>
        <w:rPr>
          <w:rFonts w:ascii="Times New Roman" w:hAnsi="Times New Roman" w:cs="Times New Roman"/>
          <w:noProof/>
          <w:sz w:val="20"/>
          <w:szCs w:val="20"/>
        </w:rPr>
      </w:pPr>
      <w:r w:rsidRPr="001702B1">
        <w:rPr>
          <w:rFonts w:ascii="Times New Roman" w:hAnsi="Times New Roman" w:cs="Times New Roman"/>
          <w:noProof/>
          <w:sz w:val="20"/>
          <w:szCs w:val="20"/>
        </w:rPr>
        <w:t>(d)</w:t>
      </w:r>
    </w:p>
    <w:p w14:paraId="42E7601C" w14:textId="77777777" w:rsidR="001702B1" w:rsidRDefault="001702B1" w:rsidP="001702B1">
      <w:pPr>
        <w:spacing w:after="0" w:line="240" w:lineRule="auto"/>
        <w:jc w:val="both"/>
        <w:rPr>
          <w:rFonts w:ascii="Times New Roman" w:hAnsi="Times New Roman" w:cs="Times New Roman"/>
          <w:sz w:val="24"/>
          <w:szCs w:val="24"/>
        </w:rPr>
      </w:pPr>
      <w:r w:rsidRPr="001702B1">
        <w:rPr>
          <w:rFonts w:ascii="Times New Roman" w:hAnsi="Times New Roman" w:cs="Times New Roman"/>
          <w:b/>
          <w:sz w:val="24"/>
          <w:szCs w:val="24"/>
        </w:rPr>
        <w:t>Fig. S1.</w:t>
      </w:r>
      <w:r w:rsidRPr="001702B1">
        <w:rPr>
          <w:rFonts w:ascii="Times New Roman" w:hAnsi="Times New Roman" w:cs="Times New Roman"/>
          <w:sz w:val="24"/>
          <w:szCs w:val="24"/>
        </w:rPr>
        <w:t xml:space="preserve"> Alluvial plot for different socio-demographic factors of the participants (a) Age, (b) Gender, (c) occupation and (d) Education, depicting people's perceptions on campaigns to raise awareness to reduce plastic pollution and promote jute products </w:t>
      </w:r>
    </w:p>
    <w:p w14:paraId="714E83D3" w14:textId="77777777" w:rsidR="001702B1" w:rsidRDefault="001702B1" w:rsidP="001702B1">
      <w:pPr>
        <w:spacing w:after="0" w:line="240" w:lineRule="auto"/>
        <w:jc w:val="both"/>
        <w:rPr>
          <w:rFonts w:ascii="Times New Roman" w:hAnsi="Times New Roman" w:cs="Times New Roman"/>
          <w:sz w:val="24"/>
          <w:szCs w:val="24"/>
        </w:rPr>
      </w:pPr>
    </w:p>
    <w:p w14:paraId="59209FE6" w14:textId="73BED043" w:rsidR="001702B1" w:rsidRPr="001702B1" w:rsidRDefault="001702B1" w:rsidP="001702B1">
      <w:pPr>
        <w:spacing w:after="0" w:line="240" w:lineRule="auto"/>
        <w:jc w:val="both"/>
        <w:rPr>
          <w:rFonts w:ascii="Times New Roman" w:hAnsi="Times New Roman" w:cs="Times New Roman"/>
          <w:b/>
          <w:bCs/>
          <w:sz w:val="32"/>
          <w:szCs w:val="32"/>
        </w:rPr>
      </w:pPr>
      <w:r w:rsidRPr="001702B1">
        <w:rPr>
          <w:rFonts w:ascii="Times New Roman" w:hAnsi="Times New Roman" w:cs="Times New Roman"/>
          <w:b/>
          <w:bCs/>
          <w:sz w:val="32"/>
          <w:szCs w:val="32"/>
        </w:rPr>
        <w:lastRenderedPageBreak/>
        <w:t>References</w:t>
      </w:r>
    </w:p>
    <w:p w14:paraId="1728B5F7" w14:textId="0F41D223"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1702B1">
        <w:rPr>
          <w:rFonts w:ascii="Times New Roman" w:hAnsi="Times New Roman" w:cs="Times New Roman"/>
          <w:noProof/>
          <w:sz w:val="20"/>
          <w:szCs w:val="18"/>
        </w:rPr>
        <w:t xml:space="preserve">Arı, E., &amp; Yılmaz, V. (2017). Consumer attitudes on the use of plastic and cloth bags. </w:t>
      </w:r>
      <w:r w:rsidRPr="001702B1">
        <w:rPr>
          <w:rFonts w:ascii="Times New Roman" w:hAnsi="Times New Roman" w:cs="Times New Roman"/>
          <w:i/>
          <w:iCs/>
          <w:noProof/>
          <w:sz w:val="20"/>
          <w:szCs w:val="18"/>
        </w:rPr>
        <w:t>Environment, Development and Sustainability</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19</w:t>
      </w:r>
      <w:r w:rsidRPr="001702B1">
        <w:rPr>
          <w:rFonts w:ascii="Times New Roman" w:hAnsi="Times New Roman" w:cs="Times New Roman"/>
          <w:noProof/>
          <w:sz w:val="20"/>
          <w:szCs w:val="18"/>
        </w:rPr>
        <w:t>(4), 1219–1234. https://doi.org/10.1007/s10668-016-9791-x</w:t>
      </w:r>
    </w:p>
    <w:p w14:paraId="0FD97BE2" w14:textId="77777777" w:rsidR="001702B1" w:rsidRPr="00543FF3"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lang w:val="sv-SE"/>
        </w:rPr>
      </w:pPr>
      <w:r w:rsidRPr="001702B1">
        <w:rPr>
          <w:rFonts w:ascii="Times New Roman" w:hAnsi="Times New Roman" w:cs="Times New Roman"/>
          <w:noProof/>
          <w:sz w:val="20"/>
          <w:szCs w:val="18"/>
        </w:rPr>
        <w:t xml:space="preserve">Boca, G. D., &amp; Saraçli, S. (2023). Effects of Romanian Student’s Awareness and Needs Regarding Plastic Waste Management. </w:t>
      </w:r>
      <w:r w:rsidRPr="00543FF3">
        <w:rPr>
          <w:rFonts w:ascii="Times New Roman" w:hAnsi="Times New Roman" w:cs="Times New Roman"/>
          <w:i/>
          <w:iCs/>
          <w:noProof/>
          <w:sz w:val="20"/>
          <w:szCs w:val="18"/>
          <w:lang w:val="sv-SE"/>
        </w:rPr>
        <w:t>Sustainability (Switzerland)</w:t>
      </w:r>
      <w:r w:rsidRPr="00543FF3">
        <w:rPr>
          <w:rFonts w:ascii="Times New Roman" w:hAnsi="Times New Roman" w:cs="Times New Roman"/>
          <w:noProof/>
          <w:sz w:val="20"/>
          <w:szCs w:val="18"/>
          <w:lang w:val="sv-SE"/>
        </w:rPr>
        <w:t xml:space="preserve">, </w:t>
      </w:r>
      <w:r w:rsidRPr="00543FF3">
        <w:rPr>
          <w:rFonts w:ascii="Times New Roman" w:hAnsi="Times New Roman" w:cs="Times New Roman"/>
          <w:i/>
          <w:iCs/>
          <w:noProof/>
          <w:sz w:val="20"/>
          <w:szCs w:val="18"/>
          <w:lang w:val="sv-SE"/>
        </w:rPr>
        <w:t>15</w:t>
      </w:r>
      <w:r w:rsidRPr="00543FF3">
        <w:rPr>
          <w:rFonts w:ascii="Times New Roman" w:hAnsi="Times New Roman" w:cs="Times New Roman"/>
          <w:noProof/>
          <w:sz w:val="20"/>
          <w:szCs w:val="18"/>
          <w:lang w:val="sv-SE"/>
        </w:rPr>
        <w:t>(8), 1–21. https://doi.org/10.3390/su15086811</w:t>
      </w:r>
    </w:p>
    <w:p w14:paraId="25723497"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543FF3">
        <w:rPr>
          <w:rFonts w:ascii="Times New Roman" w:hAnsi="Times New Roman" w:cs="Times New Roman"/>
          <w:noProof/>
          <w:sz w:val="20"/>
          <w:szCs w:val="18"/>
          <w:lang w:val="sv-SE"/>
        </w:rPr>
        <w:t xml:space="preserve">Bukasa, O. T., Iskakova, D., Ganiyu, S. A., Rong, X., Li, M., &amp; Li, J. (2020). </w:t>
      </w:r>
      <w:r w:rsidRPr="001702B1">
        <w:rPr>
          <w:rFonts w:ascii="Times New Roman" w:hAnsi="Times New Roman" w:cs="Times New Roman"/>
          <w:noProof/>
          <w:sz w:val="20"/>
          <w:szCs w:val="18"/>
        </w:rPr>
        <w:t xml:space="preserve">Influencing Factors of Plastic Waste Pollution Reduction in Kinshasa. </w:t>
      </w:r>
      <w:r w:rsidRPr="001702B1">
        <w:rPr>
          <w:rFonts w:ascii="Times New Roman" w:hAnsi="Times New Roman" w:cs="Times New Roman"/>
          <w:i/>
          <w:iCs/>
          <w:noProof/>
          <w:sz w:val="20"/>
          <w:szCs w:val="18"/>
        </w:rPr>
        <w:t>Journal of Geoscience and Environment Protection</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08</w:t>
      </w:r>
      <w:r w:rsidRPr="001702B1">
        <w:rPr>
          <w:rFonts w:ascii="Times New Roman" w:hAnsi="Times New Roman" w:cs="Times New Roman"/>
          <w:noProof/>
          <w:sz w:val="20"/>
          <w:szCs w:val="18"/>
        </w:rPr>
        <w:t>(12), 180–199. https://doi.org/10.4236/gep.2020.812011</w:t>
      </w:r>
    </w:p>
    <w:p w14:paraId="29585422"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1702B1">
        <w:rPr>
          <w:rFonts w:ascii="Times New Roman" w:hAnsi="Times New Roman" w:cs="Times New Roman"/>
          <w:noProof/>
          <w:sz w:val="20"/>
          <w:szCs w:val="18"/>
        </w:rPr>
        <w:t xml:space="preserve">Groot, J. I. M. de, Abrahamse, W., &amp; Jones, K. (2013). Persuasive normative messages: The influence of injunctive and personal norms on using free plastic bags. </w:t>
      </w:r>
      <w:r w:rsidRPr="001702B1">
        <w:rPr>
          <w:rFonts w:ascii="Times New Roman" w:hAnsi="Times New Roman" w:cs="Times New Roman"/>
          <w:i/>
          <w:iCs/>
          <w:noProof/>
          <w:sz w:val="20"/>
          <w:szCs w:val="18"/>
        </w:rPr>
        <w:t>Sustainability (Switzerland)</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2013</w:t>
      </w:r>
      <w:r w:rsidRPr="001702B1">
        <w:rPr>
          <w:rFonts w:ascii="Times New Roman" w:hAnsi="Times New Roman" w:cs="Times New Roman"/>
          <w:noProof/>
          <w:sz w:val="20"/>
          <w:szCs w:val="18"/>
        </w:rPr>
        <w:t>(5), 1829–1844. https://doi.org/10.3390/su5051829</w:t>
      </w:r>
    </w:p>
    <w:p w14:paraId="3CA05692"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1702B1">
        <w:rPr>
          <w:rFonts w:ascii="Times New Roman" w:hAnsi="Times New Roman" w:cs="Times New Roman"/>
          <w:noProof/>
          <w:sz w:val="20"/>
          <w:szCs w:val="18"/>
        </w:rPr>
        <w:t xml:space="preserve">Gu, F., Zhu, Z., &amp; Ali, S. (2023). Analysis of Factors of Single-Use Plastic Avoidance Behavior. </w:t>
      </w:r>
      <w:r w:rsidRPr="001702B1">
        <w:rPr>
          <w:rFonts w:ascii="Times New Roman" w:hAnsi="Times New Roman" w:cs="Times New Roman"/>
          <w:i/>
          <w:iCs/>
          <w:noProof/>
          <w:sz w:val="20"/>
          <w:szCs w:val="18"/>
        </w:rPr>
        <w:t>Processess</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11</w:t>
      </w:r>
      <w:r w:rsidRPr="001702B1">
        <w:rPr>
          <w:rFonts w:ascii="Times New Roman" w:hAnsi="Times New Roman" w:cs="Times New Roman"/>
          <w:noProof/>
          <w:sz w:val="20"/>
          <w:szCs w:val="18"/>
        </w:rPr>
        <w:t>(1412), 1–20.</w:t>
      </w:r>
    </w:p>
    <w:p w14:paraId="6E25FE0C"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1702B1">
        <w:rPr>
          <w:rFonts w:ascii="Times New Roman" w:hAnsi="Times New Roman" w:cs="Times New Roman"/>
          <w:noProof/>
          <w:sz w:val="20"/>
          <w:szCs w:val="18"/>
        </w:rPr>
        <w:t xml:space="preserve">Gündoğdu, S., Yesilyurt, I. N., &amp; Erbaş, C. (2018). Survey on awareness and attitudes of citizens regarding plastic pollution in Hatay/Samandağ Turkey. </w:t>
      </w:r>
      <w:r w:rsidRPr="001702B1">
        <w:rPr>
          <w:rFonts w:ascii="Times New Roman" w:hAnsi="Times New Roman" w:cs="Times New Roman"/>
          <w:i/>
          <w:iCs/>
          <w:noProof/>
          <w:sz w:val="20"/>
          <w:szCs w:val="18"/>
        </w:rPr>
        <w:t>International Marine &amp; Freshwater Science Symposium (MAFRESH-2018)</w:t>
      </w:r>
      <w:r w:rsidRPr="001702B1">
        <w:rPr>
          <w:rFonts w:ascii="Times New Roman" w:hAnsi="Times New Roman" w:cs="Times New Roman"/>
          <w:noProof/>
          <w:sz w:val="20"/>
          <w:szCs w:val="18"/>
        </w:rPr>
        <w:t>, 134–138. https://www.researchgate.net/publication/328601209</w:t>
      </w:r>
    </w:p>
    <w:p w14:paraId="428FF87D"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1702B1">
        <w:rPr>
          <w:rFonts w:ascii="Times New Roman" w:hAnsi="Times New Roman" w:cs="Times New Roman"/>
          <w:noProof/>
          <w:sz w:val="20"/>
          <w:szCs w:val="18"/>
        </w:rPr>
        <w:t xml:space="preserve">Jakovcevic, A., Steg, L., Mazzeo, N., Caballero, R., Franco, P., Putrino, N., &amp; Favara, J. (2014). Charges for plastic bags: Motivational and behavioral effects. </w:t>
      </w:r>
      <w:r w:rsidRPr="001702B1">
        <w:rPr>
          <w:rFonts w:ascii="Times New Roman" w:hAnsi="Times New Roman" w:cs="Times New Roman"/>
          <w:i/>
          <w:iCs/>
          <w:noProof/>
          <w:sz w:val="20"/>
          <w:szCs w:val="18"/>
        </w:rPr>
        <w:t>Journal of Environmental Psychology</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40</w:t>
      </w:r>
      <w:r w:rsidRPr="001702B1">
        <w:rPr>
          <w:rFonts w:ascii="Times New Roman" w:hAnsi="Times New Roman" w:cs="Times New Roman"/>
          <w:noProof/>
          <w:sz w:val="20"/>
          <w:szCs w:val="18"/>
        </w:rPr>
        <w:t>(2014), 372–380. https://doi.org/10.1016/j.jenvp.2014.09.004</w:t>
      </w:r>
    </w:p>
    <w:p w14:paraId="283C9D11"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1702B1">
        <w:rPr>
          <w:rFonts w:ascii="Times New Roman" w:hAnsi="Times New Roman" w:cs="Times New Roman"/>
          <w:noProof/>
          <w:sz w:val="20"/>
          <w:szCs w:val="18"/>
        </w:rPr>
        <w:t xml:space="preserve">Mentis, C., Maroulis, G., Latinopoulos, D., &amp; Bithas, K. (2022). The effects of environmental information provision on plastic bag use and marine environment status in the context of the environmental levy in Greece. </w:t>
      </w:r>
      <w:r w:rsidRPr="001702B1">
        <w:rPr>
          <w:rFonts w:ascii="Times New Roman" w:hAnsi="Times New Roman" w:cs="Times New Roman"/>
          <w:i/>
          <w:iCs/>
          <w:noProof/>
          <w:sz w:val="20"/>
          <w:szCs w:val="18"/>
        </w:rPr>
        <w:t>Environment, Development and Sustainability</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24</w:t>
      </w:r>
      <w:r w:rsidRPr="001702B1">
        <w:rPr>
          <w:rFonts w:ascii="Times New Roman" w:hAnsi="Times New Roman" w:cs="Times New Roman"/>
          <w:noProof/>
          <w:sz w:val="20"/>
          <w:szCs w:val="18"/>
        </w:rPr>
        <w:t>(5), 1–22. https://doi.org/10.1007/s10668-022-02465-6</w:t>
      </w:r>
    </w:p>
    <w:p w14:paraId="38625DDB"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1702B1">
        <w:rPr>
          <w:rFonts w:ascii="Times New Roman" w:hAnsi="Times New Roman" w:cs="Times New Roman"/>
          <w:noProof/>
          <w:sz w:val="20"/>
          <w:szCs w:val="18"/>
        </w:rPr>
        <w:t xml:space="preserve">Poortinga, W., Whitmarsh, L., &amp; Suffolk, C. (2013). The introduction of a single-use carrier bag charge in Wales: Attitude change and behavioural spillover effects. </w:t>
      </w:r>
      <w:r w:rsidRPr="001702B1">
        <w:rPr>
          <w:rFonts w:ascii="Times New Roman" w:hAnsi="Times New Roman" w:cs="Times New Roman"/>
          <w:i/>
          <w:iCs/>
          <w:noProof/>
          <w:sz w:val="20"/>
          <w:szCs w:val="18"/>
        </w:rPr>
        <w:t>Journal of Environmental Psychology</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36</w:t>
      </w:r>
      <w:r w:rsidRPr="001702B1">
        <w:rPr>
          <w:rFonts w:ascii="Times New Roman" w:hAnsi="Times New Roman" w:cs="Times New Roman"/>
          <w:noProof/>
          <w:sz w:val="20"/>
          <w:szCs w:val="18"/>
        </w:rPr>
        <w:t>(2013), 240–247. https://doi.org/10.1016/j.jenvp.2013.09.001</w:t>
      </w:r>
    </w:p>
    <w:p w14:paraId="30B77BBE"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18"/>
        </w:rPr>
      </w:pPr>
      <w:r w:rsidRPr="001702B1">
        <w:rPr>
          <w:rFonts w:ascii="Times New Roman" w:hAnsi="Times New Roman" w:cs="Times New Roman"/>
          <w:noProof/>
          <w:sz w:val="20"/>
          <w:szCs w:val="18"/>
        </w:rPr>
        <w:t xml:space="preserve">Seo, Y., &amp; Kudo, F. (2022). Charging plastic bags: Perceptions from Japan. </w:t>
      </w:r>
      <w:r w:rsidRPr="001702B1">
        <w:rPr>
          <w:rFonts w:ascii="Times New Roman" w:hAnsi="Times New Roman" w:cs="Times New Roman"/>
          <w:i/>
          <w:iCs/>
          <w:noProof/>
          <w:sz w:val="20"/>
          <w:szCs w:val="18"/>
        </w:rPr>
        <w:t>PLOS Sustainability and Transformation</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1</w:t>
      </w:r>
      <w:r w:rsidRPr="001702B1">
        <w:rPr>
          <w:rFonts w:ascii="Times New Roman" w:hAnsi="Times New Roman" w:cs="Times New Roman"/>
          <w:noProof/>
          <w:sz w:val="20"/>
          <w:szCs w:val="18"/>
        </w:rPr>
        <w:t>(5), e0000011 (1-11). https://doi.org/10.1371/journal.pstr.0000011</w:t>
      </w:r>
    </w:p>
    <w:p w14:paraId="0A12F20E" w14:textId="77777777" w:rsidR="001702B1" w:rsidRPr="001702B1" w:rsidRDefault="001702B1" w:rsidP="001702B1">
      <w:pPr>
        <w:widowControl w:val="0"/>
        <w:autoSpaceDE w:val="0"/>
        <w:autoSpaceDN w:val="0"/>
        <w:adjustRightInd w:val="0"/>
        <w:spacing w:before="240" w:after="0" w:line="240" w:lineRule="auto"/>
        <w:ind w:left="480" w:hanging="480"/>
        <w:jc w:val="both"/>
        <w:rPr>
          <w:rFonts w:ascii="Times New Roman" w:hAnsi="Times New Roman" w:cs="Times New Roman"/>
          <w:noProof/>
          <w:sz w:val="24"/>
        </w:rPr>
      </w:pPr>
      <w:r w:rsidRPr="001702B1">
        <w:rPr>
          <w:rFonts w:ascii="Times New Roman" w:hAnsi="Times New Roman" w:cs="Times New Roman"/>
          <w:noProof/>
          <w:sz w:val="20"/>
          <w:szCs w:val="18"/>
        </w:rPr>
        <w:t xml:space="preserve">Sun, Y., &amp; He, H. (2023). Understanding consumers’ purchase intentions of single-use plastic products. </w:t>
      </w:r>
      <w:r w:rsidRPr="001702B1">
        <w:rPr>
          <w:rFonts w:ascii="Times New Roman" w:hAnsi="Times New Roman" w:cs="Times New Roman"/>
          <w:i/>
          <w:iCs/>
          <w:noProof/>
          <w:sz w:val="20"/>
          <w:szCs w:val="18"/>
        </w:rPr>
        <w:t>Frontiers in Psychology</w:t>
      </w:r>
      <w:r w:rsidRPr="001702B1">
        <w:rPr>
          <w:rFonts w:ascii="Times New Roman" w:hAnsi="Times New Roman" w:cs="Times New Roman"/>
          <w:noProof/>
          <w:sz w:val="20"/>
          <w:szCs w:val="18"/>
        </w:rPr>
        <w:t xml:space="preserve">, </w:t>
      </w:r>
      <w:r w:rsidRPr="001702B1">
        <w:rPr>
          <w:rFonts w:ascii="Times New Roman" w:hAnsi="Times New Roman" w:cs="Times New Roman"/>
          <w:i/>
          <w:iCs/>
          <w:noProof/>
          <w:sz w:val="20"/>
          <w:szCs w:val="18"/>
        </w:rPr>
        <w:t>14</w:t>
      </w:r>
      <w:r w:rsidRPr="001702B1">
        <w:rPr>
          <w:rFonts w:ascii="Times New Roman" w:hAnsi="Times New Roman" w:cs="Times New Roman"/>
          <w:noProof/>
          <w:sz w:val="20"/>
          <w:szCs w:val="18"/>
        </w:rPr>
        <w:t>(1105959), 1–13. https://doi.org/10.3389/fpsyg.2023.1105959</w:t>
      </w:r>
    </w:p>
    <w:p w14:paraId="6F14BABA" w14:textId="17FAE577" w:rsidR="001702B1" w:rsidRPr="001702B1" w:rsidRDefault="001702B1" w:rsidP="001702B1">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1702B1" w:rsidRPr="001702B1" w:rsidSect="001702B1">
      <w:type w:val="continuous"/>
      <w:pgSz w:w="11907" w:h="16839" w:code="9"/>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61521"/>
    <w:multiLevelType w:val="hybridMultilevel"/>
    <w:tmpl w:val="89F86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FE30E8"/>
    <w:multiLevelType w:val="hybridMultilevel"/>
    <w:tmpl w:val="C80C1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EB78FB"/>
    <w:multiLevelType w:val="hybridMultilevel"/>
    <w:tmpl w:val="CF36C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4D4BA7"/>
    <w:multiLevelType w:val="hybridMultilevel"/>
    <w:tmpl w:val="304EB0E0"/>
    <w:lvl w:ilvl="0" w:tplc="837815C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58070E"/>
    <w:multiLevelType w:val="hybridMultilevel"/>
    <w:tmpl w:val="31E21B4A"/>
    <w:lvl w:ilvl="0" w:tplc="E670183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6AB6445"/>
    <w:multiLevelType w:val="hybridMultilevel"/>
    <w:tmpl w:val="14C42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2A2AAA"/>
    <w:multiLevelType w:val="hybridMultilevel"/>
    <w:tmpl w:val="0B38C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ED7016"/>
    <w:multiLevelType w:val="hybridMultilevel"/>
    <w:tmpl w:val="92900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985994"/>
    <w:multiLevelType w:val="hybridMultilevel"/>
    <w:tmpl w:val="8CBEDD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FB3B7C"/>
    <w:multiLevelType w:val="hybridMultilevel"/>
    <w:tmpl w:val="7A302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F67A75"/>
    <w:multiLevelType w:val="hybridMultilevel"/>
    <w:tmpl w:val="5F42E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92F19F6"/>
    <w:multiLevelType w:val="hybridMultilevel"/>
    <w:tmpl w:val="E9F2A53A"/>
    <w:lvl w:ilvl="0" w:tplc="226A7D5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81280"/>
    <w:multiLevelType w:val="hybridMultilevel"/>
    <w:tmpl w:val="C30E7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27D6657"/>
    <w:multiLevelType w:val="hybridMultilevel"/>
    <w:tmpl w:val="B60689F8"/>
    <w:lvl w:ilvl="0" w:tplc="8402A8A0">
      <w:numFmt w:val="bullet"/>
      <w:lvlText w:val=""/>
      <w:lvlJc w:val="left"/>
      <w:pPr>
        <w:ind w:left="720" w:hanging="360"/>
      </w:pPr>
      <w:rPr>
        <w:rFonts w:ascii="Symbol" w:eastAsiaTheme="minorHAnsi" w:hAnsi="Symbol"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5F5D45"/>
    <w:multiLevelType w:val="hybridMultilevel"/>
    <w:tmpl w:val="083C58D6"/>
    <w:lvl w:ilvl="0" w:tplc="52CE25D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19233451">
    <w:abstractNumId w:val="13"/>
  </w:num>
  <w:num w:numId="2" w16cid:durableId="554312467">
    <w:abstractNumId w:val="4"/>
  </w:num>
  <w:num w:numId="3" w16cid:durableId="2016223301">
    <w:abstractNumId w:val="3"/>
  </w:num>
  <w:num w:numId="4" w16cid:durableId="2059619721">
    <w:abstractNumId w:val="14"/>
  </w:num>
  <w:num w:numId="5" w16cid:durableId="642320068">
    <w:abstractNumId w:val="11"/>
  </w:num>
  <w:num w:numId="6" w16cid:durableId="1750468310">
    <w:abstractNumId w:val="10"/>
  </w:num>
  <w:num w:numId="7" w16cid:durableId="1772237846">
    <w:abstractNumId w:val="7"/>
  </w:num>
  <w:num w:numId="8" w16cid:durableId="1969360396">
    <w:abstractNumId w:val="12"/>
  </w:num>
  <w:num w:numId="9" w16cid:durableId="1701320139">
    <w:abstractNumId w:val="9"/>
  </w:num>
  <w:num w:numId="10" w16cid:durableId="1317295705">
    <w:abstractNumId w:val="8"/>
  </w:num>
  <w:num w:numId="11" w16cid:durableId="977497706">
    <w:abstractNumId w:val="2"/>
  </w:num>
  <w:num w:numId="12" w16cid:durableId="1651325589">
    <w:abstractNumId w:val="6"/>
  </w:num>
  <w:num w:numId="13" w16cid:durableId="556160797">
    <w:abstractNumId w:val="1"/>
  </w:num>
  <w:num w:numId="14" w16cid:durableId="1830513921">
    <w:abstractNumId w:val="5"/>
  </w:num>
  <w:num w:numId="15" w16cid:durableId="18228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3E6"/>
    <w:rsid w:val="00001AA6"/>
    <w:rsid w:val="00022F48"/>
    <w:rsid w:val="0002446D"/>
    <w:rsid w:val="000244C6"/>
    <w:rsid w:val="00026A33"/>
    <w:rsid w:val="00042275"/>
    <w:rsid w:val="000663B0"/>
    <w:rsid w:val="00082553"/>
    <w:rsid w:val="0008659E"/>
    <w:rsid w:val="00087856"/>
    <w:rsid w:val="00092BA0"/>
    <w:rsid w:val="00093A63"/>
    <w:rsid w:val="000C46BF"/>
    <w:rsid w:val="000C4A7E"/>
    <w:rsid w:val="000C60F1"/>
    <w:rsid w:val="000D1A72"/>
    <w:rsid w:val="000D3B73"/>
    <w:rsid w:val="000D432C"/>
    <w:rsid w:val="000D6F5C"/>
    <w:rsid w:val="000E6562"/>
    <w:rsid w:val="000F5D12"/>
    <w:rsid w:val="001101A5"/>
    <w:rsid w:val="001143FE"/>
    <w:rsid w:val="001215C8"/>
    <w:rsid w:val="0012645F"/>
    <w:rsid w:val="001328C2"/>
    <w:rsid w:val="00136A15"/>
    <w:rsid w:val="00157ACD"/>
    <w:rsid w:val="0016647E"/>
    <w:rsid w:val="001702B1"/>
    <w:rsid w:val="00173708"/>
    <w:rsid w:val="00173F1A"/>
    <w:rsid w:val="00175E7B"/>
    <w:rsid w:val="00180546"/>
    <w:rsid w:val="00187329"/>
    <w:rsid w:val="001905EF"/>
    <w:rsid w:val="001909AA"/>
    <w:rsid w:val="001A7EA4"/>
    <w:rsid w:val="001C4F0D"/>
    <w:rsid w:val="001D032E"/>
    <w:rsid w:val="001D3E2C"/>
    <w:rsid w:val="001E0F0B"/>
    <w:rsid w:val="001E40C9"/>
    <w:rsid w:val="00201FA6"/>
    <w:rsid w:val="00216CEB"/>
    <w:rsid w:val="0023242A"/>
    <w:rsid w:val="0025741E"/>
    <w:rsid w:val="00265C77"/>
    <w:rsid w:val="0027157B"/>
    <w:rsid w:val="0027532A"/>
    <w:rsid w:val="002910D1"/>
    <w:rsid w:val="00291B02"/>
    <w:rsid w:val="0029501D"/>
    <w:rsid w:val="002A39CF"/>
    <w:rsid w:val="002A4A8C"/>
    <w:rsid w:val="002A4CDD"/>
    <w:rsid w:val="002B106D"/>
    <w:rsid w:val="002B3F0A"/>
    <w:rsid w:val="002B44B0"/>
    <w:rsid w:val="002C08E5"/>
    <w:rsid w:val="002C491B"/>
    <w:rsid w:val="002C4AA7"/>
    <w:rsid w:val="002D1227"/>
    <w:rsid w:val="002E79CC"/>
    <w:rsid w:val="002F7B8C"/>
    <w:rsid w:val="003118FC"/>
    <w:rsid w:val="003557F9"/>
    <w:rsid w:val="003779DC"/>
    <w:rsid w:val="003815FE"/>
    <w:rsid w:val="003878C3"/>
    <w:rsid w:val="0039022C"/>
    <w:rsid w:val="00396B71"/>
    <w:rsid w:val="003B70A5"/>
    <w:rsid w:val="003C6776"/>
    <w:rsid w:val="003C7F0B"/>
    <w:rsid w:val="003D3653"/>
    <w:rsid w:val="003E3011"/>
    <w:rsid w:val="003E5DE2"/>
    <w:rsid w:val="003E6595"/>
    <w:rsid w:val="003E6877"/>
    <w:rsid w:val="003F5F55"/>
    <w:rsid w:val="004056EB"/>
    <w:rsid w:val="00432BD4"/>
    <w:rsid w:val="00432D2F"/>
    <w:rsid w:val="00432EEA"/>
    <w:rsid w:val="0045140C"/>
    <w:rsid w:val="004632DF"/>
    <w:rsid w:val="004649F6"/>
    <w:rsid w:val="004670C0"/>
    <w:rsid w:val="00470915"/>
    <w:rsid w:val="004718FA"/>
    <w:rsid w:val="004828B9"/>
    <w:rsid w:val="00483892"/>
    <w:rsid w:val="00485171"/>
    <w:rsid w:val="004859D4"/>
    <w:rsid w:val="00493199"/>
    <w:rsid w:val="004A1383"/>
    <w:rsid w:val="004A3834"/>
    <w:rsid w:val="004E558A"/>
    <w:rsid w:val="004F15AF"/>
    <w:rsid w:val="00501A13"/>
    <w:rsid w:val="00515DA4"/>
    <w:rsid w:val="00524710"/>
    <w:rsid w:val="00527C7D"/>
    <w:rsid w:val="00543FF3"/>
    <w:rsid w:val="005506D4"/>
    <w:rsid w:val="00562468"/>
    <w:rsid w:val="005743E6"/>
    <w:rsid w:val="005A66AC"/>
    <w:rsid w:val="005A795E"/>
    <w:rsid w:val="005B25C3"/>
    <w:rsid w:val="005C0331"/>
    <w:rsid w:val="005C308A"/>
    <w:rsid w:val="005C4F72"/>
    <w:rsid w:val="005D17E4"/>
    <w:rsid w:val="005D232E"/>
    <w:rsid w:val="005E6DC6"/>
    <w:rsid w:val="005F0FA4"/>
    <w:rsid w:val="00606781"/>
    <w:rsid w:val="00610095"/>
    <w:rsid w:val="00623ACC"/>
    <w:rsid w:val="0062795A"/>
    <w:rsid w:val="00630427"/>
    <w:rsid w:val="00637CA7"/>
    <w:rsid w:val="00661A0F"/>
    <w:rsid w:val="00667521"/>
    <w:rsid w:val="00671498"/>
    <w:rsid w:val="00694E34"/>
    <w:rsid w:val="006978F0"/>
    <w:rsid w:val="006A3C6A"/>
    <w:rsid w:val="006C3A3B"/>
    <w:rsid w:val="006C3CEC"/>
    <w:rsid w:val="006C4A00"/>
    <w:rsid w:val="006D1A0B"/>
    <w:rsid w:val="006D4633"/>
    <w:rsid w:val="006D5C7D"/>
    <w:rsid w:val="006D5D8F"/>
    <w:rsid w:val="006F3BBC"/>
    <w:rsid w:val="00701595"/>
    <w:rsid w:val="00726235"/>
    <w:rsid w:val="00731418"/>
    <w:rsid w:val="00747499"/>
    <w:rsid w:val="00747F15"/>
    <w:rsid w:val="00751597"/>
    <w:rsid w:val="00751DD0"/>
    <w:rsid w:val="0076798A"/>
    <w:rsid w:val="0077245E"/>
    <w:rsid w:val="00774E26"/>
    <w:rsid w:val="00784DC4"/>
    <w:rsid w:val="00797179"/>
    <w:rsid w:val="007A352F"/>
    <w:rsid w:val="007A588D"/>
    <w:rsid w:val="007B6EDB"/>
    <w:rsid w:val="007B793C"/>
    <w:rsid w:val="007C29F5"/>
    <w:rsid w:val="007C74EE"/>
    <w:rsid w:val="007D10BE"/>
    <w:rsid w:val="007D7FC8"/>
    <w:rsid w:val="007E44C3"/>
    <w:rsid w:val="007F053E"/>
    <w:rsid w:val="007F4A80"/>
    <w:rsid w:val="008105FE"/>
    <w:rsid w:val="0082099F"/>
    <w:rsid w:val="00841C12"/>
    <w:rsid w:val="00855F21"/>
    <w:rsid w:val="008A1BE9"/>
    <w:rsid w:val="008B18DE"/>
    <w:rsid w:val="008B6F3C"/>
    <w:rsid w:val="008C417E"/>
    <w:rsid w:val="008D02E6"/>
    <w:rsid w:val="008D1030"/>
    <w:rsid w:val="008D317F"/>
    <w:rsid w:val="008D48F5"/>
    <w:rsid w:val="008E3D33"/>
    <w:rsid w:val="008E447B"/>
    <w:rsid w:val="0092101E"/>
    <w:rsid w:val="0092733B"/>
    <w:rsid w:val="00942054"/>
    <w:rsid w:val="00974BEC"/>
    <w:rsid w:val="009A1D30"/>
    <w:rsid w:val="009C0414"/>
    <w:rsid w:val="009D3FDC"/>
    <w:rsid w:val="009E4B31"/>
    <w:rsid w:val="009E591D"/>
    <w:rsid w:val="009E7B72"/>
    <w:rsid w:val="009F1EFD"/>
    <w:rsid w:val="009F5AA8"/>
    <w:rsid w:val="00A009B4"/>
    <w:rsid w:val="00A01992"/>
    <w:rsid w:val="00A11C5C"/>
    <w:rsid w:val="00A21632"/>
    <w:rsid w:val="00A230A1"/>
    <w:rsid w:val="00A31C4F"/>
    <w:rsid w:val="00A31C61"/>
    <w:rsid w:val="00A35E32"/>
    <w:rsid w:val="00A4671A"/>
    <w:rsid w:val="00A548BA"/>
    <w:rsid w:val="00A5604C"/>
    <w:rsid w:val="00A5747F"/>
    <w:rsid w:val="00A64B5C"/>
    <w:rsid w:val="00A76F3F"/>
    <w:rsid w:val="00A95155"/>
    <w:rsid w:val="00AA3441"/>
    <w:rsid w:val="00AC2245"/>
    <w:rsid w:val="00AC2427"/>
    <w:rsid w:val="00AF090A"/>
    <w:rsid w:val="00AF26FE"/>
    <w:rsid w:val="00AF623E"/>
    <w:rsid w:val="00B047DE"/>
    <w:rsid w:val="00B06883"/>
    <w:rsid w:val="00B124F4"/>
    <w:rsid w:val="00B2451C"/>
    <w:rsid w:val="00B2779C"/>
    <w:rsid w:val="00B31071"/>
    <w:rsid w:val="00B3196C"/>
    <w:rsid w:val="00B4641F"/>
    <w:rsid w:val="00B60D95"/>
    <w:rsid w:val="00B64F2D"/>
    <w:rsid w:val="00B81E95"/>
    <w:rsid w:val="00B95889"/>
    <w:rsid w:val="00B95C73"/>
    <w:rsid w:val="00BB757B"/>
    <w:rsid w:val="00BF3A8D"/>
    <w:rsid w:val="00BF567E"/>
    <w:rsid w:val="00BF5C6D"/>
    <w:rsid w:val="00C14508"/>
    <w:rsid w:val="00C2582F"/>
    <w:rsid w:val="00C31832"/>
    <w:rsid w:val="00C40347"/>
    <w:rsid w:val="00C43DBD"/>
    <w:rsid w:val="00C52888"/>
    <w:rsid w:val="00C53F8C"/>
    <w:rsid w:val="00C72FCE"/>
    <w:rsid w:val="00C876DB"/>
    <w:rsid w:val="00C90CC8"/>
    <w:rsid w:val="00C91D0C"/>
    <w:rsid w:val="00C94A3E"/>
    <w:rsid w:val="00C94AE3"/>
    <w:rsid w:val="00CA67E1"/>
    <w:rsid w:val="00CB5649"/>
    <w:rsid w:val="00CD41B2"/>
    <w:rsid w:val="00CD4278"/>
    <w:rsid w:val="00CE0A50"/>
    <w:rsid w:val="00CE2D2B"/>
    <w:rsid w:val="00CE4FB9"/>
    <w:rsid w:val="00D03331"/>
    <w:rsid w:val="00D06E67"/>
    <w:rsid w:val="00D1796F"/>
    <w:rsid w:val="00D331A4"/>
    <w:rsid w:val="00D4677B"/>
    <w:rsid w:val="00D50DDC"/>
    <w:rsid w:val="00D57AA7"/>
    <w:rsid w:val="00D67449"/>
    <w:rsid w:val="00D73817"/>
    <w:rsid w:val="00D747D2"/>
    <w:rsid w:val="00DA0FDE"/>
    <w:rsid w:val="00DA1487"/>
    <w:rsid w:val="00DB09CD"/>
    <w:rsid w:val="00DB690B"/>
    <w:rsid w:val="00DF0819"/>
    <w:rsid w:val="00E01DC8"/>
    <w:rsid w:val="00E03CB7"/>
    <w:rsid w:val="00E05E35"/>
    <w:rsid w:val="00E07F55"/>
    <w:rsid w:val="00E20A0F"/>
    <w:rsid w:val="00E211B8"/>
    <w:rsid w:val="00E21AE7"/>
    <w:rsid w:val="00E24791"/>
    <w:rsid w:val="00E3776D"/>
    <w:rsid w:val="00E52F1B"/>
    <w:rsid w:val="00E53133"/>
    <w:rsid w:val="00E5477C"/>
    <w:rsid w:val="00E708F6"/>
    <w:rsid w:val="00E75DD9"/>
    <w:rsid w:val="00E76F80"/>
    <w:rsid w:val="00EC7E70"/>
    <w:rsid w:val="00ED0D65"/>
    <w:rsid w:val="00ED1070"/>
    <w:rsid w:val="00ED22AA"/>
    <w:rsid w:val="00ED64E8"/>
    <w:rsid w:val="00ED6880"/>
    <w:rsid w:val="00EF083A"/>
    <w:rsid w:val="00EF25E9"/>
    <w:rsid w:val="00EF6EAD"/>
    <w:rsid w:val="00F00267"/>
    <w:rsid w:val="00F04929"/>
    <w:rsid w:val="00F04BB9"/>
    <w:rsid w:val="00F0712D"/>
    <w:rsid w:val="00F07190"/>
    <w:rsid w:val="00F105B8"/>
    <w:rsid w:val="00F112A1"/>
    <w:rsid w:val="00F23A0C"/>
    <w:rsid w:val="00F306F5"/>
    <w:rsid w:val="00F4523A"/>
    <w:rsid w:val="00F57103"/>
    <w:rsid w:val="00F76A9C"/>
    <w:rsid w:val="00F86E09"/>
    <w:rsid w:val="00F934D0"/>
    <w:rsid w:val="00FA3D56"/>
    <w:rsid w:val="00FA6EE8"/>
    <w:rsid w:val="00FB2253"/>
    <w:rsid w:val="00FB5C6D"/>
    <w:rsid w:val="00FC5578"/>
    <w:rsid w:val="00FE1B3A"/>
    <w:rsid w:val="00FE1D6A"/>
    <w:rsid w:val="00FE3F06"/>
    <w:rsid w:val="00FE5F9C"/>
    <w:rsid w:val="00FE7E9F"/>
    <w:rsid w:val="00FF0E97"/>
    <w:rsid w:val="00FF2278"/>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9B08D"/>
  <w15:chartTrackingRefBased/>
  <w15:docId w15:val="{316FA521-63B7-4C55-A0E4-C340C96E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A0C"/>
    <w:pPr>
      <w:spacing w:line="256" w:lineRule="auto"/>
    </w:pPr>
  </w:style>
  <w:style w:type="paragraph" w:styleId="Heading1">
    <w:name w:val="heading 1"/>
    <w:basedOn w:val="Normal"/>
    <w:link w:val="Heading1Char"/>
    <w:uiPriority w:val="9"/>
    <w:qFormat/>
    <w:rsid w:val="009D3F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0C0"/>
    <w:rPr>
      <w:color w:val="0563C1" w:themeColor="hyperlink"/>
      <w:u w:val="single"/>
    </w:rPr>
  </w:style>
  <w:style w:type="paragraph" w:styleId="ListParagraph">
    <w:name w:val="List Paragraph"/>
    <w:basedOn w:val="Normal"/>
    <w:uiPriority w:val="34"/>
    <w:qFormat/>
    <w:rsid w:val="00B81E95"/>
    <w:pPr>
      <w:ind w:left="720"/>
      <w:contextualSpacing/>
    </w:pPr>
  </w:style>
  <w:style w:type="table" w:styleId="PlainTable2">
    <w:name w:val="Plain Table 2"/>
    <w:basedOn w:val="TableNormal"/>
    <w:uiPriority w:val="42"/>
    <w:rsid w:val="00B277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FE1D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E53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133"/>
    <w:rPr>
      <w:rFonts w:ascii="Segoe UI" w:hAnsi="Segoe UI" w:cs="Segoe UI"/>
      <w:sz w:val="18"/>
      <w:szCs w:val="18"/>
    </w:rPr>
  </w:style>
  <w:style w:type="table" w:customStyle="1" w:styleId="LightShading1">
    <w:name w:val="Light Shading1"/>
    <w:basedOn w:val="TableNormal"/>
    <w:uiPriority w:val="60"/>
    <w:rsid w:val="00C94A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4056EB"/>
  </w:style>
  <w:style w:type="character" w:customStyle="1" w:styleId="Heading1Char">
    <w:name w:val="Heading 1 Char"/>
    <w:basedOn w:val="DefaultParagraphFont"/>
    <w:link w:val="Heading1"/>
    <w:uiPriority w:val="9"/>
    <w:rsid w:val="009D3FDC"/>
    <w:rPr>
      <w:rFonts w:ascii="Times New Roman" w:eastAsia="Times New Roman" w:hAnsi="Times New Roman" w:cs="Times New Roman"/>
      <w:b/>
      <w:bCs/>
      <w:kern w:val="36"/>
      <w:sz w:val="48"/>
      <w:szCs w:val="48"/>
    </w:rPr>
  </w:style>
  <w:style w:type="paragraph" w:customStyle="1" w:styleId="Reference">
    <w:name w:val="Reference"/>
    <w:basedOn w:val="Normal"/>
    <w:link w:val="ReferenceChar"/>
    <w:qFormat/>
    <w:rsid w:val="00B60D95"/>
    <w:pPr>
      <w:widowControl w:val="0"/>
      <w:autoSpaceDE w:val="0"/>
      <w:autoSpaceDN w:val="0"/>
      <w:adjustRightInd w:val="0"/>
      <w:spacing w:before="240" w:after="0" w:line="240" w:lineRule="auto"/>
      <w:ind w:left="480" w:hanging="480"/>
      <w:jc w:val="both"/>
    </w:pPr>
    <w:rPr>
      <w:rFonts w:ascii="Times New Roman" w:hAnsi="Times New Roman" w:cs="Times New Roman"/>
      <w:color w:val="000000" w:themeColor="text1"/>
      <w:sz w:val="24"/>
      <w:szCs w:val="20"/>
    </w:rPr>
  </w:style>
  <w:style w:type="character" w:customStyle="1" w:styleId="ReferenceChar">
    <w:name w:val="Reference Char"/>
    <w:basedOn w:val="DefaultParagraphFont"/>
    <w:link w:val="Reference"/>
    <w:rsid w:val="00B60D95"/>
    <w:rPr>
      <w:rFonts w:ascii="Times New Roman" w:hAnsi="Times New Roman" w:cs="Times New Roman"/>
      <w:color w:val="000000" w:themeColor="tex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73576">
      <w:bodyDiv w:val="1"/>
      <w:marLeft w:val="0"/>
      <w:marRight w:val="0"/>
      <w:marTop w:val="0"/>
      <w:marBottom w:val="0"/>
      <w:divBdr>
        <w:top w:val="none" w:sz="0" w:space="0" w:color="auto"/>
        <w:left w:val="none" w:sz="0" w:space="0" w:color="auto"/>
        <w:bottom w:val="none" w:sz="0" w:space="0" w:color="auto"/>
        <w:right w:val="none" w:sz="0" w:space="0" w:color="auto"/>
      </w:divBdr>
    </w:div>
    <w:div w:id="444203346">
      <w:bodyDiv w:val="1"/>
      <w:marLeft w:val="0"/>
      <w:marRight w:val="0"/>
      <w:marTop w:val="0"/>
      <w:marBottom w:val="0"/>
      <w:divBdr>
        <w:top w:val="none" w:sz="0" w:space="0" w:color="auto"/>
        <w:left w:val="none" w:sz="0" w:space="0" w:color="auto"/>
        <w:bottom w:val="none" w:sz="0" w:space="0" w:color="auto"/>
        <w:right w:val="none" w:sz="0" w:space="0" w:color="auto"/>
      </w:divBdr>
    </w:div>
    <w:div w:id="646931461">
      <w:bodyDiv w:val="1"/>
      <w:marLeft w:val="0"/>
      <w:marRight w:val="0"/>
      <w:marTop w:val="0"/>
      <w:marBottom w:val="0"/>
      <w:divBdr>
        <w:top w:val="none" w:sz="0" w:space="0" w:color="auto"/>
        <w:left w:val="none" w:sz="0" w:space="0" w:color="auto"/>
        <w:bottom w:val="none" w:sz="0" w:space="0" w:color="auto"/>
        <w:right w:val="none" w:sz="0" w:space="0" w:color="auto"/>
      </w:divBdr>
    </w:div>
    <w:div w:id="694189083">
      <w:bodyDiv w:val="1"/>
      <w:marLeft w:val="0"/>
      <w:marRight w:val="0"/>
      <w:marTop w:val="0"/>
      <w:marBottom w:val="0"/>
      <w:divBdr>
        <w:top w:val="none" w:sz="0" w:space="0" w:color="auto"/>
        <w:left w:val="none" w:sz="0" w:space="0" w:color="auto"/>
        <w:bottom w:val="none" w:sz="0" w:space="0" w:color="auto"/>
        <w:right w:val="none" w:sz="0" w:space="0" w:color="auto"/>
      </w:divBdr>
    </w:div>
    <w:div w:id="983390155">
      <w:bodyDiv w:val="1"/>
      <w:marLeft w:val="0"/>
      <w:marRight w:val="0"/>
      <w:marTop w:val="0"/>
      <w:marBottom w:val="0"/>
      <w:divBdr>
        <w:top w:val="none" w:sz="0" w:space="0" w:color="auto"/>
        <w:left w:val="none" w:sz="0" w:space="0" w:color="auto"/>
        <w:bottom w:val="none" w:sz="0" w:space="0" w:color="auto"/>
        <w:right w:val="none" w:sz="0" w:space="0" w:color="auto"/>
      </w:divBdr>
    </w:div>
    <w:div w:id="1462729324">
      <w:bodyDiv w:val="1"/>
      <w:marLeft w:val="0"/>
      <w:marRight w:val="0"/>
      <w:marTop w:val="0"/>
      <w:marBottom w:val="0"/>
      <w:divBdr>
        <w:top w:val="none" w:sz="0" w:space="0" w:color="auto"/>
        <w:left w:val="none" w:sz="0" w:space="0" w:color="auto"/>
        <w:bottom w:val="none" w:sz="0" w:space="0" w:color="auto"/>
        <w:right w:val="none" w:sz="0" w:space="0" w:color="auto"/>
      </w:divBdr>
    </w:div>
    <w:div w:id="1598098421">
      <w:bodyDiv w:val="1"/>
      <w:marLeft w:val="0"/>
      <w:marRight w:val="0"/>
      <w:marTop w:val="0"/>
      <w:marBottom w:val="0"/>
      <w:divBdr>
        <w:top w:val="none" w:sz="0" w:space="0" w:color="auto"/>
        <w:left w:val="none" w:sz="0" w:space="0" w:color="auto"/>
        <w:bottom w:val="none" w:sz="0" w:space="0" w:color="auto"/>
        <w:right w:val="none" w:sz="0" w:space="0" w:color="auto"/>
      </w:divBdr>
    </w:div>
    <w:div w:id="1744134516">
      <w:bodyDiv w:val="1"/>
      <w:marLeft w:val="0"/>
      <w:marRight w:val="0"/>
      <w:marTop w:val="0"/>
      <w:marBottom w:val="0"/>
      <w:divBdr>
        <w:top w:val="none" w:sz="0" w:space="0" w:color="auto"/>
        <w:left w:val="none" w:sz="0" w:space="0" w:color="auto"/>
        <w:bottom w:val="none" w:sz="0" w:space="0" w:color="auto"/>
        <w:right w:val="none" w:sz="0" w:space="0" w:color="auto"/>
      </w:divBdr>
    </w:div>
    <w:div w:id="1812405089">
      <w:bodyDiv w:val="1"/>
      <w:marLeft w:val="0"/>
      <w:marRight w:val="0"/>
      <w:marTop w:val="0"/>
      <w:marBottom w:val="0"/>
      <w:divBdr>
        <w:top w:val="none" w:sz="0" w:space="0" w:color="auto"/>
        <w:left w:val="none" w:sz="0" w:space="0" w:color="auto"/>
        <w:bottom w:val="none" w:sz="0" w:space="0" w:color="auto"/>
        <w:right w:val="none" w:sz="0" w:space="0" w:color="auto"/>
      </w:divBdr>
    </w:div>
    <w:div w:id="204925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FBA97E7-A6E4-4952-BDE1-0F762C5AA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3844</TotalTime>
  <Pages>1</Pages>
  <Words>5147</Words>
  <Characters>29343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MASUM　Md Mehedi Hassan</cp:lastModifiedBy>
  <cp:revision>248</cp:revision>
  <cp:lastPrinted>2023-08-26T14:36:00Z</cp:lastPrinted>
  <dcterms:created xsi:type="dcterms:W3CDTF">2023-07-08T03:58:00Z</dcterms:created>
  <dcterms:modified xsi:type="dcterms:W3CDTF">2024-11-25T06:09:00Z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id="kD8T1LuA"/&gt;&lt;style id="" hasBibliography="0" bibliographyStyleHasBeenSet="0"/&gt;&lt;prefs/&gt;&lt;/data&gt;</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44fd1d42-784c-3e67-a534-b90834d9cf08</vt:lpwstr>
  </property>
  <property fmtid="{D5CDD505-2E9C-101B-9397-08002B2CF9AE}" pid="25" name="Mendeley Citation Style_1">
    <vt:lpwstr>http://www.zotero.org/styles/apa</vt:lpwstr>
  </property>
</Properties>
</file>