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DFC503" w14:textId="0F4D6E6E" w:rsidR="004673E6" w:rsidRPr="00D160D7" w:rsidRDefault="00D160D7">
      <w:pPr>
        <w:rPr>
          <w:rFonts w:ascii="Arial" w:hAnsi="Arial" w:cs="Arial"/>
          <w:b/>
          <w:bCs/>
          <w:sz w:val="20"/>
          <w:szCs w:val="20"/>
        </w:rPr>
      </w:pPr>
      <w:r w:rsidRPr="00D160D7">
        <w:rPr>
          <w:rFonts w:ascii="Arial" w:hAnsi="Arial" w:cs="Arial"/>
          <w:b/>
          <w:bCs/>
          <w:sz w:val="20"/>
          <w:szCs w:val="20"/>
        </w:rPr>
        <w:t>e-Appendix</w:t>
      </w:r>
    </w:p>
    <w:p w14:paraId="2892333A" w14:textId="2BC6F47B" w:rsidR="00D160D7" w:rsidRPr="00D160D7" w:rsidRDefault="00D160D7">
      <w:pPr>
        <w:rPr>
          <w:rFonts w:ascii="Arial" w:hAnsi="Arial" w:cs="Arial"/>
          <w:sz w:val="20"/>
          <w:szCs w:val="20"/>
        </w:rPr>
      </w:pPr>
    </w:p>
    <w:p w14:paraId="62BF1971" w14:textId="77777777" w:rsidR="00D160D7" w:rsidRPr="00D160D7" w:rsidRDefault="00D160D7" w:rsidP="00D160D7">
      <w:pPr>
        <w:jc w:val="both"/>
        <w:rPr>
          <w:rFonts w:ascii="Arial" w:hAnsi="Arial" w:cs="Arial"/>
          <w:b/>
          <w:bCs/>
          <w:sz w:val="20"/>
          <w:szCs w:val="20"/>
          <w:lang w:val="en-US"/>
        </w:rPr>
      </w:pPr>
      <w:r w:rsidRPr="00D160D7">
        <w:rPr>
          <w:rFonts w:ascii="Arial" w:hAnsi="Arial" w:cs="Arial"/>
          <w:b/>
          <w:bCs/>
          <w:sz w:val="20"/>
          <w:szCs w:val="20"/>
          <w:lang w:val="en-US"/>
        </w:rPr>
        <w:t>Search strategy</w:t>
      </w:r>
    </w:p>
    <w:p w14:paraId="583FFAA9" w14:textId="7777777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(("thrombosis"[</w:t>
      </w:r>
      <w:proofErr w:type="spellStart"/>
      <w:r w:rsidRPr="00D160D7">
        <w:rPr>
          <w:rFonts w:ascii="Arial" w:hAnsi="Arial" w:cs="Arial"/>
          <w:sz w:val="20"/>
          <w:szCs w:val="20"/>
          <w:lang w:val="en-US"/>
        </w:rPr>
        <w:t>MeSH</w:t>
      </w:r>
      <w:proofErr w:type="spellEnd"/>
      <w:r w:rsidRPr="00D160D7">
        <w:rPr>
          <w:rFonts w:ascii="Arial" w:hAnsi="Arial" w:cs="Arial"/>
          <w:sz w:val="20"/>
          <w:szCs w:val="20"/>
          <w:lang w:val="en-US"/>
        </w:rPr>
        <w:t xml:space="preserve"> Terms] OR "thrombosis"[All Fields]) OR ("venous thromboembolism"[</w:t>
      </w:r>
      <w:proofErr w:type="spellStart"/>
      <w:r w:rsidRPr="00D160D7">
        <w:rPr>
          <w:rFonts w:ascii="Arial" w:hAnsi="Arial" w:cs="Arial"/>
          <w:sz w:val="20"/>
          <w:szCs w:val="20"/>
          <w:lang w:val="en-US"/>
        </w:rPr>
        <w:t>MeSH</w:t>
      </w:r>
      <w:proofErr w:type="spellEnd"/>
      <w:r w:rsidRPr="00D160D7">
        <w:rPr>
          <w:rFonts w:ascii="Arial" w:hAnsi="Arial" w:cs="Arial"/>
          <w:sz w:val="20"/>
          <w:szCs w:val="20"/>
          <w:lang w:val="en-US"/>
        </w:rPr>
        <w:t xml:space="preserve"> Terms] OR ("venous"[All Fields] AND "thromboembolism"[All Fields]) OR "venous thromboembolism"[All Fields]) OR ("pulmonary embolism"[</w:t>
      </w:r>
      <w:proofErr w:type="spellStart"/>
      <w:r w:rsidRPr="00D160D7">
        <w:rPr>
          <w:rFonts w:ascii="Arial" w:hAnsi="Arial" w:cs="Arial"/>
          <w:sz w:val="20"/>
          <w:szCs w:val="20"/>
          <w:lang w:val="en-US"/>
        </w:rPr>
        <w:t>MeSH</w:t>
      </w:r>
      <w:proofErr w:type="spellEnd"/>
      <w:r w:rsidRPr="00D160D7">
        <w:rPr>
          <w:rFonts w:ascii="Arial" w:hAnsi="Arial" w:cs="Arial"/>
          <w:sz w:val="20"/>
          <w:szCs w:val="20"/>
          <w:lang w:val="en-US"/>
        </w:rPr>
        <w:t xml:space="preserve"> Terms] OR ("pulmonary"[All Fields] AND "embolism"[All Fields]) OR "pulmonary embolism"[All Fields]) OR ("venous thrombosis"[</w:t>
      </w:r>
      <w:proofErr w:type="spellStart"/>
      <w:r w:rsidRPr="00D160D7">
        <w:rPr>
          <w:rFonts w:ascii="Arial" w:hAnsi="Arial" w:cs="Arial"/>
          <w:sz w:val="20"/>
          <w:szCs w:val="20"/>
          <w:lang w:val="en-US"/>
        </w:rPr>
        <w:t>MeSH</w:t>
      </w:r>
      <w:proofErr w:type="spellEnd"/>
      <w:r w:rsidRPr="00D160D7">
        <w:rPr>
          <w:rFonts w:ascii="Arial" w:hAnsi="Arial" w:cs="Arial"/>
          <w:sz w:val="20"/>
          <w:szCs w:val="20"/>
          <w:lang w:val="en-US"/>
        </w:rPr>
        <w:t xml:space="preserve"> Terms] OR ("venous"[All Fields] AND "thrombosis"[All Fields]) OR "venous thrombosis"[All Fields] OR ("deep"[All Fields] AND "vein"[All Fields] AND "thrombosis"[All Fields]) OR "deep vein thrombosis"[All Fields]) OR ("disseminated intravascular coagulation"[</w:t>
      </w:r>
      <w:proofErr w:type="spellStart"/>
      <w:r w:rsidRPr="00D160D7">
        <w:rPr>
          <w:rFonts w:ascii="Arial" w:hAnsi="Arial" w:cs="Arial"/>
          <w:sz w:val="20"/>
          <w:szCs w:val="20"/>
          <w:lang w:val="en-US"/>
        </w:rPr>
        <w:t>MeSH</w:t>
      </w:r>
      <w:proofErr w:type="spellEnd"/>
      <w:r w:rsidRPr="00D160D7">
        <w:rPr>
          <w:rFonts w:ascii="Arial" w:hAnsi="Arial" w:cs="Arial"/>
          <w:sz w:val="20"/>
          <w:szCs w:val="20"/>
          <w:lang w:val="en-US"/>
        </w:rPr>
        <w:t xml:space="preserve"> Terms] OR ("disseminated"[All Fields] AND "intravascular"[All Fields] AND "coagulation"[All Fields]) OR "disseminated intravascular coagulation"[All Fields] OR ("intravascular"[All Fields] AND "disseminated"[All Fields] AND "coagulation"[All Fields]) OR "intravascular disseminated coagulation"[All Fields]) OR thrombolysis[All Fields] OR anticoagulation[All Fields] OR heparin[All Fields] OR enoxaparin[All Fields] OR cor pulmonale[All Fields]) AND (COVID[All Fields] OR ("severe acute respiratory syndrome coronavirus 2"[Supplementary Concept] OR "severe acute respiratory syndrome coronavirus 2"[All Fields] OR "</w:t>
      </w:r>
      <w:proofErr w:type="spellStart"/>
      <w:r w:rsidRPr="00D160D7">
        <w:rPr>
          <w:rFonts w:ascii="Arial" w:hAnsi="Arial" w:cs="Arial"/>
          <w:sz w:val="20"/>
          <w:szCs w:val="20"/>
          <w:lang w:val="en-US"/>
        </w:rPr>
        <w:t>sars</w:t>
      </w:r>
      <w:proofErr w:type="spellEnd"/>
      <w:r w:rsidRPr="00D160D7">
        <w:rPr>
          <w:rFonts w:ascii="Arial" w:hAnsi="Arial" w:cs="Arial"/>
          <w:sz w:val="20"/>
          <w:szCs w:val="20"/>
          <w:lang w:val="en-US"/>
        </w:rPr>
        <w:t xml:space="preserve"> </w:t>
      </w:r>
      <w:proofErr w:type="spellStart"/>
      <w:r w:rsidRPr="00D160D7">
        <w:rPr>
          <w:rFonts w:ascii="Arial" w:hAnsi="Arial" w:cs="Arial"/>
          <w:sz w:val="20"/>
          <w:szCs w:val="20"/>
          <w:lang w:val="en-US"/>
        </w:rPr>
        <w:t>cov</w:t>
      </w:r>
      <w:proofErr w:type="spellEnd"/>
      <w:r w:rsidRPr="00D160D7">
        <w:rPr>
          <w:rFonts w:ascii="Arial" w:hAnsi="Arial" w:cs="Arial"/>
          <w:sz w:val="20"/>
          <w:szCs w:val="20"/>
          <w:lang w:val="en-US"/>
        </w:rPr>
        <w:t xml:space="preserve"> 2"[All Fields]))</w:t>
      </w:r>
    </w:p>
    <w:p w14:paraId="0A9DCC9B" w14:textId="298013D7" w:rsidR="00D160D7" w:rsidRPr="00D160D7" w:rsidRDefault="00D160D7">
      <w:pPr>
        <w:rPr>
          <w:rFonts w:ascii="Arial" w:hAnsi="Arial" w:cs="Arial"/>
          <w:sz w:val="20"/>
          <w:szCs w:val="20"/>
          <w:lang w:val="en-US"/>
        </w:rPr>
      </w:pPr>
    </w:p>
    <w:p w14:paraId="22F49B21" w14:textId="77777777" w:rsidR="00D160D7" w:rsidRPr="00D160D7" w:rsidRDefault="00D160D7" w:rsidP="00D160D7">
      <w:pPr>
        <w:jc w:val="both"/>
        <w:rPr>
          <w:rFonts w:ascii="Arial" w:hAnsi="Arial" w:cs="Arial"/>
          <w:b/>
          <w:bCs/>
          <w:sz w:val="20"/>
          <w:szCs w:val="20"/>
          <w:lang w:val="en-US"/>
        </w:rPr>
      </w:pPr>
      <w:r w:rsidRPr="00D160D7">
        <w:rPr>
          <w:rFonts w:ascii="Arial" w:hAnsi="Arial" w:cs="Arial"/>
          <w:b/>
          <w:bCs/>
          <w:sz w:val="20"/>
          <w:szCs w:val="20"/>
          <w:lang w:val="en-US"/>
        </w:rPr>
        <w:t>Definitions</w:t>
      </w:r>
    </w:p>
    <w:p w14:paraId="1CF0083F" w14:textId="7777777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SARS-CoV-2: severe acute respiratory syndrome coronavirus 2</w:t>
      </w:r>
    </w:p>
    <w:p w14:paraId="3F7928C3" w14:textId="7777777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COVID-19: coronavirus disease 2019</w:t>
      </w:r>
    </w:p>
    <w:p w14:paraId="261D8C72" w14:textId="7893C969"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Venous thromboembolism: encompasses deep vein thrombosis and its most dangerous complication, acute pulmonary embolism, and is globally the third most frequent acute cardiovascular syndrome</w:t>
      </w:r>
      <w:r w:rsidRPr="00D160D7">
        <w:rPr>
          <w:rFonts w:ascii="Arial" w:hAnsi="Arial" w:cs="Arial"/>
          <w:sz w:val="20"/>
          <w:szCs w:val="20"/>
          <w:lang w:val="en-US"/>
        </w:rPr>
        <w:fldChar w:fldCharType="begin"/>
      </w:r>
      <w:r>
        <w:rPr>
          <w:rFonts w:ascii="Arial" w:hAnsi="Arial" w:cs="Arial"/>
          <w:sz w:val="20"/>
          <w:szCs w:val="20"/>
          <w:lang w:val="en-US"/>
        </w:rPr>
        <w:instrText xml:space="preserve"> ADDIN ZOTERO_ITEM CSL_CITATION {"citationID":"bb6fUc1w","properties":{"formattedCitation":"[1]","plainCitation":"[1]","noteIndex":0},"citationItems":[{"id":194,"uris":["http://zotero.org/groups/2362541/items/R5FDJIG6"],"uri":["http://zotero.org/groups/2362541/items/R5FDJIG6"],"itemData":{"id":194,"type":"article-journal","container-title":"European Heart Journal","DOI":"10.1093/eurheartj/ehz405","ISSN":"0195-668X, 1522-9645","language":"en","page":"ehz405","source":"DOI.org (Crossref)","title":"2019 ESC Guidelines for the diagnosis and management of acute pulmonary embolism developed in collaboration with the European Respiratory Society (ERS)","author":[{"family":"Konstantinides","given":"Stavros V"},{"family":"Meyer","given":"Guy"},{"family":"Becattini","given":"Cecilia"},{"family":"Bueno","given":"Héctor"},{"family":"Geersing","given":"Geert-Jan"},{"family":"Harjola","given":"Veli-Pekka"},{"family":"Huisman","given":"Menno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 Belle","given":"Eric"},{"family":"Zamorano","given":"José Luis"},{"literal":"ESC Scientific Document Group"},{"family":"Galié","given":"Nazzareno"},{"family":"Gibbs","given":"J Simon R"},{"family":"Aboyans","given":"Victor"},{"family":"Ageno","given":"Walter"},{"family":"Agewall","given":"Stefan"},{"family":"Almeida","given":"Ana G"},{"family":"Andreotti","given":"Felicita"},{"family":"Barbato","given":"Emanuele"},{"family":"Bauersachs","given":"Johann"},{"family":"Baumbach","given":"Andreas"},{"family":"Beygui","given":"Farzin"},{"family":"Carlsen","given":"Jørn"},{"family":"De Carlo","given":"Marco"},{"family":"Delcroix","given":"Marion"},{"family":"Delgado","given":"Victoria"},{"family":"Subias","given":"Pilar Escribano"},{"family":"Fitzsimons","given":"Donna"},{"family":"Gaine","given":"Sean"},{"family":"Goldhaber","given":"Samuel Z"},{"family":"Gopalan","given":"Deepa"},{"family":"Habib","given":"Gilbert"},{"family":"Halvorsen","given":"Sigrun"},{"family":"Jenkins","given":"David"},{"family":"Katus","given":"Hugo A"},{"family":"Kjellström","given":"Barbro"},{"family":"Lainscak","given":"Mitja"},{"family":"Lancellotti","given":"Patrizio"},{"family":"Lee","given":"Geraldine"},{"family":"Gal","given":"Grégoire Le"},{"family":"Messas","given":"Emmanuel"},{"family":"Morais","given":"Joao"},{"family":"Petersen","given":"Steffen E"},{"family":"Petronio","given":"Anna Sonia"},{"family":"Piepoli","given":"Massimo Francesco"},{"family":"Price","given":"Susanna"},{"family":"Roffi","given":"Marco"},{"family":"Salvi","given":"Aldo"},{"family":"Sanchez","given":"Olivier"},{"family":"Shlyakhto","given":"Evgeny"},{"family":"Simpson","given":"Iain A"},{"family":"Stortecky","given":"Stefan"},{"family":"Thielmann","given":"Matthias"},{"family":"Noordegraaf","given":"Anton Vonk"},{"family":"Becattini","given":"Cecilia"},{"family":"Bueno","given":"Héctor"},{"family":"Geersing","given":"Geert-Jan"},{"family":"Harjola","given":"Veli-Pekka"},{"family":"Huisman","given":"Menno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Belle","given":"Eric"},{"family":"LuisZamorano","given":"José"},{"family":"Windecker","given":"Stephan"},{"family":"Aboyans","given":"Victor"},{"family":"Baigent","given":"Colin"},{"family":"Collet","given":"Jean-Philippe"},{"family":"Dean","given":"Veronica"},{"family":"Delgado","given":"Victoria"},{"family":"Fitzsimons","given":"Donna"},{"family":"Gale","given":"Chris P"},{"family":"Grobbee","given":"Diederick"},{"family":"Halvorsen","given":"Sigrun"},{"family":"Hindricks","given":"Gerhard"},{"family":"Iung","given":"Bernard"},{"family":"Jüni","given":"Peter"},{"family":"Katus","given":"Hugo A"},{"family":"Landmesser","given":"Ulf"},{"family":"Leclercq","given":"Christophe"},{"family":"Lettino","given":"Maddalena"},{"family":"Lewis","given":"Basil S"},{"family":"Merkely","given":"Bela"},{"family":"Mueller","given":"Christian"},{"family":"Petersen","given":"Steffen E"},{"family":"Sonia Petronio","given":"Anna"},{"family":"Richter","given":"Dimitrios J"},{"family":"Roffi","given":"Marco"},{"family":"Shlyakhto","given":"Evgeny"},{"family":"Simpson","given":"Iain A"},{"family":"Sousa-Uva","given":"Miguel"},{"family":"Touyz","given":"Rhian M"},{"family":"Hammoudi","given":"Naima"},{"family":"Hayrapetyan","given":"Hamlet"},{"family":"Mascherbauer","given":"Julia"},{"family":"Ibrahimov","given":"Firdovsi"},{"family":"Polonetsky","given":"Oleg"},{"family":"Lancellotti","given":"Patrizio"},{"family":"Tokmakova","given":"Mariya"},{"family":"Skoric","given":"Bosko"},{"family":"Michaloliakos","given":"Ioannis"},{"family":"Hutyra","given":"Martin"},{"family":"Mellemkjaer","given":"Søren"},{"family":"Mostafa","given":"Mansour"},{"family":"Reinmets","given":"Julia"},{"family":"Jääskeläinen","given":"Pertti"},{"family":"Angoulvant","given":"Denis"},{"family":"Bauersachs","given":"Johann"},{"family":"Giannakoulas","given":"George"},{"family":"Zima","given":"Endre"},{"family":"Vizza","given":"Carmine Dario"},{"family":"Sugraliyev","given":"Akhmetzhan"},{"family":"Bytyçi","given":"Ibadete"},{"family":"Maca","given":"Aija"},{"family":"Ereminiene","given":"Egle"},{"family":"Huijnen","given":"Steve"},{"family":"Xuereb","given":"Robert"},{"family":"Diaconu","given":"Nadejda"},{"family":"Bulatovic","given":"Nebojsa"},{"family":"Asfalou","given":"Ilyasse"},{"family":"Bosevski","given":"Marijan"},{"family":"Halvorsen","given":"Sigrun"},{"family":"Sobkowicz","given":"Bożena"},{"family":"Ferreira","given":"Daniel"},{"family":"Petris","given":"Antoniu Octavian"},{"family":"Moiseeva","given":"Olga"},{"family":"Zavatta","given":"Marco"},{"family":"Obradovic","given":"Slobodan"},{"family":"Šimkova","given":"Iveta"},{"family":"Radsel","given":"Peter"},{"family":"Ibanez","given":"Borja"},{"family":"Wikström","given":"Gerhard"},{"family":"Aujesky","given":"Drahomir"},{"family":"Kaymaz","given":"Cihangir"},{"family":"Parkhomenko","given":"Alexander"},{"family":"Pepke-Zaba","given":"Joanna"}],"issued":{"date-parts":[["2019",8,31]]}}}],"schema":"https://github.com/citation-style-language/schema/raw/master/csl-citation.json"} </w:instrText>
      </w:r>
      <w:r w:rsidRPr="00D160D7">
        <w:rPr>
          <w:rFonts w:ascii="Arial" w:hAnsi="Arial" w:cs="Arial"/>
          <w:sz w:val="20"/>
          <w:szCs w:val="20"/>
          <w:lang w:val="en-US"/>
        </w:rPr>
        <w:fldChar w:fldCharType="separate"/>
      </w:r>
      <w:r>
        <w:rPr>
          <w:rFonts w:ascii="Arial" w:hAnsi="Arial" w:cs="Arial"/>
          <w:sz w:val="20"/>
          <w:szCs w:val="20"/>
          <w:lang w:val="en-US"/>
        </w:rPr>
        <w:t>[1]</w:t>
      </w:r>
      <w:r w:rsidRPr="00D160D7">
        <w:rPr>
          <w:rFonts w:ascii="Arial" w:hAnsi="Arial" w:cs="Arial"/>
          <w:sz w:val="20"/>
          <w:szCs w:val="20"/>
          <w:lang w:val="en-US"/>
        </w:rPr>
        <w:fldChar w:fldCharType="end"/>
      </w:r>
      <w:r w:rsidRPr="00D160D7">
        <w:rPr>
          <w:rFonts w:ascii="Arial" w:hAnsi="Arial" w:cs="Arial"/>
          <w:sz w:val="20"/>
          <w:szCs w:val="20"/>
          <w:lang w:val="en-US"/>
        </w:rPr>
        <w:t>.</w:t>
      </w:r>
    </w:p>
    <w:p w14:paraId="56A1AF74" w14:textId="4A76F95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Deep vein thrombosis: proved by venous US</w:t>
      </w:r>
      <w:r w:rsidRPr="00D160D7">
        <w:rPr>
          <w:rFonts w:ascii="Arial" w:hAnsi="Arial" w:cs="Arial"/>
          <w:sz w:val="20"/>
          <w:szCs w:val="20"/>
          <w:lang w:val="en-US"/>
        </w:rPr>
        <w:fldChar w:fldCharType="begin"/>
      </w:r>
      <w:r>
        <w:rPr>
          <w:rFonts w:ascii="Arial" w:hAnsi="Arial" w:cs="Arial"/>
          <w:sz w:val="20"/>
          <w:szCs w:val="20"/>
          <w:lang w:val="en-US"/>
        </w:rPr>
        <w:instrText xml:space="preserve"> ADDIN ZOTERO_ITEM CSL_CITATION {"citationID":"u6E6LiM1","properties":{"formattedCitation":"[2]","plainCitation":"[2]","noteIndex":0},"citationItems":[{"id":1469,"uris":["http://zotero.org/groups/2468551/items/Z5Q7GJ6Y"],"uri":["http://zotero.org/groups/2468551/items/Z5Q7GJ6Y"],"itemData":{"id":1469,"type":"article-journal","container-title":"European Heart Journal","DOI":"10.1093/eurheartj/ehx003","ISSN":"0195-668X, 1522-9645","issue":"47","language":"en","page":"4208-4218","source":"DOI.org (Crossref)","title":"Diagnosis and management of acute deep vein thrombosis: a joint consensus document from the European Society of Cardiology working groups of aorta and peripheral vascular diseases and pulmonary circulation and right ventricular function","title-short":"Diagnosis and management of acute deep vein thrombosis","volume":"39","author":[{"family":"Mazzolai","given":"Lucia"},{"family":"Aboyans","given":"Victor"},{"family":"Ageno","given":"Walter"},{"family":"Agnelli","given":"Giancarlo"},{"family":"Alatri","given":"Adriano"},{"family":"Bauersachs","given":"Rupert"},{"family":"Brekelmans","given":"Marjolein P A"},{"family":"Büller","given":"Harry R"},{"family":"Elias","given":"Antoine"},{"family":"Farge","given":"Dominique"},{"family":"Konstantinides","given":"Stavros"},{"family":"Palareti","given":"Gualtiero"},{"family":"Prandoni","given":"Paolo"},{"family":"Righini","given":"Marc"},{"family":"Torbicki","given":"Adam"},{"family":"Vlachopoulos","given":"Charalambos"},{"family":"Brodmann","given":"Marianne"}],"issued":{"date-parts":[["2018",12,14]]}}}],"schema":"https://github.com/citation-style-language/schema/raw/master/csl-citation.json"} </w:instrText>
      </w:r>
      <w:r w:rsidRPr="00D160D7">
        <w:rPr>
          <w:rFonts w:ascii="Arial" w:hAnsi="Arial" w:cs="Arial"/>
          <w:sz w:val="20"/>
          <w:szCs w:val="20"/>
          <w:lang w:val="en-US"/>
        </w:rPr>
        <w:fldChar w:fldCharType="separate"/>
      </w:r>
      <w:r>
        <w:rPr>
          <w:rFonts w:ascii="Arial" w:hAnsi="Arial" w:cs="Arial"/>
          <w:sz w:val="20"/>
          <w:szCs w:val="20"/>
          <w:lang w:val="en-US"/>
        </w:rPr>
        <w:t>[2]</w:t>
      </w:r>
      <w:r w:rsidRPr="00D160D7">
        <w:rPr>
          <w:rFonts w:ascii="Arial" w:hAnsi="Arial" w:cs="Arial"/>
          <w:sz w:val="20"/>
          <w:szCs w:val="20"/>
          <w:lang w:val="en-US"/>
        </w:rPr>
        <w:fldChar w:fldCharType="end"/>
      </w:r>
      <w:r w:rsidRPr="00D160D7">
        <w:rPr>
          <w:rFonts w:ascii="Arial" w:hAnsi="Arial" w:cs="Arial"/>
          <w:sz w:val="20"/>
          <w:szCs w:val="20"/>
          <w:lang w:val="en-US"/>
        </w:rPr>
        <w:t>.</w:t>
      </w:r>
    </w:p>
    <w:p w14:paraId="13D4DE45" w14:textId="7777777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Proximal DVT: located in the popliteal, femoral or iliac veins</w:t>
      </w:r>
    </w:p>
    <w:p w14:paraId="685FAA79" w14:textId="77777777"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Distal DVT: no proximal component, is located below the knee, and is confined to the calf veins (peroneal, posterior, anterior tibial, and muscular veins).</w:t>
      </w:r>
    </w:p>
    <w:p w14:paraId="391BC0A5" w14:textId="1673E6DE"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sz w:val="20"/>
          <w:szCs w:val="20"/>
          <w:lang w:val="en-US"/>
        </w:rPr>
        <w:t xml:space="preserve">- Pulmonary embolism: </w:t>
      </w:r>
      <w:r w:rsidRPr="00D160D7">
        <w:rPr>
          <w:rFonts w:ascii="Arial" w:hAnsi="Arial" w:cs="Arial"/>
          <w:color w:val="000000" w:themeColor="text1"/>
          <w:sz w:val="20"/>
          <w:szCs w:val="20"/>
          <w:lang w:val="en-US"/>
        </w:rPr>
        <w:t>proved by V/Q lung scan diagnosis, CT angiography, pulmonary angiography or transesophageal echocardiogram. Also, we considered PE in those with high-clinical suspicion, in-transit thrombus, and right ventricular dysfunction evidenced by echocardiogram with or without clinical instability</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g9ipjmBE","properties":{"formattedCitation":"[3]","plainCitation":"[3]","noteIndex":0},"citationItems":[{"id":201,"uris":["http://zotero.org/groups/2362541/items/XPBVHVH3"],"uri":["http://zotero.org/groups/2362541/items/XPBVHVH3"],"itemData":{"id":201,"type":"article-journal","container-title":"Circulation","DOI":"10.1161/CIR.0b013e318214914f","ISSN":"0009-7322, 1524-4539","issue":"16","journalAbbreviation":"Circulation","language":"en","page":"1788-1830","source":"DOI.org (Crossref)","title":"Management of Massive and Submassive Pulmonary Embolism, Iliofemoral Deep Vein Thrombosis, and Chronic Thromboembolic Pulmonary Hypertension: A Scientific Statement From the American Heart Association","title-short":"Management of Massive and Submassive Pulmonary Embolism, Iliofemoral Deep Vein Thrombosis, and Chronic Thromboembolic Pulmonary Hypertension","volume":"123","author":[{"family":"Jaff","given":"Michael R."},{"family":"McMurtry","given":"M. Sean"},{"family":"Archer","given":"Stephen L."},{"family":"Cushman","given":"Mary"},{"family":"Goldenberg","given":"Neil"},{"family":"Goldhaber","given":"Samuel Z."},{"family":"Jenkins","given":"J. Stephen"},{"family":"Kline","given":"Jeffrey A."},{"family":"Michaels","given":"Andrew D."},{"family":"Thistlethwaite","given":"Patricia"},{"family":"Vedantham","given":"Suresh"},{"family":"White","given":"R. James"},{"family":"Zierler","given":"Brenda K."}],"issued":{"date-parts":[["2011",4,26]]}}}],"schema":"https://github.com/citation-style-language/schema/raw/master/csl-citation.json"}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[3]</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78BA47DD" w14:textId="77777777"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Massive pulmonary embolism: sustained hypotension systolic blood pressure &lt;90 mmHg for at least 15 minutes or requiring inotropic support, not due to a cause other than PE, such as arrhythmia, hypovolemia, sepsis, or left ventricular dysfunction, pulselessness, or persistent profound bradycardia (heart rate 40 bpm with signs or symptoms of shock.</w:t>
      </w:r>
    </w:p>
    <w:p w14:paraId="1D63E5E5" w14:textId="61FF8C1F"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Submassive pulmonary embolism: systolic blood pressure &gt;90 mmHg, but with either right ventricular dysfunction or myocardial necrosis</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90CFjsPC","properties":{"formattedCitation":"[3]","plainCitation":"[3]","noteIndex":0},"citationItems":[{"id":201,"uris":["http://zotero.org/groups/2362541/items/XPBVHVH3"],"uri":["http://zotero.org/groups/2362541/items/XPBVHVH3"],"itemData":{"id":201,"type":"article-journal","container-title":"Circulation","DOI":"10.1161/CIR.0b013e318214914f","ISSN":"0009-7322, 1524-4539","issue":"16","journalAbbreviation":"Circulation","language":"en","page":"1788-1830","source":"DOI.org (Crossref)","title":"Management of Massive and Submassive Pulmonary Embolism, Iliofemoral Deep Vein Thrombosis, and Chronic Thromboembolic Pulmonary Hypertension: A Scientific Statement From the American Heart Association","title-short":"Management of Massive and Submassive Pulmonary Embolism, Iliofemoral Deep Vein Thrombosis, and Chronic Thromboembolic Pulmonary Hypertension","volume":"123","author":[{"family":"Jaff","given":"Michael R."},{"family":"McMurtry","given":"M. Sean"},{"family":"Archer","given":"Stephen L."},{"family":"Cushman","given":"Mary"},{"family":"Goldenberg","given":"Neil"},{"family":"Goldhaber","given":"Samuel Z."},{"family":"Jenkins","given":"J. Stephen"},{"family":"Kline","given":"Jeffrey A."},{"family":"Michaels","given":"Andrew D."},{"family":"Thistlethwaite","given":"Patricia"},{"family":"Vedantham","given":"Suresh"},{"family":"White","given":"R. James"},{"family":"Zierler","given":"Brenda K."}],"issued":{"date-parts":[["2011",4,26]]}}}],"schema":"https://github.com/citation-style-language/schema/raw/master/csl-citation.json"}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[3]</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1C77385E" w14:textId="78265505" w:rsid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Low-risk pulmonary embolism: systolic blood pressure &gt;90 mmHg without right ventricular dysfunction and biomarkers expression.</w:t>
      </w:r>
    </w:p>
    <w:p w14:paraId="2BE06438" w14:textId="4A13DCF4" w:rsidR="00D160D7" w:rsidRPr="00974652" w:rsidRDefault="00D160D7" w:rsidP="00D160D7">
      <w:pPr>
        <w:jc w:val="both"/>
        <w:rPr>
          <w:rFonts w:ascii="Arial" w:hAnsi="Arial" w:cs="Arial"/>
          <w:color w:val="000000" w:themeColor="text1"/>
          <w:sz w:val="20"/>
          <w:szCs w:val="20"/>
          <w:lang w:val="en-US"/>
        </w:rPr>
      </w:pPr>
      <w:r>
        <w:rPr>
          <w:rFonts w:ascii="Arial" w:hAnsi="Arial" w:cs="Arial"/>
          <w:color w:val="000000" w:themeColor="text1"/>
          <w:sz w:val="20"/>
          <w:szCs w:val="20"/>
          <w:lang w:val="en-US"/>
        </w:rPr>
        <w:t xml:space="preserve">- </w:t>
      </w:r>
      <w:r w:rsidRPr="00974652">
        <w:rPr>
          <w:rFonts w:ascii="Arial" w:hAnsi="Arial" w:cs="Arial"/>
          <w:color w:val="000000" w:themeColor="text1"/>
          <w:sz w:val="20"/>
          <w:szCs w:val="20"/>
          <w:lang w:val="en-US"/>
        </w:rPr>
        <w:t xml:space="preserve">Right ventricular dysfunction: on echocardiography or </w:t>
      </w:r>
      <w:proofErr w:type="spellStart"/>
      <w:r w:rsidRPr="00974652">
        <w:rPr>
          <w:rFonts w:ascii="Arial" w:hAnsi="Arial" w:cs="Arial"/>
          <w:color w:val="000000" w:themeColor="text1"/>
          <w:sz w:val="20"/>
          <w:szCs w:val="20"/>
          <w:lang w:val="en-US"/>
        </w:rPr>
        <w:t>angio</w:t>
      </w:r>
      <w:proofErr w:type="spellEnd"/>
      <w:r w:rsidRPr="00974652">
        <w:rPr>
          <w:rFonts w:ascii="Arial" w:hAnsi="Arial" w:cs="Arial"/>
          <w:color w:val="000000" w:themeColor="text1"/>
          <w:sz w:val="20"/>
          <w:szCs w:val="20"/>
          <w:lang w:val="en-US"/>
        </w:rPr>
        <w:t xml:space="preserve"> CT: right ventricular end diastolic diameter/left ventricular end diastolic diameter ratio (RVEDD/LVEDD) </w:t>
      </w:r>
      <w:r w:rsidRPr="00974652">
        <w:rPr>
          <w:rFonts w:ascii="Arial" w:hAnsi="Arial" w:cs="Arial"/>
          <w:color w:val="000000" w:themeColor="text1"/>
          <w:sz w:val="20"/>
          <w:szCs w:val="20"/>
          <w:u w:val="single"/>
          <w:lang w:val="en-US"/>
        </w:rPr>
        <w:t>&gt;</w:t>
      </w:r>
      <w:r w:rsidRPr="00974652">
        <w:rPr>
          <w:rFonts w:ascii="Arial" w:hAnsi="Arial" w:cs="Arial"/>
          <w:color w:val="000000" w:themeColor="text1"/>
          <w:sz w:val="20"/>
          <w:szCs w:val="20"/>
          <w:lang w:val="en-US"/>
        </w:rPr>
        <w:t xml:space="preserve">2:1, (b) regional or global right ventricular hypokinesis, (c) McConnell´s sign, (d) right ventricular diameter &gt;35 mm, (e) systolic pulmonary arterial pressure </w:t>
      </w:r>
      <w:r w:rsidRPr="00974652">
        <w:rPr>
          <w:rFonts w:ascii="Arial" w:hAnsi="Arial" w:cs="Arial"/>
          <w:color w:val="000000" w:themeColor="text1"/>
          <w:sz w:val="20"/>
          <w:szCs w:val="20"/>
          <w:u w:val="single"/>
          <w:lang w:val="en-US"/>
        </w:rPr>
        <w:t>&gt;</w:t>
      </w:r>
      <w:r w:rsidRPr="00974652">
        <w:rPr>
          <w:rFonts w:ascii="Arial" w:hAnsi="Arial" w:cs="Arial"/>
          <w:color w:val="000000" w:themeColor="text1"/>
          <w:sz w:val="20"/>
          <w:szCs w:val="20"/>
          <w:lang w:val="en-US"/>
        </w:rPr>
        <w:t>50 mm Hg; BNP measurement (&gt;90 pg/mL) or N-terminal proBNP (NT-proBNP) (&gt;300 pg/mL)</w:t>
      </w:r>
      <w:r>
        <w:rPr>
          <w:rFonts w:ascii="Arial" w:hAnsi="Arial" w:cs="Arial"/>
          <w:color w:val="000000" w:themeColor="text1"/>
          <w:sz w:val="20"/>
          <w:szCs w:val="20"/>
          <w:vertAlign w:val="superscript"/>
          <w:lang w:val="en-US"/>
        </w:rPr>
        <w:t>2</w:t>
      </w:r>
      <w:r w:rsidRPr="00974652">
        <w:rPr>
          <w:rFonts w:ascii="Arial" w:hAnsi="Arial" w:cs="Arial"/>
          <w:color w:val="000000" w:themeColor="text1"/>
          <w:sz w:val="20"/>
          <w:szCs w:val="20"/>
          <w:lang w:val="en-US"/>
        </w:rPr>
        <w:t>; dynamic electrocardiographic changes (new complete or incomplete right bundle-branch block, anteroseptal ST elevation or depression, or anteroseptal T-wave inversion)</w:t>
      </w:r>
      <w:r>
        <w:rPr>
          <w:rFonts w:ascii="Arial" w:hAnsi="Arial" w:cs="Arial"/>
          <w:color w:val="000000" w:themeColor="text1"/>
          <w:sz w:val="20"/>
          <w:szCs w:val="20"/>
          <w:vertAlign w:val="superscript"/>
          <w:lang w:val="en-US"/>
        </w:rPr>
        <w:t>2</w:t>
      </w:r>
      <w:r w:rsidRPr="00974652">
        <w:rPr>
          <w:rFonts w:ascii="Arial" w:hAnsi="Arial" w:cs="Arial"/>
          <w:color w:val="000000" w:themeColor="text1"/>
          <w:sz w:val="20"/>
          <w:szCs w:val="20"/>
          <w:lang w:val="en-US"/>
        </w:rPr>
        <w:t xml:space="preserve">.  </w:t>
      </w:r>
    </w:p>
    <w:p w14:paraId="24BA2E24" w14:textId="6067E236"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Isolated or multiple segmental or subsegmental thrombi on CTA</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wjXOCiBB","properties":{"formattedCitation":"[4]","plainCitation":"[4]","noteIndex":0},"citationItems":[{"id":1465,"uris":["http://zotero.org/groups/2468551/items/XLQJBPX7"],"uri":["http://zotero.org/groups/2468551/items/XLQJBPX7"],"itemData":{"id":1465,"type":"article-journal","container-title":"Chest","DOI":"10.1016/j.chest.2020.01.055","ISSN":"00123692","issue":"1","journalAbbreviation":"Chest","language":"en","page":"341-349","source":"DOI.org (Crossref)","title":"Isolated Pulmonary Embolism Is Associated With a High Risk of Arterial Thrombotic Disease","volume":"158","author":[{"family":"Cate","given":"Vincent","non-dropping-particle":"ten"},{"family":"Eggebrecht","given":"Lisa"},{"family":"Schulz","given":"Andreas"},{"family":"Panova-Noeva","given":"Marina"},{"family":"Lenz","given":"Michael"},{"family":"Koeck","given":"Thomas"},{"family":"Rapp","given":"Steffen"},{"family":"Arnold","given":"Natalie"},{"family":"Lackner","given":"Karl J."},{"family":"Konstantinides","given":"Stavros"},{"family":"Espinola-Klein","given":"Christine"},{"family":"Münzel","given":"Thomas"},{"family":"Prochaska","given":"Jürgen H."},{"family":"Wild","given":"Philipp S."}],"issued":{"date-parts":[["2020",7]]}}}],"schema":"https://github.com/citation-style-language/schema/raw/master/csl-citation.json"}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[4]</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 xml:space="preserve">. </w:t>
      </w:r>
    </w:p>
    <w:p w14:paraId="1588D334" w14:textId="4F111484"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VTE strong risk factors (OR&gt;10): fracture of the lower limb, hospitalization for heart failure or AF/flutter (within the previous three months), hip or knee replacement, major trauma, myocardial infarction (within last three months), previous VTE, spinal cord injury</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KLw9KBH1","properties":{"formattedCitation":"[1]","plainCitation":"[1]","noteIndex":0},"citationItems":[{"id":194,"uris":["http://zotero.org/groups/2362541/items/R5FDJIG6"],"uri":["http://zotero.org/groups/2362541/items/R5FDJIG6"],"itemData":{"id":194,"type":"article-journal","container-title":"European Heart Journal","DOI":"10.1093/eurheartj/ehz405","ISSN":"0195-668X, 1522-9645","language":"en","page":"ehz405","source":"DOI.org (Crossref)","title":"2019 ESC Guidelines for the diagnosis and management of acute pulmonary embolism developed in collaboration with the European Respiratory Society (ERS)","author":[{"family":"Konstantinides","given":"Stavros V"},{"family":"Meyer","given":"Guy"},{"family":"Becattini","given":"Cecilia"},{"family":"Bueno","given":"Héctor"},{"family":"Geersing","given":"Geert-Jan"},{"family":"Harjola","given":"Veli-Pekka"},{"family":"Huisman","given":"Menno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 Belle","given":"Eric"},{"family":"Zamorano","given":"José Luis"},{"literal":"ESC Scientific Document Group"},{"family":"Galié","given":"Nazzareno"},{"family":"Gibbs","given":"J Simon R"},{"family":"Aboyans","given":"Victor"},{"family":"Ageno","given":"Walter"},{"family":"Agewall","given":"Stefan"},{"family":"Almeida","given":"Ana G"},{"family":"Andreotti","given":"Felicita"},{"family":"Barbato","given":"Emanuele"},{"family":"Bauersachs","given":"Johann"},{"family":"Baumbach","given":"Andreas"},{"family":"Beygui","given":"Farzin"},{"family":"Carlsen","given":"Jørn"},{"family":"De Carlo","given":"Marco"},{"family":"Delcroix","given":"Marion"},{"family":"Delgado","given":"Victoria"},{"family":"Subias","given":"Pilar Escribano"},{"family":"Fitzsimons","given":"Donna"},{"family":"Gaine","given":"Sean"},{"family":"Goldhaber","given":"Samuel Z"},{"family":"Gopalan","given":"Deepa"},{"family":"Habib","given":"Gilbert"},{"family":"Halvorsen","given":"Sigrun"},{"family":"Jenkins","given":"David"},{"family":"Katus","given":"Hugo A"},{"family":"Kjellström","given":"Barbro"},{"family":"Lainscak","given":"Mitja"},{"family":"Lancellotti","given":"Patrizio"},{"family":"Lee","given":"Geraldine"},{"family":"Gal","given":"Grégoire Le"},{"family":"Messas","given":"Emmanuel"},{"family":"Morais","given":"Joao"},{"family":"Petersen","given":"Steffen E"},{"family":"Petronio","given":"Anna Sonia"},{"family":"Piepoli","given":"Massimo Francesco"},{"family":"Price","given":"Susanna"},{"family":"Roffi","given":"Marco"},{"family":"Salvi","given":"Aldo"},{"family":"Sanchez","given":"Olivier"},{"family":"Shlyakhto","given":"Evgeny"},{"family":"Simpson","given":"Iain A"},{"family":"Stortecky","given":"Stefan"},{"family":"Thielmann","given":"Matthias"},{"family":"Noordegraaf","given":"Anton Vonk"},{"family":"Becattini","given":"Cecilia"},{"family":"Bueno","given":"Héctor"},{"family":"Geersing","given":"Geert-Jan"},{"family":"Harjola","given":"Veli-Pekka"},{"family":"Huisman","given":"Menno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Belle","given":"Eric"},{"family":"LuisZamorano","given":"José"},{"family":"Windecker","given":"Stephan"},{"family":"Aboyans","given":"Victor"},{"family":"Baigent","given":"Colin"},{"family":"Collet","given":"Jean-Philippe"},{"family":"Dean","given":"Veronica"},{"family":"Delgado","given":"Victoria"},{"family":"Fitzsimons","given":"Donna"},{"family":"Gale","given":"Chris P"},{"family":"Grobbee","given":"Diederick"},{"family":"Halvorsen","given":"Sigrun"},{"family":"Hindricks","given":"Gerhard"},{"family":"Iung","given":"Bernard"},{"family":"Jüni","given":"Peter"},{"family":"Katus","given":"Hugo A"},{"family":"Landmesser","given":"Ulf"},{"family":"Leclercq","given":"Christophe"},{"family":"Lettino","given":"Maddalena"},{"family":"Lewis","given":"Basil S"},{"family":"Merkely","given":"Bela"},{"family":"Mueller","given":"Christian"},{"family":"Petersen","given":"Steffen E"},{"family":"Sonia Petronio","given":"Anna"},{"family":"Richter","given":"Dimitrios J"},{"family":"Roffi","given":"Marco"},{"family":"Shlyakhto","given":"Evgeny"},{"family":"Simpson","given":"Iain A"},{"family":"Sousa-Uva","given":"Miguel"},{"family":"Touyz","given":"Rhian M"},{"family":"Hammoudi","given":"Naima"},{"family":"Hayrapetyan","given":"Hamlet"},{"family":"Mascherbauer","given":"Julia"},{"family":"Ibrahimov","given":"Firdovsi"},{"family":"Polonetsky","given":"Oleg"},{"family":"Lancellotti","given":"Patrizio"},{"family":"Tokmakova","given":"Mariya"},{"family":"Skoric","given":"Bosko"},{"family":"Michaloliakos","given":"Ioannis"},{"family":"Hutyra","given":"Martin"},{"family":"Mellemkjaer","given":"Søren"},{"family":"Mostafa","given":"Mansour"},{"family":"Reinmets","given":"Julia"},{"family":"Jääskeläinen","given":"Pertti"},{"family":"Angoulvant","given":"Denis"},{"family":"Bauersachs","given":"Johann"},{"family":"Giannakoulas","given":"George"},{"family":"Zima","given":"Endre"},{"family":"Vizza","given":"Carmine Dario"},{"family":"Sugraliyev","given":"Akhmetzhan"},{"family":"Bytyçi","given":"Ibadete"},{"family":"Maca","given":"Aija"},{"family":"Ereminiene","given":"Egle"},{"family":"Huijnen","given":"Steve"},{"family":"Xuereb","given":"Robert"},{"family":"Diaconu","given":"Nadejda"},{"family":"Bulatovic","given":"Nebojsa"},{"family":"Asfalou","given":"Ilyasse"},{"family":"Bosevski","given":"Marijan"},{"family":"Halvorsen","given":"Sigrun"},{"family":"Sobkowicz","given":"Bożena"},{"family":"Ferreira","given":"Daniel"},{"family":"Petris","given":"Antoniu Octavian"},{"family":"Moiseeva","given":"Olga"},{"family":"Zavatta","given":"Marco"},{"family":"Obradovic","given":"Slobodan"},{"family":"Šimkova","given":"Iveta"},{"family":"Radsel","given":"Peter"},{"family":"Ibanez","given":"Borja"},{"family":"Wikström","given":"Gerhard"},{"family":"Aujesky","given":"Drahomir"},{"family":"Kaymaz","given":"Cihangir"},{"family":"Parkhomenko","given":"Alexander"},{"family":"Pepke-Zaba","given":"Joanna"}],"issued":{"date-parts":[["2019",8,31]]}}}],"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[1]</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3D1B273D" w14:textId="591CB7C9"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VTE moderate risk factors (OR 2-9): arthroscopic knee surgery, autoimmune diseases, blood transfusion, central venous lines, IV catheters, and leads, chemotherapy, HF, erythropoiesis-stimulating agents, hormone replacement therapy, in vitro fertilization, oral contraceptive therapy, post-partum period, infection, inflammatory bowel disease, cancer, paralytic stroke, superficial vein thrombosis, thrombophilia</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aYJzhzhk","properties":{"formattedCitation":"[1]","plainCitation":"[1]","noteIndex":0},"citationItems":[{"id":194,"uris":["http://zotero.org/groups/2362541/items/R5FDJIG6"],"uri":["http://zotero.org/groups/2362541/items/R5FDJIG6"],"itemData":{"id":194,"type":"article-journal","container-title":"European Heart Journal","DOI":"10.1093/eurheartj/ehz405","ISSN":"0195-668X, 1522-9645","language":"en","page":"ehz405","source":"DOI.org (Crossref)","title":"2019 ESC Guidelines for the diagnosis and management of acute pulmonary embolism developed in collaboration with the European Respiratory Society (ERS)","author":[{"family":"Konstantinides","given":"Stavros V"},{"family":"Meyer","given":"Guy"},{"family":"Becattini","given":"Cecilia"},{"family":"Bueno","given":"Héctor"},{"family":"Geersing","given":"Geert-Jan"},{"family":"Harjola","given":"Veli-Pekka"},{"family":"Huisman","given":"Menno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 Belle","given":"Eric"},{"family":"Zamorano","given":"José Luis"},{"literal":"ESC Scientific Document Group"},{"family":"Galié","given":"Nazzareno"},{"family":"Gibbs","given":"J Simon R"},{"family":"Aboyans","given":"Victor"},{"family":"Ageno","given":"Walter"},{"family":"Agewall","given":"Stefan"},{"family":"Almeida","given":"Ana G"},{"family":"Andreotti","given":"Felicita"},{"family":"Barbato","given":"Emanuele"},{"family":"Bauersachs","given":"Johann"},{"family":"Baumbach","given":"Andreas"},{"family":"Beygui","given":"Farzin"},{"family":"Carlsen","given":"Jørn"},{"family":"De Carlo","given":"Marco"},{"family":"Delcroix","given":"Marion"},{"family":"Delgado","given":"Victoria"},{"family":"Subias","given":"Pilar Escribano"},{"family":"Fitzsimons","given":"Donna"},{"family":"Gaine","given":"Sean"},{"family":"Goldhaber","given":"Samuel Z"},{"family":"Gopalan","given":"Deepa"},{"family":"Habib","given":"Gilbert"},{"family":"Halvorsen","given":"Sigrun"},{"family":"Jenkins","given":"David"},{"family":"Katus","given":"Hugo A"},{"family":"Kjellström","given":"Barbro"},{"family":"Lainscak","given":"Mitja"},{"family":"Lancellotti","given":"Patrizio"},{"family":"Lee","given":"Geraldine"},{"family":"Gal","given":"Grégoire Le"},{"family":"Messas","given":"Emmanuel"},{"family":"Morais","given":"Joao"},{"family":"Petersen","given":"Steffen E"},{"family":"Petronio","given":"Anna Sonia"},{"family":"Piepoli","given":"Massimo Francesco"},{"family":"Price","given":"Susanna"},{"family":"Roffi","given":"Marco"},{"family":"Salvi","given":"Aldo"},{"family":"Sanchez","given":"Olivier"},{"family":"Shlyakhto","given":"Evgeny"},{"family":"Simpson","given":"Iain A"},{"family":"Stortecky","given":"Stefan"},{"family":"Thielmann","given":"Matthias"},{"family":"Noordegraaf","given":"Anton Vonk"},{"family":"Becattini","given":"Cecilia"},{"family":"Bueno","given":"Héctor"},{"family":"Geersing","given":"Geert-Jan"},{"family":"Harjola","given":"Veli-Pekka"},{"family":"Huisman","given":"Menno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Belle","given":"Eric"},{"family":"LuisZamorano","given":"José"},{"family":"Windecker","given":"Stephan"},{"family":"Aboyans","given":"Victor"},{"family":"Baigent","given":"Colin"},{"family":"Collet","given":"Jean-Philippe"},{"family":"Dean","given":"Veronica"},{"family":"Delgado","given":"Victoria"},{"family":"Fitzsimons","given":"Donna"},{"family":"Gale","given":"Chris P"},{"family":"Grobbee","given":"Diederick"},{"family":"Halvorsen","given":"Sigrun"},{"family":"Hindricks","given":"Gerhard"},{"family":"Iung","given":"Bernard"},{"family":"Jüni","given":"Peter"},{"family":"Katus","given":"Hugo A"},{"family":"Landmesser","given":"Ulf"},{"family":"Leclercq","given":"Christophe"},{"family":"Lettino","given":"Maddalena"},{"family":"Lewis","given":"Basil S"},{"family":"Merkely","given":"Bela"},{"family":"Mueller","given":"Christian"},{"family":"Petersen","given":"Steffen E"},{"family":"Sonia Petronio","given":"Anna"},{"family":"Richter","given":"Dimitrios J"},{"family":"Roffi","given":"Marco"},{"family":"Shlyakhto","given":"Evgeny"},{"family":"Simpson","given":"Iain A"},{"family":"Sousa-Uva","given":"Miguel"},{"family":"Touyz","given":"Rhian M"},{"family":"Hammoudi","given":"Naima"},{"family":"Hayrapetyan","given":"Hamlet"},{"family":"Mascherbauer","given":"Julia"},{"family":"Ibrahimov","given":"Firdovsi"},{"family":"Polonetsky","given":"Oleg"},{"family":"Lancellotti","given":"Patrizio"},{"family":"Tokmakova","given":"Mariya"},{"family":"Skoric","given":"Bosko"},{"family":"Michaloliakos","given":"Ioannis"},{"family":"Hutyra","given":"Martin"},{"family":"Mellemkjaer","given":"Søren"},{"family":"Mostafa","given":"Mansour"},{"family":"Reinmets","given":"Julia"},{"family":"Jääskeläinen","given":"Pertti"},{"family":"Angoulvant","given":"Denis"},{"family":"Bauersachs","given":"Johann"},{"family":"Giannakoulas","given":"George"},{"family":"Zima","given":"Endre"},{"family":"Vizza","given":"Carmine Dario"},{"family":"Sugraliyev","given":"Akhmetzhan"},{"family":"Bytyçi","given":"Ibadete"},{"family":"Maca","given":"Aija"},{"family":"Ereminiene","given":"Egle"},{"family":"Huijnen","given":"Steve"},{"family":"Xuereb","given":"Robert"},{"family":"Diaconu","given":"Nadejda"},{"family":"Bulatovic","given":"Nebojsa"},{"family":"Asfalou","given":"Ilyasse"},{"family":"Bosevski","given":"Marijan"},{"family":"Halvorsen","given":"Sigrun"},{"family":"Sobkowicz","given":"Bożena"},{"family":"Ferreira","given":"Daniel"},{"family":"Petris","given":"Antoniu Octavian"},{"family":"Moiseeva","given":"Olga"},{"family":"Zavatta","given":"Marco"},{"family":"Obradovic","given":"Slobodan"},{"family":"Šimkova","given":"Iveta"},{"family":"Radsel","given":"Peter"},{"family":"Ibanez","given":"Borja"},{"family":"Wikström","given":"Gerhard"},{"family":"Aujesky","given":"Drahomir"},{"family":"Kaymaz","given":"Cihangir"},{"family":"Parkhomenko","given":"Alexander"},{"family":"Pepke-Zaba","given":"Joanna"}],"issued":{"date-parts":[["2019",8,31]]}}}],"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[1]</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55BD3596" w14:textId="4107D5AF"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lastRenderedPageBreak/>
        <w:t>- VTE weak risk factors (OR&lt;2): bed rest &gt;3 days, DM, HT, immobility due to sitting, increasing age, laparoscopic surgery, obesity, pregnancy, varicose veins</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YVwHN2Jy","properties":{"formattedCitation":"[1]","plainCitation":"[1]","noteIndex":0},"citationItems":[{"id":194,"uris":["http://zotero.org/groups/2362541/items/R5FDJIG6"],"uri":["http://zotero.org/groups/2362541/items/R5FDJIG6"],"itemData":{"id":194,"type":"article-journal","container-title":"European Heart Journal","DOI":"10.1093/eurheartj/ehz405","ISSN":"0195-668X, 1522-9645","language":"en","page":"ehz405","source":"DOI.org (Crossref)","title":"2019 ESC Guidelines for the diagnosis and management of acute pulmonary embolism developed in collaboration with the European Respiratory Society (ERS)","author":[{"family":"Konstantinides","given":"Stavros V"},{"family":"Meyer","given":"Guy"},{"family":"Becattini","given":"Cecilia"},{"family":"Bueno","given":"Héctor"},{"family":"Geersing","given":"Geert-Jan"},{"family":"Harjola","given":"Veli-Pekka"},{"family":"Huisman","given":"Menno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 Belle","given":"Eric"},{"family":"Zamorano","given":"José Luis"},{"literal":"ESC Scientific Document Group"},{"family":"Galié","given":"Nazzareno"},{"family":"Gibbs","given":"J Simon R"},{"family":"Aboyans","given":"Victor"},{"family":"Ageno","given":"Walter"},{"family":"Agewall","given":"Stefan"},{"family":"Almeida","given":"Ana G"},{"family":"Andreotti","given":"Felicita"},{"family":"Barbato","given":"Emanuele"},{"family":"Bauersachs","given":"Johann"},{"family":"Baumbach","given":"Andreas"},{"family":"Beygui","given":"Farzin"},{"family":"Carlsen","given":"Jørn"},{"family":"De Carlo","given":"Marco"},{"family":"Delcroix","given":"Marion"},{"family":"Delgado","given":"Victoria"},{"family":"Subias","given":"Pilar Escribano"},{"family":"Fitzsimons","given":"Donna"},{"family":"Gaine","given":"Sean"},{"family":"Goldhaber","given":"Samuel Z"},{"family":"Gopalan","given":"Deepa"},{"family":"Habib","given":"Gilbert"},{"family":"Halvorsen","given":"Sigrun"},{"family":"Jenkins","given":"David"},{"family":"Katus","given":"Hugo A"},{"family":"Kjellström","given":"Barbro"},{"family":"Lainscak","given":"Mitja"},{"family":"Lancellotti","given":"Patrizio"},{"family":"Lee","given":"Geraldine"},{"family":"Gal","given":"Grégoire Le"},{"family":"Messas","given":"Emmanuel"},{"family":"Morais","given":"Joao"},{"family":"Petersen","given":"Steffen E"},{"family":"Petronio","given":"Anna Sonia"},{"family":"Piepoli","given":"Massimo Francesco"},{"family":"Price","given":"Susanna"},{"family":"Roffi","given":"Marco"},{"family":"Salvi","given":"Aldo"},{"family":"Sanchez","given":"Olivier"},{"family":"Shlyakhto","given":"Evgeny"},{"family":"Simpson","given":"Iain A"},{"family":"Stortecky","given":"Stefan"},{"family":"Thielmann","given":"Matthias"},{"family":"Noordegraaf","given":"Anton Vonk"},{"family":"Becattini","given":"Cecilia"},{"family":"Bueno","given":"Héctor"},{"family":"Geersing","given":"Geert-Jan"},{"family":"Harjola","given":"Veli-Pekka"},{"family":"Huisman","given":"Menno V"},{"family":"Humbert","given":"Marc"},{"family":"Jennings","given":"Catriona Sian"},{"family":"Jiménez","given":"David"},{"family":"Kucher","given":"Nils"},{"family":"Lang","given":"Irene Marthe"},{"family":"Lankeit","given":"Mareike"},{"family":"Lorusso","given":"Roberto"},{"family":"Mazzolai","given":"Lucia"},{"family":"Meneveau","given":"Nicolas"},{"family":"Ní Áinle","given":"Fionnuala"},{"family":"Prandoni","given":"Paolo"},{"family":"Pruszczyk","given":"Piotr"},{"family":"Righini","given":"Marc"},{"family":"Torbicki","given":"Adam"},{"family":"VanBelle","given":"Eric"},{"family":"LuisZamorano","given":"José"},{"family":"Windecker","given":"Stephan"},{"family":"Aboyans","given":"Victor"},{"family":"Baigent","given":"Colin"},{"family":"Collet","given":"Jean-Philippe"},{"family":"Dean","given":"Veronica"},{"family":"Delgado","given":"Victoria"},{"family":"Fitzsimons","given":"Donna"},{"family":"Gale","given":"Chris P"},{"family":"Grobbee","given":"Diederick"},{"family":"Halvorsen","given":"Sigrun"},{"family":"Hindricks","given":"Gerhard"},{"family":"Iung","given":"Bernard"},{"family":"Jüni","given":"Peter"},{"family":"Katus","given":"Hugo A"},{"family":"Landmesser","given":"Ulf"},{"family":"Leclercq","given":"Christophe"},{"family":"Lettino","given":"Maddalena"},{"family":"Lewis","given":"Basil S"},{"family":"Merkely","given":"Bela"},{"family":"Mueller","given":"Christian"},{"family":"Petersen","given":"Steffen E"},{"family":"Sonia Petronio","given":"Anna"},{"family":"Richter","given":"Dimitrios J"},{"family":"Roffi","given":"Marco"},{"family":"Shlyakhto","given":"Evgeny"},{"family":"Simpson","given":"Iain A"},{"family":"Sousa-Uva","given":"Miguel"},{"family":"Touyz","given":"Rhian M"},{"family":"Hammoudi","given":"Naima"},{"family":"Hayrapetyan","given":"Hamlet"},{"family":"Mascherbauer","given":"Julia"},{"family":"Ibrahimov","given":"Firdovsi"},{"family":"Polonetsky","given":"Oleg"},{"family":"Lancellotti","given":"Patrizio"},{"family":"Tokmakova","given":"Mariya"},{"family":"Skoric","given":"Bosko"},{"family":"Michaloliakos","given":"Ioannis"},{"family":"Hutyra","given":"Martin"},{"family":"Mellemkjaer","given":"Søren"},{"family":"Mostafa","given":"Mansour"},{"family":"Reinmets","given":"Julia"},{"family":"Jääskeläinen","given":"Pertti"},{"family":"Angoulvant","given":"Denis"},{"family":"Bauersachs","given":"Johann"},{"family":"Giannakoulas","given":"George"},{"family":"Zima","given":"Endre"},{"family":"Vizza","given":"Carmine Dario"},{"family":"Sugraliyev","given":"Akhmetzhan"},{"family":"Bytyçi","given":"Ibadete"},{"family":"Maca","given":"Aija"},{"family":"Ereminiene","given":"Egle"},{"family":"Huijnen","given":"Steve"},{"family":"Xuereb","given":"Robert"},{"family":"Diaconu","given":"Nadejda"},{"family":"Bulatovic","given":"Nebojsa"},{"family":"Asfalou","given":"Ilyasse"},{"family":"Bosevski","given":"Marijan"},{"family":"Halvorsen","given":"Sigrun"},{"family":"Sobkowicz","given":"Bożena"},{"family":"Ferreira","given":"Daniel"},{"family":"Petris","given":"Antoniu Octavian"},{"family":"Moiseeva","given":"Olga"},{"family":"Zavatta","given":"Marco"},{"family":"Obradovic","given":"Slobodan"},{"family":"Šimkova","given":"Iveta"},{"family":"Radsel","given":"Peter"},{"family":"Ibanez","given":"Borja"},{"family":"Wikström","given":"Gerhard"},{"family":"Aujesky","given":"Drahomir"},{"family":"Kaymaz","given":"Cihangir"},{"family":"Parkhomenko","given":"Alexander"},{"family":"Pepke-Zaba","given":"Joanna"}],"issued":{"date-parts":[["2019",8,31]]}}}],"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[1]</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56BDA0F2" w14:textId="34FF240A" w:rsid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ICU VTE risk factors: sedation, immobilization, vasopressors, or central venous catheters</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OLnKIXvz","properties":{"formattedCitation":"[5]","plainCitation":"[5]","noteIndex":0},"citationItems":[{"id":1355,"uris":["http://zotero.org/groups/2468551/items/88RNM8TY"],"uri":["http://zotero.org/groups/2468551/items/88RNM8TY"],"itemData":{"id":1355,"type":"article-journal","container-title":"British Journal of Haematology","DOI":"10.1111/bjh.16727","ISSN":"0007-1048, 1365-2141","journalAbbreviation":"Br J Haematol","language":"en","page":"bjh.16727","source":"DOI.org (Crossref)","title":"Thromboembolic risk and anticoagulant therapy in COVID</w:instrText>
      </w:r>
      <w:r>
        <w:rPr>
          <w:rFonts w:ascii="Cambria Math" w:hAnsi="Cambria Math" w:cs="Cambria Math"/>
          <w:color w:val="000000" w:themeColor="text1"/>
          <w:sz w:val="20"/>
          <w:szCs w:val="20"/>
          <w:lang w:val="en-US"/>
        </w:rPr>
        <w:instrText>‐</w:instrText>
      </w:r>
      <w:r>
        <w:rPr>
          <w:rFonts w:ascii="Arial" w:hAnsi="Arial" w:cs="Arial"/>
          <w:color w:val="000000" w:themeColor="text1"/>
          <w:sz w:val="20"/>
          <w:szCs w:val="20"/>
          <w:lang w:val="en-US"/>
        </w:rPr>
        <w:instrText>19 patients: emerging evidence and call for action","title-short":"Thromboembolic risk and anticoagulant therapy in COVID</w:instrText>
      </w:r>
      <w:r>
        <w:rPr>
          <w:rFonts w:ascii="Cambria Math" w:hAnsi="Cambria Math" w:cs="Cambria Math"/>
          <w:color w:val="000000" w:themeColor="text1"/>
          <w:sz w:val="20"/>
          <w:szCs w:val="20"/>
          <w:lang w:val="en-US"/>
        </w:rPr>
        <w:instrText>‐</w:instrText>
      </w:r>
      <w:r>
        <w:rPr>
          <w:rFonts w:ascii="Arial" w:hAnsi="Arial" w:cs="Arial"/>
          <w:color w:val="000000" w:themeColor="text1"/>
          <w:sz w:val="20"/>
          <w:szCs w:val="20"/>
          <w:lang w:val="en-US"/>
        </w:rPr>
        <w:instrText xml:space="preserve">19 patients","author":[{"family":"Kollias","given":"Anastasios"},{"family":"Kyriakoulis","given":"Konstantinos G."},{"family":"Dimakakos","given":"Evangelos"},{"family":"Poulakou","given":"Garyphallia"},{"family":"Stergiou","given":"George S."},{"family":"Syrigos","given":"Konstantinos"}],"issued":{"date-parts":[["2020",5,4]]}}}],"schema":"https://github.com/citation-style-language/schema/raw/master/csl-citation.json"}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[5]</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w:t>
      </w:r>
    </w:p>
    <w:p w14:paraId="48D55E3A" w14:textId="7456A24E" w:rsidR="00D160D7" w:rsidRDefault="00D160D7" w:rsidP="00D160D7">
      <w:pPr>
        <w:autoSpaceDE w:val="0"/>
        <w:autoSpaceDN w:val="0"/>
        <w:adjustRightInd w:val="0"/>
        <w:jc w:val="both"/>
        <w:rPr>
          <w:rFonts w:ascii="Arial" w:hAnsi="Arial" w:cs="Arial"/>
          <w:color w:val="000000" w:themeColor="text1"/>
          <w:sz w:val="20"/>
          <w:szCs w:val="20"/>
          <w:lang w:val="en-US"/>
        </w:rPr>
      </w:pPr>
      <w:r>
        <w:rPr>
          <w:rFonts w:ascii="Arial" w:hAnsi="Arial" w:cs="Arial"/>
          <w:color w:val="000000" w:themeColor="text1"/>
          <w:sz w:val="20"/>
          <w:szCs w:val="20"/>
          <w:lang w:val="en-US"/>
        </w:rPr>
        <w:t>- PESI score: predicts 30-day outcome of patients with pulmonary embolism using 11 clinical criteria: age, sex, history of cancer, history of heart failure, history of chronic lung disease, heart rate ≥110, systolic BP &lt;100 mmHg, respiratory rate ≥30, temperature &lt;36ºC/96.8ºF, altered mental status and O2 saturation &lt;90%</w:t>
      </w:r>
      <w:r>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u5kAg4b5","properties":{"formattedCitation":"[6]","plainCitation":"[6]","noteIndex":0},"citationItems":[{"id":2646,"uris":["http://zotero.org/groups/2493706/items/GMSKYQT3"],"uri":["http://zotero.org/groups/2493706/items/GMSKYQT3"],"itemData":{"id":2646,"type":"article-journal","container-title":"Archives of Internal Medicine","DOI":"10.1001/archinternmed.2010.199","ISSN":"0003-9926","issue":"15","journalAbbreviation":"Arch Intern Med","language":"en","page":"1383","source":"DOI.org (Crossref)","title":"Simplification of the Pulmonary Embolism Severity Index for Prognostication in Patients With Acute Symptomatic Pulmonary Embolism","volume":"170","author":[{"family":"Jiménez","given":"David"}],"issued":{"date-parts":[["2010",8,9]]}}}],"schema":"https://github.com/citation-style-language/schema/raw/master/csl-citation.json"} </w:instrText>
      </w:r>
      <w:r>
        <w:rPr>
          <w:rFonts w:ascii="Arial" w:hAnsi="Arial" w:cs="Arial"/>
          <w:color w:val="000000" w:themeColor="text1"/>
          <w:sz w:val="20"/>
          <w:szCs w:val="20"/>
          <w:lang w:val="en-US"/>
        </w:rPr>
        <w:fldChar w:fldCharType="separate"/>
      </w:r>
      <w:r>
        <w:rPr>
          <w:rFonts w:ascii="Arial" w:hAnsi="Arial" w:cs="Arial"/>
          <w:noProof/>
          <w:color w:val="000000" w:themeColor="text1"/>
          <w:sz w:val="20"/>
          <w:szCs w:val="20"/>
          <w:lang w:val="en-US"/>
        </w:rPr>
        <w:t>[6]</w:t>
      </w:r>
      <w:r>
        <w:rPr>
          <w:rFonts w:ascii="Arial" w:hAnsi="Arial" w:cs="Arial"/>
          <w:color w:val="000000" w:themeColor="text1"/>
          <w:sz w:val="20"/>
          <w:szCs w:val="20"/>
          <w:lang w:val="en-US"/>
        </w:rPr>
        <w:fldChar w:fldCharType="end"/>
      </w:r>
      <w:r>
        <w:rPr>
          <w:rFonts w:ascii="Arial" w:hAnsi="Arial" w:cs="Arial"/>
          <w:color w:val="000000" w:themeColor="text1"/>
          <w:sz w:val="20"/>
          <w:szCs w:val="20"/>
          <w:lang w:val="en-US"/>
        </w:rPr>
        <w:t xml:space="preserve">. </w:t>
      </w:r>
    </w:p>
    <w:p w14:paraId="74A24153" w14:textId="0E51198A"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Pr>
          <w:rFonts w:ascii="Arial" w:hAnsi="Arial" w:cs="Arial"/>
          <w:color w:val="000000" w:themeColor="text1"/>
          <w:sz w:val="20"/>
          <w:szCs w:val="20"/>
          <w:lang w:val="en-US"/>
        </w:rPr>
        <w:t>- sPESI score: predicts 30-day outcome of patients with pulmonary embolism, with fewer criteria than the original PESI: age ≥80, history of cancer, history of chronic cardiopulmonary disease, heart rate ≥110, systolic BP ≥100 mmHg, and O2 saturation ≥90%</w:t>
      </w:r>
      <w:r>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UllcC49C","properties":{"formattedCitation":"[6]","plainCitation":"[6]","noteIndex":0},"citationItems":[{"id":2646,"uris":["http://zotero.org/groups/2493706/items/GMSKYQT3"],"uri":["http://zotero.org/groups/2493706/items/GMSKYQT3"],"itemData":{"id":2646,"type":"article-journal","container-title":"Archives of Internal Medicine","DOI":"10.1001/archinternmed.2010.199","ISSN":"0003-9926","issue":"15","journalAbbreviation":"Arch Intern Med","language":"en","page":"1383","source":"DOI.org (Crossref)","title":"Simplification of the Pulmonary Embolism Severity Index for Prognostication in Patients With Acute Symptomatic Pulmonary Embolism","volume":"170","author":[{"family":"Jiménez","given":"David"}],"issued":{"date-parts":[["2010",8,9]]}}}],"schema":"https://github.com/citation-style-language/schema/raw/master/csl-citation.json"} </w:instrText>
      </w:r>
      <w:r>
        <w:rPr>
          <w:rFonts w:ascii="Arial" w:hAnsi="Arial" w:cs="Arial"/>
          <w:color w:val="000000" w:themeColor="text1"/>
          <w:sz w:val="20"/>
          <w:szCs w:val="20"/>
          <w:lang w:val="en-US"/>
        </w:rPr>
        <w:fldChar w:fldCharType="separate"/>
      </w:r>
      <w:r>
        <w:rPr>
          <w:rFonts w:ascii="Arial" w:hAnsi="Arial" w:cs="Arial"/>
          <w:noProof/>
          <w:color w:val="000000" w:themeColor="text1"/>
          <w:sz w:val="20"/>
          <w:szCs w:val="20"/>
          <w:lang w:val="en-US"/>
        </w:rPr>
        <w:t>[6]</w:t>
      </w:r>
      <w:r>
        <w:rPr>
          <w:rFonts w:ascii="Arial" w:hAnsi="Arial" w:cs="Arial"/>
          <w:color w:val="000000" w:themeColor="text1"/>
          <w:sz w:val="20"/>
          <w:szCs w:val="20"/>
          <w:lang w:val="en-US"/>
        </w:rPr>
        <w:fldChar w:fldCharType="end"/>
      </w:r>
      <w:r>
        <w:rPr>
          <w:rFonts w:ascii="Arial" w:hAnsi="Arial" w:cs="Arial"/>
          <w:color w:val="000000" w:themeColor="text1"/>
          <w:sz w:val="20"/>
          <w:szCs w:val="20"/>
          <w:lang w:val="en-US"/>
        </w:rPr>
        <w:t xml:space="preserve">.  </w:t>
      </w:r>
    </w:p>
    <w:p w14:paraId="43D43B81" w14:textId="3A689805" w:rsidR="00D160D7" w:rsidRPr="00D160D7" w:rsidRDefault="00D160D7" w:rsidP="00D160D7">
      <w:pPr>
        <w:autoSpaceDE w:val="0"/>
        <w:autoSpaceDN w:val="0"/>
        <w:adjustRightInd w:val="0"/>
        <w:jc w:val="both"/>
        <w:rPr>
          <w:rFonts w:ascii="Arial" w:hAnsi="Arial" w:cs="Arial"/>
          <w:color w:val="000000" w:themeColor="text1"/>
          <w:sz w:val="20"/>
          <w:szCs w:val="20"/>
          <w:lang w:val="en-US"/>
        </w:rPr>
      </w:pPr>
      <w:r w:rsidRPr="00D160D7">
        <w:rPr>
          <w:rFonts w:ascii="Arial" w:hAnsi="Arial" w:cs="Arial"/>
          <w:color w:val="000000" w:themeColor="text1"/>
          <w:sz w:val="20"/>
          <w:szCs w:val="20"/>
          <w:lang w:val="en-US"/>
        </w:rPr>
        <w:t>- In-transit thrombi: blood thrombus located inside right cavities of the heart, classified into three groups: type A (the most frequent, highly mobile, with serpent form); type B (mostly nonmobile, with a left heart thrombus form); type C (highly mobile, can remember a myxoma)</w:t>
      </w:r>
      <w:r w:rsidRPr="00D160D7">
        <w:rPr>
          <w:rFonts w:ascii="Arial" w:hAnsi="Arial" w:cs="Arial"/>
          <w:color w:val="000000" w:themeColor="text1"/>
          <w:sz w:val="20"/>
          <w:szCs w:val="20"/>
          <w:lang w:val="en-US"/>
        </w:rPr>
        <w:fldChar w:fldCharType="begin"/>
      </w:r>
      <w:r>
        <w:rPr>
          <w:rFonts w:ascii="Arial" w:hAnsi="Arial" w:cs="Arial"/>
          <w:color w:val="000000" w:themeColor="text1"/>
          <w:sz w:val="20"/>
          <w:szCs w:val="20"/>
          <w:lang w:val="en-US"/>
        </w:rPr>
        <w:instrText xml:space="preserve"> ADDIN ZOTERO_ITEM CSL_CITATION {"citationID":"sj3i7D7D","properties":{"formattedCitation":"[7]","plainCitation":"[7]","noteIndex":0},"citationItems":[{"id":204,"uris":["http://zotero.org/groups/2362541/items/S9W2ZQ27"],"uri":["http://zotero.org/groups/2362541/items/S9W2ZQ27"],"itemData":{"id":204,"type":"chapter","container-title":"Thrombolysis in Pulmonary Embolism","event-place":"Switzerland","page":"107-130","publisher":"Springer International Publishing","publisher-place":"Switzerland","title":"Current Guidelines and Recommendations for Thrombolysis Use in Pulmonary Embolism","author":[{"family":"Jerjes-Sánchez","given":"Carlos"}]}}],"schema":"https://github.com/citation-style-language/schema/raw/master/csl-citation.json"} </w:instrText>
      </w:r>
      <w:r w:rsidRPr="00D160D7">
        <w:rPr>
          <w:rFonts w:ascii="Arial" w:hAnsi="Arial" w:cs="Arial"/>
          <w:color w:val="000000" w:themeColor="text1"/>
          <w:sz w:val="20"/>
          <w:szCs w:val="20"/>
          <w:lang w:val="en-US"/>
        </w:rPr>
        <w:fldChar w:fldCharType="separate"/>
      </w:r>
      <w:r>
        <w:rPr>
          <w:rFonts w:ascii="Arial" w:hAnsi="Arial" w:cs="Arial"/>
          <w:sz w:val="20"/>
          <w:szCs w:val="20"/>
          <w:lang w:val="en-US"/>
        </w:rPr>
        <w:t>[7]</w:t>
      </w:r>
      <w:r w:rsidRPr="00D160D7">
        <w:rPr>
          <w:rFonts w:ascii="Arial" w:hAnsi="Arial" w:cs="Arial"/>
          <w:color w:val="000000" w:themeColor="text1"/>
          <w:sz w:val="20"/>
          <w:szCs w:val="20"/>
          <w:lang w:val="en-US"/>
        </w:rPr>
        <w:fldChar w:fldCharType="end"/>
      </w:r>
      <w:r w:rsidRPr="00D160D7">
        <w:rPr>
          <w:rFonts w:ascii="Arial" w:hAnsi="Arial" w:cs="Arial"/>
          <w:color w:val="000000" w:themeColor="text1"/>
          <w:sz w:val="20"/>
          <w:szCs w:val="20"/>
          <w:lang w:val="en-US"/>
        </w:rPr>
        <w:t xml:space="preserve">. </w:t>
      </w:r>
    </w:p>
    <w:p w14:paraId="3FFBAAAA" w14:textId="6E3638B9"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Immunothrombosis: thrombosis mechanism that includes innate immune mechanisms, the neutrophil extracellular genetic traps, and the immunothrombosis dysregulation</w:t>
      </w:r>
      <w:r w:rsidRPr="00D160D7">
        <w:rPr>
          <w:rFonts w:ascii="Arial" w:hAnsi="Arial" w:cs="Arial"/>
          <w:sz w:val="20"/>
          <w:szCs w:val="20"/>
          <w:lang w:val="en-US"/>
        </w:rPr>
        <w:fldChar w:fldCharType="begin"/>
      </w:r>
      <w:r>
        <w:rPr>
          <w:rFonts w:ascii="Arial" w:hAnsi="Arial" w:cs="Arial"/>
          <w:sz w:val="20"/>
          <w:szCs w:val="20"/>
          <w:lang w:val="en-US"/>
        </w:rPr>
        <w:instrText xml:space="preserve"> ADDIN ZOTERO_ITEM CSL_CITATION {"citationID":"0A31cZKe","properties":{"formattedCitation":"[8]","plainCitation":"[8]","noteIndex":0},"citationItems":[{"id":484,"uris":["http://zotero.org/groups/2468551/items/UVK4VKLR"],"uri":["http://zotero.org/groups/2468551/items/UVK4VKLR"],"itemData":{"id":484,"type":"article-journal","container-title":"Journal of Thrombosis and Thrombolysis","DOI":"10.1007/s11239-017-1528-7","ISSN":"0929-5305, 1573-742X","issue":"3","journalAbbreviation":"J Thromb Thrombolysis","language":"en","page":"377-385","source":"DOI.org (Crossref)","title":"Venous thromboembolism: thrombosis, inflammation, and immunothrombosis for clinicians","title-short":"Venous thromboembolism","volume":"44","author":[{"family":"Vazquez-Garza","given":"Eduardo"},{"family":"Jerjes-Sanchez","given":"Carlos"},{"family":"Navarrete","given":"Aline"},{"family":"Joya-Harrison","given":"Jorge"},{"family":"Rodriguez","given":"David"}],"issued":{"date-parts":[["2017",10]]}}}],"schema":"https://github.com/citation-style-language/schema/raw/master/csl-citation.json"} </w:instrText>
      </w:r>
      <w:r w:rsidRPr="00D160D7">
        <w:rPr>
          <w:rFonts w:ascii="Arial" w:hAnsi="Arial" w:cs="Arial"/>
          <w:sz w:val="20"/>
          <w:szCs w:val="20"/>
          <w:lang w:val="en-US"/>
        </w:rPr>
        <w:fldChar w:fldCharType="separate"/>
      </w:r>
      <w:r>
        <w:rPr>
          <w:rFonts w:ascii="Arial" w:hAnsi="Arial" w:cs="Arial"/>
          <w:sz w:val="20"/>
          <w:szCs w:val="20"/>
          <w:lang w:val="en-US"/>
        </w:rPr>
        <w:t>[8]</w:t>
      </w:r>
      <w:r w:rsidRPr="00D160D7">
        <w:rPr>
          <w:rFonts w:ascii="Arial" w:hAnsi="Arial" w:cs="Arial"/>
          <w:sz w:val="20"/>
          <w:szCs w:val="20"/>
          <w:lang w:val="en-US"/>
        </w:rPr>
        <w:fldChar w:fldCharType="end"/>
      </w:r>
      <w:r w:rsidRPr="00D160D7">
        <w:rPr>
          <w:rFonts w:ascii="Arial" w:hAnsi="Arial" w:cs="Arial"/>
          <w:sz w:val="20"/>
          <w:szCs w:val="20"/>
          <w:lang w:val="en-US"/>
        </w:rPr>
        <w:t>.</w:t>
      </w:r>
    </w:p>
    <w:p w14:paraId="34CF1DB1" w14:textId="475A95B0" w:rsidR="00D160D7" w:rsidRPr="00D160D7" w:rsidRDefault="00D160D7" w:rsidP="00D160D7">
      <w:pPr>
        <w:jc w:val="both"/>
        <w:rPr>
          <w:rFonts w:ascii="Arial" w:hAnsi="Arial" w:cs="Arial"/>
          <w:sz w:val="20"/>
          <w:szCs w:val="20"/>
          <w:lang w:val="en-US"/>
        </w:rPr>
      </w:pPr>
      <w:r w:rsidRPr="00D160D7">
        <w:rPr>
          <w:rFonts w:ascii="Arial" w:hAnsi="Arial" w:cs="Arial"/>
          <w:sz w:val="20"/>
          <w:szCs w:val="20"/>
          <w:lang w:val="en-US"/>
        </w:rPr>
        <w:t>- Cytokine storm: Release of inflammatory cytokines triggered by a wide variety of molecular patterns that can be found in microorganisms, which will induce new cytokine production and release that will, in turn, cause cell and organ damage. This cytokine storm is likely responsible for the diverse, local, and remote, signs associated with infection</w:t>
      </w:r>
      <w:r w:rsidRPr="00D160D7">
        <w:rPr>
          <w:rFonts w:ascii="Arial" w:hAnsi="Arial" w:cs="Arial"/>
          <w:sz w:val="20"/>
          <w:szCs w:val="20"/>
          <w:lang w:val="en-US"/>
        </w:rPr>
        <w:fldChar w:fldCharType="begin"/>
      </w:r>
      <w:r>
        <w:rPr>
          <w:rFonts w:ascii="Arial" w:hAnsi="Arial" w:cs="Arial"/>
          <w:sz w:val="20"/>
          <w:szCs w:val="20"/>
          <w:lang w:val="en-US"/>
        </w:rPr>
        <w:instrText xml:space="preserve"> ADDIN ZOTERO_ITEM CSL_CITATION {"citationID":"TitRy0NJ","properties":{"formattedCitation":"[9]","plainCitation":"[9]","noteIndex":0},"citationItems":[{"id":1471,"uris":["http://zotero.org/groups/2362541/items/45NKTQGH"],"uri":["http://zotero.org/groups/2362541/items/45NKTQGH"],"itemData":{"id":1471,"type":"article-journal","container-title":"Seminars in Immunopathology","DOI":"10.1007/s00281-017-0639-8","ISSN":"1863-2297, 1863-2300","issue":"5","journalAbbreviation":"Semin Immunopathol","language":"en","page":"517-528","source":"DOI.org (Crossref)","title":"Cytokine storm and sepsis disease pathogenesis","volume":"39","author":[{"family":"Chousterman","given":"Benjamin G."},{"family":"Swirski","given":"Filip K."},{"family":"Weber","given":"Georg F."}],"issued":{"date-parts":[["2017",7]]}}}],"schema":"https://github.com/citation-style-language/schema/raw/master/csl-citation.json"} </w:instrText>
      </w:r>
      <w:r w:rsidRPr="00D160D7">
        <w:rPr>
          <w:rFonts w:ascii="Arial" w:hAnsi="Arial" w:cs="Arial"/>
          <w:sz w:val="20"/>
          <w:szCs w:val="20"/>
          <w:lang w:val="en-US"/>
        </w:rPr>
        <w:fldChar w:fldCharType="separate"/>
      </w:r>
      <w:r>
        <w:rPr>
          <w:rFonts w:ascii="Arial" w:hAnsi="Arial" w:cs="Arial"/>
          <w:sz w:val="20"/>
          <w:szCs w:val="20"/>
          <w:lang w:val="en-US"/>
        </w:rPr>
        <w:t>[9]</w:t>
      </w:r>
      <w:r w:rsidRPr="00D160D7">
        <w:rPr>
          <w:rFonts w:ascii="Arial" w:hAnsi="Arial" w:cs="Arial"/>
          <w:sz w:val="20"/>
          <w:szCs w:val="20"/>
          <w:lang w:val="en-US"/>
        </w:rPr>
        <w:fldChar w:fldCharType="end"/>
      </w:r>
      <w:r w:rsidRPr="00D160D7">
        <w:rPr>
          <w:rFonts w:ascii="Arial" w:hAnsi="Arial" w:cs="Arial"/>
          <w:sz w:val="20"/>
          <w:szCs w:val="20"/>
          <w:lang w:val="en-US"/>
        </w:rPr>
        <w:t>.</w:t>
      </w:r>
    </w:p>
    <w:p w14:paraId="3185EEE8" w14:textId="584D68F8" w:rsidR="00D160D7" w:rsidRDefault="00D160D7">
      <w:pPr>
        <w:rPr>
          <w:lang w:val="en-US"/>
        </w:rPr>
      </w:pPr>
    </w:p>
    <w:p w14:paraId="0685B63C" w14:textId="77777777" w:rsidR="00D160D7" w:rsidRPr="00D160D7" w:rsidRDefault="00D160D7" w:rsidP="00D160D7">
      <w:pPr>
        <w:pStyle w:val="Bibliography"/>
        <w:rPr>
          <w:rFonts w:ascii="Calibri" w:cs="Calibri"/>
        </w:rPr>
      </w:pPr>
      <w:r>
        <w:fldChar w:fldCharType="begin"/>
      </w:r>
      <w:r>
        <w:instrText xml:space="preserve"> ADDIN ZOTERO_BIBL {"uncited":[],"omitted":[],"custom":[]} CSL_BIBLIOGRAPHY </w:instrText>
      </w:r>
      <w:r>
        <w:fldChar w:fldCharType="separate"/>
      </w:r>
      <w:r w:rsidRPr="00D160D7">
        <w:rPr>
          <w:rFonts w:ascii="Calibri" w:cs="Calibri"/>
        </w:rPr>
        <w:t xml:space="preserve">1. </w:t>
      </w:r>
      <w:r w:rsidRPr="00D160D7">
        <w:rPr>
          <w:rFonts w:ascii="Calibri" w:cs="Calibri"/>
        </w:rPr>
        <w:tab/>
      </w:r>
      <w:proofErr w:type="spellStart"/>
      <w:r w:rsidRPr="00D160D7">
        <w:rPr>
          <w:rFonts w:ascii="Calibri" w:cs="Calibri"/>
        </w:rPr>
        <w:t>Konstantinides</w:t>
      </w:r>
      <w:proofErr w:type="spellEnd"/>
      <w:r w:rsidRPr="00D160D7">
        <w:rPr>
          <w:rFonts w:ascii="Calibri" w:cs="Calibri"/>
        </w:rPr>
        <w:t xml:space="preserve"> SV, Meyer G, </w:t>
      </w:r>
      <w:proofErr w:type="spellStart"/>
      <w:r w:rsidRPr="00D160D7">
        <w:rPr>
          <w:rFonts w:ascii="Calibri" w:cs="Calibri"/>
        </w:rPr>
        <w:t>Becattini</w:t>
      </w:r>
      <w:proofErr w:type="spellEnd"/>
      <w:r w:rsidRPr="00D160D7">
        <w:rPr>
          <w:rFonts w:ascii="Calibri" w:cs="Calibri"/>
        </w:rPr>
        <w:t xml:space="preserve"> C, et al (2019) 2019 ESC Guidelines for the diagnosis and management of acute pulmonary embolism developed in collaboration with the European Respiratory Society (ERS). European Heart Journal ehz405. https://doi.org/10.1093/eurheartj/ehz405</w:t>
      </w:r>
    </w:p>
    <w:p w14:paraId="52ACDF28" w14:textId="77777777" w:rsidR="00D160D7" w:rsidRPr="00D160D7" w:rsidRDefault="00D160D7" w:rsidP="00D160D7">
      <w:pPr>
        <w:pStyle w:val="Bibliography"/>
        <w:rPr>
          <w:rFonts w:ascii="Calibri" w:cs="Calibri"/>
        </w:rPr>
      </w:pPr>
      <w:r w:rsidRPr="00D160D7">
        <w:rPr>
          <w:rFonts w:ascii="Calibri" w:cs="Calibri"/>
        </w:rPr>
        <w:t xml:space="preserve">2. </w:t>
      </w:r>
      <w:r w:rsidRPr="00D160D7">
        <w:rPr>
          <w:rFonts w:ascii="Calibri" w:cs="Calibri"/>
        </w:rPr>
        <w:tab/>
        <w:t xml:space="preserve">Mazzolai L, </w:t>
      </w:r>
      <w:proofErr w:type="spellStart"/>
      <w:r w:rsidRPr="00D160D7">
        <w:rPr>
          <w:rFonts w:ascii="Calibri" w:cs="Calibri"/>
        </w:rPr>
        <w:t>Aboyans</w:t>
      </w:r>
      <w:proofErr w:type="spellEnd"/>
      <w:r w:rsidRPr="00D160D7">
        <w:rPr>
          <w:rFonts w:ascii="Calibri" w:cs="Calibri"/>
        </w:rPr>
        <w:t xml:space="preserve"> V, </w:t>
      </w:r>
      <w:proofErr w:type="spellStart"/>
      <w:r w:rsidRPr="00D160D7">
        <w:rPr>
          <w:rFonts w:ascii="Calibri" w:cs="Calibri"/>
        </w:rPr>
        <w:t>Ageno</w:t>
      </w:r>
      <w:proofErr w:type="spellEnd"/>
      <w:r w:rsidRPr="00D160D7">
        <w:rPr>
          <w:rFonts w:ascii="Calibri" w:cs="Calibri"/>
        </w:rPr>
        <w:t xml:space="preserve"> W, et al (2018) Diagnosis and management of acute deep vein thrombosis: a joint consensus document from the European Society of Cardiology working groups of aorta and peripheral vascular diseases and pulmonary circulation and right ventricular function. European Heart Journal 39:4208–4218. https://doi.org/10.1093/eurheartj/ehx003</w:t>
      </w:r>
    </w:p>
    <w:p w14:paraId="4CF9E6AF" w14:textId="77777777" w:rsidR="00D160D7" w:rsidRPr="00D160D7" w:rsidRDefault="00D160D7" w:rsidP="00D160D7">
      <w:pPr>
        <w:pStyle w:val="Bibliography"/>
        <w:rPr>
          <w:rFonts w:ascii="Calibri" w:cs="Calibri"/>
        </w:rPr>
      </w:pPr>
      <w:r w:rsidRPr="00D160D7">
        <w:rPr>
          <w:rFonts w:ascii="Calibri" w:cs="Calibri"/>
        </w:rPr>
        <w:t xml:space="preserve">3. </w:t>
      </w:r>
      <w:r w:rsidRPr="00D160D7">
        <w:rPr>
          <w:rFonts w:ascii="Calibri" w:cs="Calibri"/>
        </w:rPr>
        <w:tab/>
      </w:r>
      <w:proofErr w:type="spellStart"/>
      <w:r w:rsidRPr="00D160D7">
        <w:rPr>
          <w:rFonts w:ascii="Calibri" w:cs="Calibri"/>
        </w:rPr>
        <w:t>Jaff</w:t>
      </w:r>
      <w:proofErr w:type="spellEnd"/>
      <w:r w:rsidRPr="00D160D7">
        <w:rPr>
          <w:rFonts w:ascii="Calibri" w:cs="Calibri"/>
        </w:rPr>
        <w:t xml:space="preserve"> MR, McMurtry MS, Archer SL, et al (2011) Management of Massive and Submassive Pulmonary Embolism, Iliofemoral Deep Vein Thrombosis, and Chronic Thromboembolic Pulmonary Hypertension: A Scientific Statement </w:t>
      </w:r>
      <w:proofErr w:type="gramStart"/>
      <w:r w:rsidRPr="00D160D7">
        <w:rPr>
          <w:rFonts w:ascii="Calibri" w:cs="Calibri"/>
        </w:rPr>
        <w:t>From</w:t>
      </w:r>
      <w:proofErr w:type="gramEnd"/>
      <w:r w:rsidRPr="00D160D7">
        <w:rPr>
          <w:rFonts w:ascii="Calibri" w:cs="Calibri"/>
        </w:rPr>
        <w:t xml:space="preserve"> the American Heart Association. Circulation 123:1788–1830. https://doi.org/10.1161/CIR.0b013e318214914f</w:t>
      </w:r>
    </w:p>
    <w:p w14:paraId="2A13A9A8" w14:textId="77777777" w:rsidR="00D160D7" w:rsidRPr="00D160D7" w:rsidRDefault="00D160D7" w:rsidP="00D160D7">
      <w:pPr>
        <w:pStyle w:val="Bibliography"/>
        <w:rPr>
          <w:rFonts w:ascii="Calibri" w:cs="Calibri"/>
        </w:rPr>
      </w:pPr>
      <w:r w:rsidRPr="00D160D7">
        <w:rPr>
          <w:rFonts w:ascii="Calibri" w:cs="Calibri"/>
        </w:rPr>
        <w:t xml:space="preserve">4. </w:t>
      </w:r>
      <w:r w:rsidRPr="00D160D7">
        <w:rPr>
          <w:rFonts w:ascii="Calibri" w:cs="Calibri"/>
        </w:rPr>
        <w:tab/>
        <w:t xml:space="preserve">ten Cate V, Eggebrecht L, Schulz A, et al (2020) Isolated Pulmonary Embolism Is Associated </w:t>
      </w:r>
      <w:proofErr w:type="gramStart"/>
      <w:r w:rsidRPr="00D160D7">
        <w:rPr>
          <w:rFonts w:ascii="Calibri" w:cs="Calibri"/>
        </w:rPr>
        <w:t>With</w:t>
      </w:r>
      <w:proofErr w:type="gramEnd"/>
      <w:r w:rsidRPr="00D160D7">
        <w:rPr>
          <w:rFonts w:ascii="Calibri" w:cs="Calibri"/>
        </w:rPr>
        <w:t xml:space="preserve"> a High Risk of Arterial Thrombotic Disease. Chest 158:341–349. https://doi.org/10.1016/j.chest.2020.01.055</w:t>
      </w:r>
    </w:p>
    <w:p w14:paraId="4F6062F4" w14:textId="77777777" w:rsidR="00D160D7" w:rsidRPr="00D160D7" w:rsidRDefault="00D160D7" w:rsidP="00D160D7">
      <w:pPr>
        <w:pStyle w:val="Bibliography"/>
        <w:rPr>
          <w:rFonts w:ascii="Calibri" w:cs="Calibri"/>
        </w:rPr>
      </w:pPr>
      <w:r w:rsidRPr="00D160D7">
        <w:rPr>
          <w:rFonts w:ascii="Calibri" w:cs="Calibri"/>
        </w:rPr>
        <w:t xml:space="preserve">5. </w:t>
      </w:r>
      <w:r w:rsidRPr="00D160D7">
        <w:rPr>
          <w:rFonts w:ascii="Calibri" w:cs="Calibri"/>
        </w:rPr>
        <w:tab/>
      </w:r>
      <w:proofErr w:type="spellStart"/>
      <w:r w:rsidRPr="00D160D7">
        <w:rPr>
          <w:rFonts w:ascii="Calibri" w:cs="Calibri"/>
        </w:rPr>
        <w:t>Kollias</w:t>
      </w:r>
      <w:proofErr w:type="spellEnd"/>
      <w:r w:rsidRPr="00D160D7">
        <w:rPr>
          <w:rFonts w:ascii="Calibri" w:cs="Calibri"/>
        </w:rPr>
        <w:t xml:space="preserve"> A, </w:t>
      </w:r>
      <w:proofErr w:type="spellStart"/>
      <w:r w:rsidRPr="00D160D7">
        <w:rPr>
          <w:rFonts w:ascii="Calibri" w:cs="Calibri"/>
        </w:rPr>
        <w:t>Kyriakoulis</w:t>
      </w:r>
      <w:proofErr w:type="spellEnd"/>
      <w:r w:rsidRPr="00D160D7">
        <w:rPr>
          <w:rFonts w:ascii="Calibri" w:cs="Calibri"/>
        </w:rPr>
        <w:t xml:space="preserve"> KG, Dimakakos E, et al (2020) Thromboembolic risk and anticoagulant therapy in COVID‐19 patients: emerging evidence and call for action. Br J </w:t>
      </w:r>
      <w:proofErr w:type="spellStart"/>
      <w:r w:rsidRPr="00D160D7">
        <w:rPr>
          <w:rFonts w:ascii="Calibri" w:cs="Calibri"/>
        </w:rPr>
        <w:t>Haematol</w:t>
      </w:r>
      <w:proofErr w:type="spellEnd"/>
      <w:r w:rsidRPr="00D160D7">
        <w:rPr>
          <w:rFonts w:ascii="Calibri" w:cs="Calibri"/>
        </w:rPr>
        <w:t xml:space="preserve"> bjh.16727. https://doi.org/10.1111/bjh.16727</w:t>
      </w:r>
    </w:p>
    <w:p w14:paraId="3FC10B13" w14:textId="77777777" w:rsidR="00D160D7" w:rsidRPr="00D160D7" w:rsidRDefault="00D160D7" w:rsidP="00D160D7">
      <w:pPr>
        <w:pStyle w:val="Bibliography"/>
        <w:rPr>
          <w:rFonts w:ascii="Calibri" w:cs="Calibri"/>
        </w:rPr>
      </w:pPr>
      <w:r w:rsidRPr="00D160D7">
        <w:rPr>
          <w:rFonts w:ascii="Calibri" w:cs="Calibri"/>
        </w:rPr>
        <w:t xml:space="preserve">6. </w:t>
      </w:r>
      <w:r w:rsidRPr="00D160D7">
        <w:rPr>
          <w:rFonts w:ascii="Calibri" w:cs="Calibri"/>
        </w:rPr>
        <w:tab/>
        <w:t xml:space="preserve">Jiménez D (2010) Simplification of the Pulmonary Embolism Severity Index for Prognostication in Patients </w:t>
      </w:r>
      <w:proofErr w:type="gramStart"/>
      <w:r w:rsidRPr="00D160D7">
        <w:rPr>
          <w:rFonts w:ascii="Calibri" w:cs="Calibri"/>
        </w:rPr>
        <w:t>With</w:t>
      </w:r>
      <w:proofErr w:type="gramEnd"/>
      <w:r w:rsidRPr="00D160D7">
        <w:rPr>
          <w:rFonts w:ascii="Calibri" w:cs="Calibri"/>
        </w:rPr>
        <w:t xml:space="preserve"> Acute Symptomatic Pulmonary Embolism. Arch Intern Med 170:1383. https://doi.org/10.1001/archinternmed.2010.199</w:t>
      </w:r>
    </w:p>
    <w:p w14:paraId="6BD2A8F9" w14:textId="77777777" w:rsidR="00D160D7" w:rsidRPr="00D160D7" w:rsidRDefault="00D160D7" w:rsidP="00D160D7">
      <w:pPr>
        <w:pStyle w:val="Bibliography"/>
        <w:rPr>
          <w:rFonts w:ascii="Calibri" w:cs="Calibri"/>
        </w:rPr>
      </w:pPr>
      <w:r w:rsidRPr="00D160D7">
        <w:rPr>
          <w:rFonts w:ascii="Calibri" w:cs="Calibri"/>
        </w:rPr>
        <w:lastRenderedPageBreak/>
        <w:t xml:space="preserve">7. </w:t>
      </w:r>
      <w:r w:rsidRPr="00D160D7">
        <w:rPr>
          <w:rFonts w:ascii="Calibri" w:cs="Calibri"/>
        </w:rPr>
        <w:tab/>
        <w:t>Jerjes-Sánchez C Current Guidelines and Recommendations for Thrombolysis Use in Pulmonary Embolism. In: Thrombolysis in Pulmonary Embolism. Springer International Publishing, Switzerland, pp 107–130</w:t>
      </w:r>
    </w:p>
    <w:p w14:paraId="0BA946D4" w14:textId="77777777" w:rsidR="00D160D7" w:rsidRPr="00D160D7" w:rsidRDefault="00D160D7" w:rsidP="00D160D7">
      <w:pPr>
        <w:pStyle w:val="Bibliography"/>
        <w:rPr>
          <w:rFonts w:ascii="Calibri" w:cs="Calibri"/>
        </w:rPr>
      </w:pPr>
      <w:r w:rsidRPr="00D160D7">
        <w:rPr>
          <w:rFonts w:ascii="Calibri" w:cs="Calibri"/>
        </w:rPr>
        <w:t xml:space="preserve">8. </w:t>
      </w:r>
      <w:r w:rsidRPr="00D160D7">
        <w:rPr>
          <w:rFonts w:ascii="Calibri" w:cs="Calibri"/>
        </w:rPr>
        <w:tab/>
        <w:t xml:space="preserve">Vazquez-Garza E, Jerjes-Sanchez C, Navarrete A, et al (2017) Venous thromboembolism: thrombosis, inflammation, and immunothrombosis for clinicians. J </w:t>
      </w:r>
      <w:proofErr w:type="spellStart"/>
      <w:r w:rsidRPr="00D160D7">
        <w:rPr>
          <w:rFonts w:ascii="Calibri" w:cs="Calibri"/>
        </w:rPr>
        <w:t>Thromb</w:t>
      </w:r>
      <w:proofErr w:type="spellEnd"/>
      <w:r w:rsidRPr="00D160D7">
        <w:rPr>
          <w:rFonts w:ascii="Calibri" w:cs="Calibri"/>
        </w:rPr>
        <w:t xml:space="preserve"> Thrombolysis 44:377–385. https://doi.org/10.1007/s11239-017-1528-7</w:t>
      </w:r>
    </w:p>
    <w:p w14:paraId="780EFBEB" w14:textId="77777777" w:rsidR="00D160D7" w:rsidRPr="00D160D7" w:rsidRDefault="00D160D7" w:rsidP="00D160D7">
      <w:pPr>
        <w:pStyle w:val="Bibliography"/>
        <w:rPr>
          <w:rFonts w:ascii="Calibri" w:cs="Calibri"/>
        </w:rPr>
      </w:pPr>
      <w:r w:rsidRPr="00D160D7">
        <w:rPr>
          <w:rFonts w:ascii="Calibri" w:cs="Calibri"/>
        </w:rPr>
        <w:t xml:space="preserve">9. </w:t>
      </w:r>
      <w:r w:rsidRPr="00D160D7">
        <w:rPr>
          <w:rFonts w:ascii="Calibri" w:cs="Calibri"/>
        </w:rPr>
        <w:tab/>
        <w:t xml:space="preserve">Chousterman BG, </w:t>
      </w:r>
      <w:proofErr w:type="spellStart"/>
      <w:r w:rsidRPr="00D160D7">
        <w:rPr>
          <w:rFonts w:ascii="Calibri" w:cs="Calibri"/>
        </w:rPr>
        <w:t>Swirski</w:t>
      </w:r>
      <w:proofErr w:type="spellEnd"/>
      <w:r w:rsidRPr="00D160D7">
        <w:rPr>
          <w:rFonts w:ascii="Calibri" w:cs="Calibri"/>
        </w:rPr>
        <w:t xml:space="preserve"> FK, Weber GF (2017) Cytokine storm and sepsis disease pathogenesis. Semin </w:t>
      </w:r>
      <w:proofErr w:type="spellStart"/>
      <w:r w:rsidRPr="00D160D7">
        <w:rPr>
          <w:rFonts w:ascii="Calibri" w:cs="Calibri"/>
        </w:rPr>
        <w:t>Immunopathol</w:t>
      </w:r>
      <w:proofErr w:type="spellEnd"/>
      <w:r w:rsidRPr="00D160D7">
        <w:rPr>
          <w:rFonts w:ascii="Calibri" w:cs="Calibri"/>
        </w:rPr>
        <w:t xml:space="preserve"> 39:517–528. https://doi.org/10.1007/s00281-017-0639-8</w:t>
      </w:r>
    </w:p>
    <w:p w14:paraId="2CC0E7E2" w14:textId="3A5ED889" w:rsidR="00D160D7" w:rsidRDefault="00D160D7">
      <w:pPr>
        <w:rPr>
          <w:lang w:val="en-US"/>
        </w:rPr>
      </w:pPr>
      <w:r>
        <w:rPr>
          <w:lang w:val="en-US"/>
        </w:rPr>
        <w:fldChar w:fldCharType="end"/>
      </w:r>
    </w:p>
    <w:p w14:paraId="4EAD67BE" w14:textId="77777777" w:rsidR="00D160D7" w:rsidRPr="00D160D7" w:rsidRDefault="00D160D7">
      <w:pPr>
        <w:rPr>
          <w:lang w:val="en-US"/>
        </w:rPr>
      </w:pPr>
    </w:p>
    <w:sectPr w:rsidR="00D160D7" w:rsidRPr="00D160D7" w:rsidSect="000A42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60D7"/>
    <w:rsid w:val="000A42A0"/>
    <w:rsid w:val="004673E6"/>
    <w:rsid w:val="008C0D76"/>
    <w:rsid w:val="00D160D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4:docId w14:val="29F325C9"/>
  <w15:chartTrackingRefBased/>
  <w15:docId w15:val="{56111E60-4D95-044B-87EB-709094799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s-MX"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ibliography">
    <w:name w:val="Bibliography"/>
    <w:basedOn w:val="Normal"/>
    <w:link w:val="BibliographyCar"/>
    <w:rsid w:val="00D160D7"/>
    <w:pPr>
      <w:tabs>
        <w:tab w:val="left" w:pos="380"/>
      </w:tabs>
      <w:spacing w:after="240"/>
      <w:ind w:left="384" w:hanging="384"/>
    </w:pPr>
    <w:rPr>
      <w:lang w:val="en-US"/>
    </w:rPr>
  </w:style>
  <w:style w:type="character" w:customStyle="1" w:styleId="BibliographyCar">
    <w:name w:val="Bibliography Car"/>
    <w:basedOn w:val="Fuentedeprrafopredeter"/>
    <w:link w:val="Bibliography"/>
    <w:rsid w:val="00D160D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7443</Words>
  <Characters>40939</Characters>
  <Application>Microsoft Office Word</Application>
  <DocSecurity>0</DocSecurity>
  <Lines>341</Lines>
  <Paragraphs>96</Paragraphs>
  <ScaleCrop>false</ScaleCrop>
  <Company/>
  <LinksUpToDate>false</LinksUpToDate>
  <CharactersWithSpaces>48286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Mauricio Castillo</dc:creator>
  <cp:keywords/>
  <dc:description/>
  <cp:lastModifiedBy>Mauricio Castillo</cp:lastModifiedBy>
  <cp:revision>1</cp:revision>
  <dcterms:created xsi:type="dcterms:W3CDTF">2021-03-10T02:38:00Z</dcterms:created>
  <dcterms:modified xsi:type="dcterms:W3CDTF">2021-03-10T02:51:00Z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zotero-version="5.0.95.3"&gt;&lt;session id="XwNUaqxp"/&gt;&lt;style id="http://www.zotero.org/styles/journal-of-thrombosis-and-thrombolysis" hasBibliography="1" bibliographyStyleHasBeenSet="1"/&gt;&lt;prefs&gt;&lt;pref name="fieldType" value="Field"/&gt;&lt;/pr</vt:lpwstr>
  </property>
  <property fmtid="{D5CDD505-2E9C-101B-9397-08002B2CF9AE}" pid="3" name="ZOTERO_PREF_2">
    <vt:lpwstr>efs&gt;&lt;/data&gt;</vt:lpwstr>
  </property>
</Properties>
</file>