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ACA" w:rsidRPr="00BE1ACA" w:rsidRDefault="00BE1ACA" w:rsidP="00BE1ACA">
      <w:pPr>
        <w:adjustRightInd w:val="0"/>
        <w:spacing w:before="240" w:line="360" w:lineRule="auto"/>
        <w:ind w:rightChars="50" w:right="105"/>
        <w:jc w:val="center"/>
        <w:rPr>
          <w:rFonts w:ascii="Arial Narrow" w:hAnsi="Arial Narrow" w:cs="Times New Roman"/>
          <w:b/>
          <w:color w:val="000000" w:themeColor="text1"/>
          <w:kern w:val="0"/>
          <w:sz w:val="32"/>
          <w:szCs w:val="32"/>
        </w:rPr>
      </w:pPr>
      <w:r w:rsidRPr="00BE1ACA">
        <w:rPr>
          <w:rFonts w:ascii="Arial Narrow" w:hAnsi="Arial Narrow" w:cs="Times New Roman"/>
          <w:b/>
          <w:color w:val="000000" w:themeColor="text1"/>
          <w:kern w:val="0"/>
          <w:sz w:val="32"/>
          <w:szCs w:val="32"/>
        </w:rPr>
        <w:t>Supplementary</w:t>
      </w:r>
    </w:p>
    <w:p w:rsidR="00BE1ACA" w:rsidRPr="00BE1ACA" w:rsidRDefault="00BE1ACA" w:rsidP="00BE1ACA">
      <w:pPr>
        <w:adjustRightInd w:val="0"/>
        <w:spacing w:before="240" w:line="360" w:lineRule="auto"/>
        <w:ind w:rightChars="50" w:right="105"/>
        <w:rPr>
          <w:rFonts w:ascii="Arial Narrow" w:hAnsi="Arial Narrow" w:cs="Times New Roman"/>
          <w:b/>
          <w:color w:val="000000" w:themeColor="text1"/>
          <w:kern w:val="0"/>
          <w:sz w:val="22"/>
        </w:rPr>
      </w:pPr>
    </w:p>
    <w:p w:rsidR="00BE1ACA" w:rsidRPr="00BE1ACA" w:rsidRDefault="00BE1ACA" w:rsidP="00BE1ACA">
      <w:pPr>
        <w:adjustRightInd w:val="0"/>
        <w:spacing w:before="240" w:line="360" w:lineRule="auto"/>
        <w:ind w:rightChars="50" w:right="105"/>
        <w:rPr>
          <w:rFonts w:ascii="Arial Narrow" w:hAnsi="Arial Narrow" w:cs="Times New Roman"/>
          <w:b/>
          <w:color w:val="000000" w:themeColor="text1"/>
          <w:kern w:val="0"/>
          <w:sz w:val="22"/>
        </w:rPr>
      </w:pPr>
      <w:r w:rsidRPr="00BE1ACA">
        <w:rPr>
          <w:rFonts w:ascii="Arial Narrow" w:hAnsi="Arial Narrow" w:cs="Times New Roman"/>
          <w:b/>
          <w:color w:val="000000" w:themeColor="text1"/>
          <w:kern w:val="0"/>
          <w:sz w:val="22"/>
        </w:rPr>
        <w:t xml:space="preserve">Fig. S1. 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Age composition of the population in Shanghai </w:t>
      </w:r>
      <w:r w:rsidRPr="00BE1ACA">
        <w:rPr>
          <w:rFonts w:ascii="Arial Narrow" w:hAnsi="Arial Narrow" w:cs="Times New Roman"/>
          <w:color w:val="000000" w:themeColor="text1"/>
          <w:sz w:val="22"/>
        </w:rPr>
        <w:t>Pudong New Area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 from </w:t>
      </w:r>
      <w:r w:rsidR="00CC52BB">
        <w:rPr>
          <w:rFonts w:ascii="Arial Narrow" w:hAnsi="Arial Narrow" w:cs="Times New Roman"/>
          <w:color w:val="000000" w:themeColor="text1"/>
          <w:kern w:val="0"/>
          <w:sz w:val="22"/>
        </w:rPr>
        <w:t>1973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 to 201</w:t>
      </w:r>
      <w:r w:rsidR="00CC52BB">
        <w:rPr>
          <w:rFonts w:ascii="Arial Narrow" w:hAnsi="Arial Narrow" w:cs="Times New Roman"/>
          <w:color w:val="000000" w:themeColor="text1"/>
          <w:kern w:val="0"/>
          <w:sz w:val="22"/>
        </w:rPr>
        <w:t>9.</w:t>
      </w:r>
    </w:p>
    <w:p w:rsidR="00BE1ACA" w:rsidRPr="00BE1ACA" w:rsidRDefault="00BE1ACA" w:rsidP="00BE1ACA">
      <w:pPr>
        <w:adjustRightInd w:val="0"/>
        <w:spacing w:before="240" w:line="360" w:lineRule="auto"/>
        <w:ind w:rightChars="50" w:right="105"/>
        <w:rPr>
          <w:rFonts w:ascii="Arial Narrow" w:hAnsi="Arial Narrow" w:cs="Times New Roman" w:hint="eastAsia"/>
          <w:color w:val="000000" w:themeColor="text1"/>
          <w:sz w:val="22"/>
        </w:rPr>
      </w:pPr>
      <w:r w:rsidRPr="00BE1ACA">
        <w:rPr>
          <w:rFonts w:ascii="Arial Narrow" w:hAnsi="Arial Narrow" w:cs="Times New Roman"/>
          <w:b/>
          <w:color w:val="000000" w:themeColor="text1"/>
          <w:kern w:val="0"/>
          <w:sz w:val="22"/>
        </w:rPr>
        <w:t xml:space="preserve">Fig. S2. 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Trends of the proportion of </w:t>
      </w:r>
      <w:r w:rsidRPr="00BE1ACA">
        <w:rPr>
          <w:rFonts w:ascii="Arial Narrow" w:eastAsia="宋体" w:hAnsi="Arial Narrow" w:cs="Times New Roman"/>
          <w:kern w:val="0"/>
          <w:sz w:val="22"/>
        </w:rPr>
        <w:t>≥65 years</w:t>
      </w:r>
      <w:r w:rsidRPr="00BE1ACA">
        <w:rPr>
          <w:rFonts w:ascii="Arial Narrow" w:hAnsi="Arial Narrow" w:cs="Times New Roman"/>
          <w:kern w:val="0"/>
          <w:sz w:val="22"/>
        </w:rPr>
        <w:t xml:space="preserve"> age group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 in the total and female population in Shanghai </w:t>
      </w:r>
      <w:r w:rsidRPr="00BE1ACA">
        <w:rPr>
          <w:rFonts w:ascii="Arial Narrow" w:hAnsi="Arial Narrow" w:cs="Times New Roman"/>
          <w:color w:val="000000" w:themeColor="text1"/>
          <w:sz w:val="22"/>
        </w:rPr>
        <w:t>Pudong New Area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; and the capital per GDP in Shanghai and Shanghai </w:t>
      </w:r>
      <w:r w:rsidRPr="00BE1ACA">
        <w:rPr>
          <w:rFonts w:ascii="Arial Narrow" w:hAnsi="Arial Narrow" w:cs="Times New Roman"/>
          <w:color w:val="000000" w:themeColor="text1"/>
          <w:sz w:val="22"/>
        </w:rPr>
        <w:t>Pudong New Area</w:t>
      </w:r>
      <w:r w:rsidRPr="00BE1ACA">
        <w:rPr>
          <w:rFonts w:ascii="Arial Narrow" w:hAnsi="Arial Narrow" w:cs="Times New Roman"/>
          <w:color w:val="000000" w:themeColor="text1"/>
          <w:kern w:val="0"/>
          <w:sz w:val="22"/>
        </w:rPr>
        <w:t xml:space="preserve">, from 1995 to 2018. </w:t>
      </w:r>
      <w:bookmarkStart w:id="0" w:name="_GoBack"/>
      <w:bookmarkEnd w:id="0"/>
    </w:p>
    <w:p w:rsidR="00991096" w:rsidRPr="00BE1ACA" w:rsidRDefault="00991096">
      <w:pPr>
        <w:rPr>
          <w:rFonts w:ascii="Arial Narrow" w:hAnsi="Arial Narrow"/>
        </w:rPr>
      </w:pPr>
    </w:p>
    <w:sectPr w:rsidR="00991096" w:rsidRPr="00BE1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0D2" w:rsidRDefault="00DC70D2" w:rsidP="00BE1ACA">
      <w:r>
        <w:separator/>
      </w:r>
    </w:p>
  </w:endnote>
  <w:endnote w:type="continuationSeparator" w:id="0">
    <w:p w:rsidR="00DC70D2" w:rsidRDefault="00DC70D2" w:rsidP="00BE1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0D2" w:rsidRDefault="00DC70D2" w:rsidP="00BE1ACA">
      <w:r>
        <w:separator/>
      </w:r>
    </w:p>
  </w:footnote>
  <w:footnote w:type="continuationSeparator" w:id="0">
    <w:p w:rsidR="00DC70D2" w:rsidRDefault="00DC70D2" w:rsidP="00BE1A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7610E21-4F44-465C-8D8F-7DA9EEB4C341}"/>
    <w:docVar w:name="KY_MEDREF_VERSION" w:val="3"/>
  </w:docVars>
  <w:rsids>
    <w:rsidRoot w:val="00243044"/>
    <w:rsid w:val="00243044"/>
    <w:rsid w:val="00991096"/>
    <w:rsid w:val="00BC1F05"/>
    <w:rsid w:val="00BE0A4D"/>
    <w:rsid w:val="00BE1ACA"/>
    <w:rsid w:val="00CC52BB"/>
    <w:rsid w:val="00DC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13A0F"/>
  <w15:chartTrackingRefBased/>
  <w15:docId w15:val="{C2699DA0-5507-4A8B-97A6-5A15AE27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A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1A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1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1AC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E1AC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E1A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叶子</dc:creator>
  <cp:keywords/>
  <dc:description/>
  <cp:lastModifiedBy>叶子</cp:lastModifiedBy>
  <cp:revision>4</cp:revision>
  <dcterms:created xsi:type="dcterms:W3CDTF">2020-12-23T11:39:00Z</dcterms:created>
  <dcterms:modified xsi:type="dcterms:W3CDTF">2021-05-26T11:30:00Z</dcterms:modified>
</cp:coreProperties>
</file>