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1B1D9" w14:textId="5D6B2C28" w:rsidR="0062684D" w:rsidRDefault="00DC5AA9" w:rsidP="00A81863">
      <w:pPr>
        <w:pStyle w:val="1"/>
        <w:rPr>
          <w:rFonts w:ascii="Times New Roman" w:hAnsi="Times New Roman" w:cs="Times New Roman"/>
          <w:sz w:val="24"/>
          <w:szCs w:val="24"/>
        </w:rPr>
      </w:pPr>
      <w:r w:rsidRPr="00A81863">
        <w:rPr>
          <w:rFonts w:ascii="Times New Roman" w:hAnsi="Times New Roman" w:cs="Times New Roman"/>
          <w:sz w:val="24"/>
          <w:szCs w:val="24"/>
        </w:rPr>
        <w:t>Supplementary Figures</w:t>
      </w:r>
    </w:p>
    <w:p w14:paraId="0D70BB2F" w14:textId="77777777" w:rsidR="00B2145A" w:rsidRDefault="00B2145A" w:rsidP="00B2145A"/>
    <w:p w14:paraId="2B9271B7" w14:textId="77777777" w:rsidR="00B2145A" w:rsidRDefault="00B2145A" w:rsidP="00B2145A"/>
    <w:p w14:paraId="1480AE3C" w14:textId="77777777" w:rsidR="00B2145A" w:rsidRDefault="00B2145A" w:rsidP="00B2145A"/>
    <w:p w14:paraId="66013638" w14:textId="77777777" w:rsidR="00B2145A" w:rsidRPr="00B2145A" w:rsidRDefault="00B2145A" w:rsidP="00B2145A"/>
    <w:p w14:paraId="54B0C9CE" w14:textId="1D3AD727" w:rsidR="004308DF" w:rsidRPr="004308DF" w:rsidRDefault="004308DF" w:rsidP="004308DF">
      <w:r w:rsidRPr="00EA20D2">
        <w:rPr>
          <w:noProof/>
        </w:rPr>
        <w:drawing>
          <wp:inline distT="0" distB="0" distL="0" distR="0" wp14:anchorId="755CBB8C" wp14:editId="0193D589">
            <wp:extent cx="4114800" cy="2593424"/>
            <wp:effectExtent l="0" t="0" r="0" b="0"/>
            <wp:docPr id="19442415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415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5101" cy="259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55E03" w14:textId="28F62D28" w:rsidR="00DC5AA9" w:rsidRPr="00A81863" w:rsidRDefault="00DC5AA9" w:rsidP="004308DF">
      <w:pPr>
        <w:rPr>
          <w:rFonts w:cs="Times New Roman"/>
          <w:b/>
          <w:bCs/>
        </w:rPr>
      </w:pPr>
      <w:r w:rsidRPr="00A81863">
        <w:rPr>
          <w:rFonts w:cs="Times New Roman" w:hint="eastAsia"/>
          <w:b/>
          <w:bCs/>
        </w:rPr>
        <w:t>Figure</w:t>
      </w:r>
      <w:r w:rsidRPr="00A81863">
        <w:rPr>
          <w:rFonts w:cs="Times New Roman"/>
          <w:b/>
          <w:bCs/>
        </w:rPr>
        <w:t xml:space="preserve"> </w:t>
      </w:r>
      <w:r w:rsidRPr="00A81863">
        <w:rPr>
          <w:rFonts w:cs="Times New Roman" w:hint="eastAsia"/>
          <w:b/>
          <w:bCs/>
        </w:rPr>
        <w:t>S</w:t>
      </w:r>
      <w:r w:rsidRPr="00A81863">
        <w:rPr>
          <w:rFonts w:cs="Times New Roman"/>
          <w:b/>
          <w:bCs/>
        </w:rPr>
        <w:t xml:space="preserve">1 </w:t>
      </w:r>
      <w:r w:rsidR="004308DF" w:rsidRPr="004308DF">
        <w:rPr>
          <w:rFonts w:cs="Times New Roman"/>
          <w:b/>
          <w:bCs/>
        </w:rPr>
        <w:t xml:space="preserve">The </w:t>
      </w:r>
      <w:proofErr w:type="gramStart"/>
      <w:r w:rsidR="004308DF" w:rsidRPr="004308DF">
        <w:rPr>
          <w:rFonts w:cs="Times New Roman"/>
          <w:b/>
          <w:bCs/>
        </w:rPr>
        <w:t>high resolution</w:t>
      </w:r>
      <w:proofErr w:type="gramEnd"/>
      <w:r w:rsidR="004308DF" w:rsidRPr="004308DF">
        <w:rPr>
          <w:rFonts w:cs="Times New Roman"/>
          <w:b/>
          <w:bCs/>
        </w:rPr>
        <w:t xml:space="preserve"> chest computed tomography (HRCT) response of 73 evaluated LCH patients with pulmonary involvement in different overall response group. CR, complete response; PR, partial response; SD, stable disease; PD, progression disease.</w:t>
      </w:r>
    </w:p>
    <w:p w14:paraId="70067BC5" w14:textId="0CFA8057" w:rsidR="00056F6F" w:rsidRDefault="00056F6F" w:rsidP="007B74DC">
      <w:pPr>
        <w:widowControl/>
        <w:jc w:val="left"/>
      </w:pPr>
    </w:p>
    <w:p w14:paraId="6925D532" w14:textId="77777777" w:rsidR="00A17902" w:rsidRDefault="00A17902" w:rsidP="007B74DC">
      <w:pPr>
        <w:widowControl/>
        <w:jc w:val="left"/>
      </w:pPr>
    </w:p>
    <w:p w14:paraId="733BE5F3" w14:textId="77777777" w:rsidR="00A17902" w:rsidRDefault="00A17902" w:rsidP="007B74DC">
      <w:pPr>
        <w:widowControl/>
        <w:jc w:val="left"/>
      </w:pPr>
    </w:p>
    <w:p w14:paraId="5D6840B4" w14:textId="77777777" w:rsidR="00A17902" w:rsidRDefault="00A17902" w:rsidP="007B74DC">
      <w:pPr>
        <w:widowControl/>
        <w:jc w:val="left"/>
      </w:pPr>
    </w:p>
    <w:p w14:paraId="73A585D0" w14:textId="77777777" w:rsidR="00A17902" w:rsidRDefault="00A17902" w:rsidP="007B74DC">
      <w:pPr>
        <w:widowControl/>
        <w:jc w:val="left"/>
      </w:pPr>
    </w:p>
    <w:p w14:paraId="42F2260F" w14:textId="77777777" w:rsidR="00A17902" w:rsidRDefault="00A17902" w:rsidP="007B74DC">
      <w:pPr>
        <w:widowControl/>
        <w:jc w:val="left"/>
      </w:pPr>
    </w:p>
    <w:p w14:paraId="5B418D08" w14:textId="77777777" w:rsidR="00A17902" w:rsidRDefault="00A17902" w:rsidP="007B74DC">
      <w:pPr>
        <w:widowControl/>
        <w:jc w:val="left"/>
      </w:pPr>
    </w:p>
    <w:p w14:paraId="4479D81A" w14:textId="77777777" w:rsidR="00A17902" w:rsidRDefault="00A17902" w:rsidP="007B74DC">
      <w:pPr>
        <w:widowControl/>
        <w:jc w:val="left"/>
      </w:pPr>
    </w:p>
    <w:p w14:paraId="4B0BCFD0" w14:textId="77777777" w:rsidR="00A17902" w:rsidRDefault="00A17902" w:rsidP="007B74DC">
      <w:pPr>
        <w:widowControl/>
        <w:jc w:val="left"/>
      </w:pPr>
    </w:p>
    <w:p w14:paraId="1A913AD5" w14:textId="77777777" w:rsidR="00A17902" w:rsidRDefault="00A17902" w:rsidP="007B74DC">
      <w:pPr>
        <w:widowControl/>
        <w:jc w:val="left"/>
      </w:pPr>
    </w:p>
    <w:p w14:paraId="72D51D0E" w14:textId="77777777" w:rsidR="00A17902" w:rsidRDefault="00A17902" w:rsidP="007B74DC">
      <w:pPr>
        <w:widowControl/>
        <w:jc w:val="left"/>
      </w:pPr>
    </w:p>
    <w:p w14:paraId="50E6F88B" w14:textId="77777777" w:rsidR="00A17902" w:rsidRDefault="00A17902" w:rsidP="007B74DC">
      <w:pPr>
        <w:widowControl/>
        <w:jc w:val="left"/>
      </w:pPr>
    </w:p>
    <w:p w14:paraId="0769F0A0" w14:textId="77777777" w:rsidR="00A17902" w:rsidRDefault="00A17902" w:rsidP="007B74DC">
      <w:pPr>
        <w:widowControl/>
        <w:jc w:val="left"/>
      </w:pPr>
    </w:p>
    <w:p w14:paraId="03AA15CA" w14:textId="77777777" w:rsidR="00A17902" w:rsidRDefault="00A17902" w:rsidP="007B74DC">
      <w:pPr>
        <w:widowControl/>
        <w:jc w:val="left"/>
      </w:pPr>
    </w:p>
    <w:p w14:paraId="79BC0689" w14:textId="77777777" w:rsidR="00A17902" w:rsidRDefault="00A17902" w:rsidP="007B74DC">
      <w:pPr>
        <w:widowControl/>
        <w:jc w:val="left"/>
      </w:pPr>
    </w:p>
    <w:p w14:paraId="4F8462B0" w14:textId="6CEEAF53" w:rsidR="00001642" w:rsidRDefault="00001642">
      <w:pPr>
        <w:widowControl/>
        <w:jc w:val="left"/>
      </w:pPr>
      <w:r>
        <w:br w:type="page"/>
      </w:r>
    </w:p>
    <w:p w14:paraId="135ED092" w14:textId="779D17E6" w:rsidR="00001642" w:rsidRDefault="007F1C3C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0AAD228" wp14:editId="49D85091">
            <wp:extent cx="3883550" cy="3100388"/>
            <wp:effectExtent l="0" t="0" r="3175" b="5080"/>
            <wp:docPr id="606325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258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2018" cy="310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CFC2B" w14:textId="7C5D6E98" w:rsidR="00001642" w:rsidRDefault="00001642">
      <w:pPr>
        <w:widowControl/>
        <w:jc w:val="left"/>
      </w:pPr>
      <w:r w:rsidRPr="00A81863">
        <w:rPr>
          <w:rFonts w:cs="Times New Roman" w:hint="eastAsia"/>
          <w:b/>
          <w:bCs/>
        </w:rPr>
        <w:t>Figure</w:t>
      </w:r>
      <w:r w:rsidRPr="00A81863">
        <w:rPr>
          <w:rFonts w:cs="Times New Roman"/>
          <w:b/>
          <w:bCs/>
        </w:rPr>
        <w:t xml:space="preserve"> </w:t>
      </w:r>
      <w:r w:rsidRPr="00A81863">
        <w:rPr>
          <w:rFonts w:cs="Times New Roman" w:hint="eastAsia"/>
          <w:b/>
          <w:bCs/>
        </w:rPr>
        <w:t>S</w:t>
      </w:r>
      <w:r>
        <w:rPr>
          <w:rFonts w:cs="Times New Roman" w:hint="eastAsia"/>
          <w:b/>
          <w:bCs/>
        </w:rPr>
        <w:t xml:space="preserve">2 </w:t>
      </w:r>
      <w:r>
        <w:rPr>
          <w:rFonts w:hint="eastAsia"/>
        </w:rPr>
        <w:t>P</w:t>
      </w:r>
      <w:r w:rsidRPr="00001642">
        <w:t>rogression-free survival (PFS) of 73 patients with pulmonary Langerhans cell histiocytosis according to initial ther</w:t>
      </w:r>
      <w:r>
        <w:rPr>
          <w:rFonts w:hint="eastAsia"/>
        </w:rPr>
        <w:t>a</w:t>
      </w:r>
      <w:r w:rsidRPr="00001642">
        <w:t xml:space="preserve">py </w:t>
      </w:r>
    </w:p>
    <w:p w14:paraId="213AD330" w14:textId="37743EF7" w:rsidR="00001642" w:rsidRDefault="00001642">
      <w:pPr>
        <w:widowControl/>
        <w:jc w:val="left"/>
      </w:pPr>
      <w:r>
        <w:br w:type="page"/>
      </w:r>
    </w:p>
    <w:p w14:paraId="01A05FFA" w14:textId="77777777" w:rsidR="00A17902" w:rsidRDefault="00A17902" w:rsidP="007B74DC">
      <w:pPr>
        <w:widowControl/>
        <w:jc w:val="left"/>
      </w:pPr>
    </w:p>
    <w:p w14:paraId="04581F81" w14:textId="360CDAB0" w:rsidR="00A17902" w:rsidRDefault="00A17902" w:rsidP="00A17902">
      <w:pPr>
        <w:pStyle w:val="1"/>
        <w:rPr>
          <w:rFonts w:ascii="Times New Roman" w:hAnsi="Times New Roman" w:cs="Times New Roman"/>
          <w:sz w:val="24"/>
          <w:szCs w:val="24"/>
        </w:rPr>
      </w:pPr>
      <w:r w:rsidRPr="00A81863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sz w:val="24"/>
          <w:szCs w:val="24"/>
        </w:rPr>
        <w:t xml:space="preserve"> Tables</w:t>
      </w:r>
    </w:p>
    <w:p w14:paraId="243BA6FE" w14:textId="717B0785" w:rsidR="00A17902" w:rsidRPr="00A17902" w:rsidRDefault="00A17902" w:rsidP="00A17902">
      <w:pPr>
        <w:rPr>
          <w:rFonts w:eastAsiaTheme="minorEastAsia" w:cs="Times New Roman"/>
          <w:b/>
          <w:bCs/>
          <w:sz w:val="22"/>
          <w:szCs w:val="22"/>
        </w:rPr>
      </w:pPr>
      <w:r w:rsidRPr="00A17902">
        <w:rPr>
          <w:rFonts w:eastAsiaTheme="minorEastAsia" w:cs="Times New Roman"/>
          <w:b/>
          <w:bCs/>
          <w:sz w:val="22"/>
          <w:szCs w:val="22"/>
        </w:rPr>
        <w:t xml:space="preserve">Table S1. Risk factors for progression-free survival according to univariate and multivariate Cox regression models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84"/>
        <w:gridCol w:w="1005"/>
        <w:gridCol w:w="2289"/>
        <w:gridCol w:w="1027"/>
      </w:tblGrid>
      <w:tr w:rsidR="00A17902" w:rsidRPr="00A17902" w14:paraId="4BCC6D7E" w14:textId="77777777" w:rsidTr="00EA34C4">
        <w:trPr>
          <w:trHeight w:val="325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F821B0B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543462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Univariate Cox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26A8712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Multivariate Cox</w:t>
            </w:r>
          </w:p>
        </w:tc>
      </w:tr>
      <w:tr w:rsidR="00A17902" w:rsidRPr="00A17902" w14:paraId="61570AC0" w14:textId="77777777" w:rsidTr="00EA34C4">
        <w:trPr>
          <w:trHeight w:val="335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915E34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D7E327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324F85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218100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HR (95% CI)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5EB51E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A17902" w:rsidRPr="00A17902" w14:paraId="4538FCD0" w14:textId="77777777" w:rsidTr="00EA34C4">
        <w:trPr>
          <w:trHeight w:val="391"/>
        </w:trPr>
        <w:tc>
          <w:tcPr>
            <w:tcW w:w="1985" w:type="dxa"/>
            <w:shd w:val="clear" w:color="auto" w:fill="FFFFFF" w:themeFill="background1"/>
          </w:tcPr>
          <w:p w14:paraId="63445332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Low dose cytarabine regimen</w:t>
            </w:r>
          </w:p>
        </w:tc>
        <w:tc>
          <w:tcPr>
            <w:tcW w:w="1984" w:type="dxa"/>
            <w:shd w:val="clear" w:color="auto" w:fill="FFFFFF" w:themeFill="background1"/>
          </w:tcPr>
          <w:p w14:paraId="4F389123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6.717 (</w:t>
            </w:r>
            <w:bookmarkStart w:id="0" w:name="_Hlk164867860"/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1.419-31.79</w:t>
            </w:r>
            <w:bookmarkEnd w:id="0"/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5" w:type="dxa"/>
            <w:shd w:val="clear" w:color="auto" w:fill="FFFFFF" w:themeFill="background1"/>
          </w:tcPr>
          <w:p w14:paraId="4824BBBD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89" w:type="dxa"/>
            <w:shd w:val="clear" w:color="auto" w:fill="FFFFFF" w:themeFill="background1"/>
          </w:tcPr>
          <w:p w14:paraId="44431B33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14.49 (4.464-47.62)</w:t>
            </w:r>
          </w:p>
        </w:tc>
        <w:tc>
          <w:tcPr>
            <w:tcW w:w="1027" w:type="dxa"/>
            <w:shd w:val="clear" w:color="auto" w:fill="FFFFFF" w:themeFill="background1"/>
          </w:tcPr>
          <w:p w14:paraId="5D774FB0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A17902" w:rsidRPr="00A17902" w14:paraId="060C4C85" w14:textId="77777777" w:rsidTr="00EA34C4">
        <w:tc>
          <w:tcPr>
            <w:tcW w:w="1985" w:type="dxa"/>
            <w:shd w:val="clear" w:color="auto" w:fill="FFFFFF" w:themeFill="background1"/>
          </w:tcPr>
          <w:p w14:paraId="3647844A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HRCT score ≥10</w:t>
            </w:r>
          </w:p>
        </w:tc>
        <w:tc>
          <w:tcPr>
            <w:tcW w:w="1984" w:type="dxa"/>
            <w:shd w:val="clear" w:color="auto" w:fill="FFFFFF" w:themeFill="background1"/>
          </w:tcPr>
          <w:p w14:paraId="70AAE4B8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3.060 (</w:t>
            </w:r>
            <w:bookmarkStart w:id="1" w:name="_Hlk164868057"/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1.325-7.066</w:t>
            </w:r>
            <w:bookmarkEnd w:id="1"/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5" w:type="dxa"/>
            <w:shd w:val="clear" w:color="auto" w:fill="FFFFFF" w:themeFill="background1"/>
          </w:tcPr>
          <w:p w14:paraId="67155EE0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2289" w:type="dxa"/>
            <w:shd w:val="clear" w:color="auto" w:fill="FFFFFF" w:themeFill="background1"/>
          </w:tcPr>
          <w:p w14:paraId="39E5B747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4.478 (1.559–12.862)</w:t>
            </w:r>
          </w:p>
        </w:tc>
        <w:tc>
          <w:tcPr>
            <w:tcW w:w="1027" w:type="dxa"/>
            <w:shd w:val="clear" w:color="auto" w:fill="FFFFFF" w:themeFill="background1"/>
          </w:tcPr>
          <w:p w14:paraId="3CB4FAF5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A17902" w:rsidRPr="00A17902" w14:paraId="07688151" w14:textId="77777777" w:rsidTr="00EA34C4"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E030AF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color w:val="000000"/>
                <w:spacing w:val="-4"/>
                <w:kern w:val="1"/>
                <w:sz w:val="20"/>
                <w:szCs w:val="20"/>
              </w:rPr>
              <w:t>CR after therapy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B85D0D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0.158 (</w:t>
            </w:r>
            <w:bookmarkStart w:id="2" w:name="_Hlk164868101"/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0.059-0.424</w:t>
            </w:r>
            <w:bookmarkEnd w:id="2"/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D68D65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FB3514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0.135 (0.018–1.023)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3034DA" w14:textId="77777777" w:rsidR="00A17902" w:rsidRPr="00A17902" w:rsidRDefault="00A17902" w:rsidP="00A17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902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</w:tbl>
    <w:p w14:paraId="4F35A60A" w14:textId="77777777" w:rsidR="00A17902" w:rsidRPr="00A17902" w:rsidRDefault="00A17902" w:rsidP="00A17902">
      <w:pPr>
        <w:spacing w:line="480" w:lineRule="auto"/>
        <w:rPr>
          <w:rFonts w:eastAsiaTheme="minorEastAsia" w:cs="Times New Roman"/>
          <w:sz w:val="21"/>
          <w:szCs w:val="21"/>
        </w:rPr>
      </w:pPr>
      <w:r w:rsidRPr="00A17902">
        <w:rPr>
          <w:rFonts w:eastAsiaTheme="minorEastAsia" w:cs="Times New Roman"/>
          <w:sz w:val="20"/>
          <w:szCs w:val="21"/>
        </w:rPr>
        <w:t>CR: Complete remission; HR: hazard ratio; CI: confidence interval</w:t>
      </w:r>
    </w:p>
    <w:p w14:paraId="5F1A05A9" w14:textId="77777777" w:rsidR="00A17902" w:rsidRPr="00A17902" w:rsidRDefault="00A17902" w:rsidP="007B74DC">
      <w:pPr>
        <w:widowControl/>
        <w:jc w:val="left"/>
      </w:pPr>
    </w:p>
    <w:sectPr w:rsidR="00A17902" w:rsidRPr="00A17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C66C0" w14:textId="77777777" w:rsidR="005A5821" w:rsidRDefault="005A5821" w:rsidP="00056F6F">
      <w:r>
        <w:separator/>
      </w:r>
    </w:p>
  </w:endnote>
  <w:endnote w:type="continuationSeparator" w:id="0">
    <w:p w14:paraId="5908BA85" w14:textId="77777777" w:rsidR="005A5821" w:rsidRDefault="005A5821" w:rsidP="0005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19CA9" w14:textId="77777777" w:rsidR="005A5821" w:rsidRDefault="005A5821" w:rsidP="00056F6F">
      <w:r>
        <w:separator/>
      </w:r>
    </w:p>
  </w:footnote>
  <w:footnote w:type="continuationSeparator" w:id="0">
    <w:p w14:paraId="7D0D450E" w14:textId="77777777" w:rsidR="005A5821" w:rsidRDefault="005A5821" w:rsidP="00056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58"/>
    <w:rsid w:val="00001642"/>
    <w:rsid w:val="00035AE1"/>
    <w:rsid w:val="00056F6F"/>
    <w:rsid w:val="00096ACB"/>
    <w:rsid w:val="00156A6F"/>
    <w:rsid w:val="00184959"/>
    <w:rsid w:val="00187648"/>
    <w:rsid w:val="0019533A"/>
    <w:rsid w:val="001B43E5"/>
    <w:rsid w:val="001C62F7"/>
    <w:rsid w:val="001D2858"/>
    <w:rsid w:val="001F0627"/>
    <w:rsid w:val="002344DF"/>
    <w:rsid w:val="00235F6C"/>
    <w:rsid w:val="0025538D"/>
    <w:rsid w:val="002D2E29"/>
    <w:rsid w:val="002E34AD"/>
    <w:rsid w:val="00314CD0"/>
    <w:rsid w:val="003519C2"/>
    <w:rsid w:val="00427210"/>
    <w:rsid w:val="004308DF"/>
    <w:rsid w:val="0044187E"/>
    <w:rsid w:val="00454ADC"/>
    <w:rsid w:val="0049503B"/>
    <w:rsid w:val="00542058"/>
    <w:rsid w:val="005A5821"/>
    <w:rsid w:val="005D6762"/>
    <w:rsid w:val="005F6F89"/>
    <w:rsid w:val="0062684D"/>
    <w:rsid w:val="00653505"/>
    <w:rsid w:val="006721DA"/>
    <w:rsid w:val="006C5866"/>
    <w:rsid w:val="00741B31"/>
    <w:rsid w:val="00792AFB"/>
    <w:rsid w:val="007A641C"/>
    <w:rsid w:val="007B6F17"/>
    <w:rsid w:val="007B74DC"/>
    <w:rsid w:val="007E1BAC"/>
    <w:rsid w:val="007F1C3C"/>
    <w:rsid w:val="007F296B"/>
    <w:rsid w:val="008161D6"/>
    <w:rsid w:val="008A2076"/>
    <w:rsid w:val="009A329C"/>
    <w:rsid w:val="009C1797"/>
    <w:rsid w:val="009E571C"/>
    <w:rsid w:val="00A17902"/>
    <w:rsid w:val="00A50479"/>
    <w:rsid w:val="00A81863"/>
    <w:rsid w:val="00B2145A"/>
    <w:rsid w:val="00BD6748"/>
    <w:rsid w:val="00D507F0"/>
    <w:rsid w:val="00D60895"/>
    <w:rsid w:val="00DC5AA9"/>
    <w:rsid w:val="00DD3EDF"/>
    <w:rsid w:val="00E34203"/>
    <w:rsid w:val="00E519E6"/>
    <w:rsid w:val="00E80E92"/>
    <w:rsid w:val="00EC282F"/>
    <w:rsid w:val="00F4297E"/>
    <w:rsid w:val="00F94FF4"/>
    <w:rsid w:val="00FB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8314C5"/>
  <w15:chartTrackingRefBased/>
  <w15:docId w15:val="{C29B71F0-85D9-4CF9-BC84-458CDCD3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056F6F"/>
    <w:pPr>
      <w:keepNext/>
      <w:keepLines/>
      <w:widowControl/>
      <w:spacing w:before="340" w:after="330" w:line="578" w:lineRule="auto"/>
      <w:jc w:val="left"/>
      <w:outlineLvl w:val="0"/>
    </w:pPr>
    <w:rPr>
      <w:rFonts w:asciiTheme="minorHAnsi" w:eastAsiaTheme="minorEastAsia" w:hAnsiTheme="minorHAns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F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F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F6F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056F6F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F42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1"/>
    <w:next w:val="a7"/>
    <w:uiPriority w:val="39"/>
    <w:rsid w:val="00A17902"/>
    <w:rPr>
      <w:rFonts w:asciiTheme="minorHAnsi" w:eastAsiaTheme="minorEastAsia" w:hAnsiTheme="minorHAnsi"/>
      <w:sz w:val="21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B08CA-C858-42CA-A1DA-DD88802B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 常</dc:creator>
  <cp:keywords/>
  <dc:description/>
  <cp:lastModifiedBy>龙 常</cp:lastModifiedBy>
  <cp:revision>32</cp:revision>
  <dcterms:created xsi:type="dcterms:W3CDTF">2023-11-28T01:36:00Z</dcterms:created>
  <dcterms:modified xsi:type="dcterms:W3CDTF">2024-06-05T12:48:00Z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dcccceed5e105b42a9085e40cdbd613c5c3c2483c377d69132978c3cba96d0f8</vt:lpwstr>
  </property>
</Properties>
</file>