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49C67" w14:textId="77777777" w:rsidR="002763AA" w:rsidRDefault="002763AA" w:rsidP="002763AA">
      <w:pPr>
        <w:pStyle w:val="Acknowledgement"/>
        <w:ind w:left="0" w:firstLine="0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SUPPLEMENTARY INFORMATION</w:t>
      </w:r>
    </w:p>
    <w:p w14:paraId="0290FE1A" w14:textId="77777777" w:rsidR="002763AA" w:rsidRDefault="002763AA" w:rsidP="002763AA">
      <w:pPr>
        <w:pStyle w:val="Acknowledgement"/>
        <w:ind w:left="0" w:firstLine="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ab/>
        <w:t>Tables 1 and 2 include values for the “Average separation between drones”.   We present here the procedure by which those estimates were calculated:</w:t>
      </w:r>
    </w:p>
    <w:p w14:paraId="0F70E764" w14:textId="77777777" w:rsidR="002763AA" w:rsidRDefault="002763AA" w:rsidP="002763AA">
      <w:pPr>
        <w:pStyle w:val="Acknowledgement"/>
        <w:numPr>
          <w:ilvl w:val="0"/>
          <w:numId w:val="1"/>
        </w:numPr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The m</w:t>
      </w:r>
      <w:r>
        <w:rPr>
          <w:bCs/>
          <w:color w:val="000000" w:themeColor="text1"/>
          <w:sz w:val="28"/>
          <w:szCs w:val="28"/>
          <w:vertAlign w:val="superscript"/>
        </w:rPr>
        <w:t>2</w:t>
      </w:r>
      <w:r>
        <w:rPr>
          <w:bCs/>
          <w:color w:val="000000" w:themeColor="text1"/>
          <w:sz w:val="28"/>
          <w:szCs w:val="28"/>
        </w:rPr>
        <w:t xml:space="preserve"> of ground surface per drone was obtained by taking the inverse of the “Drones/km</w:t>
      </w:r>
      <w:r>
        <w:rPr>
          <w:bCs/>
          <w:color w:val="000000" w:themeColor="text1"/>
          <w:sz w:val="28"/>
          <w:szCs w:val="28"/>
          <w:vertAlign w:val="superscript"/>
        </w:rPr>
        <w:t>2</w:t>
      </w:r>
      <w:r>
        <w:rPr>
          <w:bCs/>
          <w:color w:val="000000" w:themeColor="text1"/>
          <w:sz w:val="28"/>
          <w:szCs w:val="28"/>
        </w:rPr>
        <w:t xml:space="preserve"> of ground surface” values in Tables 1 and 2, then converting to m</w:t>
      </w:r>
      <w:r>
        <w:rPr>
          <w:bCs/>
          <w:color w:val="000000" w:themeColor="text1"/>
          <w:sz w:val="28"/>
          <w:szCs w:val="28"/>
          <w:vertAlign w:val="superscript"/>
        </w:rPr>
        <w:t>2</w:t>
      </w:r>
      <w:r>
        <w:rPr>
          <w:bCs/>
          <w:color w:val="000000" w:themeColor="text1"/>
          <w:sz w:val="28"/>
          <w:szCs w:val="28"/>
        </w:rPr>
        <w:t>.    We define a vertical cell extending from the bottom of the drone fly zone (22 m above ground) to the top, 100 m higher, and having a square horizontal cross section of area L</w:t>
      </w:r>
      <w:r>
        <w:rPr>
          <w:bCs/>
          <w:color w:val="000000" w:themeColor="text1"/>
          <w:sz w:val="28"/>
          <w:szCs w:val="28"/>
          <w:vertAlign w:val="superscript"/>
        </w:rPr>
        <w:t>2</w:t>
      </w:r>
      <w:r>
        <w:rPr>
          <w:bCs/>
          <w:color w:val="000000" w:themeColor="text1"/>
          <w:sz w:val="28"/>
          <w:szCs w:val="28"/>
        </w:rPr>
        <w:t xml:space="preserve"> = the m</w:t>
      </w:r>
      <w:r>
        <w:rPr>
          <w:bCs/>
          <w:color w:val="000000" w:themeColor="text1"/>
          <w:sz w:val="28"/>
          <w:szCs w:val="28"/>
          <w:vertAlign w:val="superscript"/>
        </w:rPr>
        <w:t>2</w:t>
      </w:r>
      <w:r>
        <w:rPr>
          <w:bCs/>
          <w:color w:val="000000" w:themeColor="text1"/>
          <w:sz w:val="28"/>
          <w:szCs w:val="28"/>
        </w:rPr>
        <w:t xml:space="preserve"> of ground surface per drone, L being the length of each side of the square.    L is also the horizontal distance between vertical cell centerlines.</w:t>
      </w:r>
    </w:p>
    <w:p w14:paraId="7969A6CB" w14:textId="77777777" w:rsidR="002763AA" w:rsidRDefault="002763AA" w:rsidP="002763AA">
      <w:pPr>
        <w:pStyle w:val="Acknowledgement"/>
        <w:numPr>
          <w:ilvl w:val="0"/>
          <w:numId w:val="1"/>
        </w:numPr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Taking the single drone in each cell to be on average located on the cell centerline, and the cells to be non-overlapping (for greatest separation) we have, for the average separation, </w:t>
      </w:r>
      <w:proofErr w:type="spellStart"/>
      <w:r>
        <w:rPr>
          <w:bCs/>
          <w:color w:val="000000" w:themeColor="text1"/>
          <w:sz w:val="28"/>
          <w:szCs w:val="28"/>
        </w:rPr>
        <w:t>Z</w:t>
      </w:r>
      <w:r>
        <w:rPr>
          <w:bCs/>
          <w:color w:val="000000" w:themeColor="text1"/>
          <w:sz w:val="28"/>
          <w:szCs w:val="28"/>
          <w:vertAlign w:val="subscript"/>
        </w:rPr>
        <w:t>av</w:t>
      </w:r>
      <w:proofErr w:type="spellEnd"/>
      <w:r>
        <w:rPr>
          <w:bCs/>
          <w:color w:val="000000" w:themeColor="text1"/>
          <w:sz w:val="28"/>
          <w:szCs w:val="28"/>
        </w:rPr>
        <w:t>:</w:t>
      </w:r>
    </w:p>
    <w:p w14:paraId="6530A4D1" w14:textId="77777777" w:rsidR="002763AA" w:rsidRDefault="002763AA" w:rsidP="002763AA">
      <w:pPr>
        <w:pStyle w:val="Acknowledgement"/>
        <w:ind w:firstLine="720"/>
        <w:rPr>
          <w:bCs/>
          <w:color w:val="000000" w:themeColor="text1"/>
          <w:sz w:val="28"/>
          <w:szCs w:val="28"/>
        </w:rPr>
      </w:pPr>
      <w:proofErr w:type="spellStart"/>
      <w:r>
        <w:rPr>
          <w:bCs/>
          <w:color w:val="000000" w:themeColor="text1"/>
          <w:sz w:val="28"/>
          <w:szCs w:val="28"/>
        </w:rPr>
        <w:t>Z</w:t>
      </w:r>
      <w:r>
        <w:rPr>
          <w:bCs/>
          <w:color w:val="000000" w:themeColor="text1"/>
          <w:sz w:val="28"/>
          <w:szCs w:val="28"/>
          <w:vertAlign w:val="subscript"/>
        </w:rPr>
        <w:t>av</w:t>
      </w:r>
      <w:proofErr w:type="spellEnd"/>
      <w:r>
        <w:rPr>
          <w:bCs/>
          <w:color w:val="000000" w:themeColor="text1"/>
          <w:sz w:val="28"/>
          <w:szCs w:val="28"/>
        </w:rPr>
        <w:t xml:space="preserve"> = (1/H)</w:t>
      </w:r>
      <w:r>
        <w:rPr>
          <w:bCs/>
          <w:color w:val="000000" w:themeColor="text1"/>
          <w:sz w:val="28"/>
          <w:szCs w:val="28"/>
          <w:vertAlign w:val="superscript"/>
        </w:rPr>
        <w:t>2</w:t>
      </w:r>
      <m:oMath>
        <m:nary>
          <m:naryPr>
            <m:limLoc m:val="undOvr"/>
            <m:ctrlPr>
              <w:rPr>
                <w:rFonts w:ascii="Cambria Math" w:hAnsi="Cambria Math"/>
                <w:bCs/>
                <w:i/>
                <w:color w:val="000000" w:themeColor="text1"/>
                <w:sz w:val="28"/>
                <w:szCs w:val="28"/>
              </w:rPr>
            </m:ctrlPr>
          </m:naryPr>
          <m:sub>
            <m:r>
              <w:rPr>
                <w:rFonts w:ascii="Cambria Math" w:hAnsi="Cambria Math"/>
                <w:color w:val="000000" w:themeColor="text1"/>
                <w:sz w:val="28"/>
                <w:szCs w:val="28"/>
              </w:rPr>
              <m:t>x=0</m:t>
            </m:r>
          </m:sub>
          <m:sup>
            <m:r>
              <w:rPr>
                <w:rFonts w:ascii="Cambria Math" w:hAnsi="Cambria Math"/>
                <w:color w:val="000000" w:themeColor="text1"/>
                <w:sz w:val="28"/>
                <w:szCs w:val="28"/>
              </w:rPr>
              <m:t>x=100</m:t>
            </m:r>
          </m:sup>
          <m:e>
            <m:nary>
              <m:naryPr>
                <m:limLoc m:val="undOvr"/>
                <m:ctrlPr>
                  <w:rPr>
                    <w:rFonts w:ascii="Cambria Math" w:hAnsi="Cambria Math"/>
                    <w:bCs/>
                    <w:i/>
                    <w:color w:val="000000" w:themeColor="text1"/>
                    <w:sz w:val="28"/>
                    <w:szCs w:val="28"/>
                  </w:rPr>
                </m:ctrlPr>
              </m:naryPr>
              <m:sub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</w:rPr>
                  <m:t>y=0</m:t>
                </m:r>
              </m:sub>
              <m:sup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</w:rPr>
                  <m:t>y=100</m:t>
                </m:r>
              </m:sup>
              <m:e>
                <m:sSup>
                  <m:sSupPr>
                    <m:ctrlPr>
                      <w:rPr>
                        <w:rFonts w:ascii="Cambria Math" w:hAnsi="Cambria Math"/>
                        <w:bCs/>
                        <w:i/>
                        <w:color w:val="000000" w:themeColor="text1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  <w:sz w:val="28"/>
                        <w:szCs w:val="28"/>
                      </w:rPr>
                      <m:t>[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8"/>
                            <w:szCs w:val="28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000000" w:themeColor="text1"/>
                        <w:sz w:val="28"/>
                        <w:szCs w:val="28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color w:val="000000" w:themeColor="text1"/>
                                <w:sz w:val="28"/>
                                <w:szCs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28"/>
                                <w:szCs w:val="28"/>
                              </w:rPr>
                              <m:t>y-x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000000" w:themeColor="text1"/>
                        <w:sz w:val="28"/>
                        <w:szCs w:val="28"/>
                      </w:rPr>
                      <m:t>]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  <w:sz w:val="28"/>
                        <w:szCs w:val="28"/>
                      </w:rPr>
                      <m:t>1/2</m:t>
                    </m:r>
                  </m:sup>
                </m:sSup>
              </m:e>
            </m:nary>
          </m:e>
        </m:nary>
      </m:oMath>
      <w:r w:rsidRPr="00C275CB">
        <w:rPr>
          <w:bCs/>
          <w:color w:val="000000" w:themeColor="text1"/>
          <w:sz w:val="28"/>
          <w:szCs w:val="28"/>
        </w:rPr>
        <w:t>d</w:t>
      </w:r>
      <w:proofErr w:type="spellStart"/>
      <w:r w:rsidRPr="00C275CB">
        <w:rPr>
          <w:bCs/>
          <w:color w:val="000000" w:themeColor="text1"/>
          <w:sz w:val="28"/>
          <w:szCs w:val="28"/>
        </w:rPr>
        <w:t>ydx</w:t>
      </w:r>
      <w:proofErr w:type="spellEnd"/>
      <w:r>
        <w:rPr>
          <w:bCs/>
          <w:color w:val="000000" w:themeColor="text1"/>
          <w:sz w:val="28"/>
          <w:szCs w:val="28"/>
        </w:rPr>
        <w:t>,</w:t>
      </w:r>
    </w:p>
    <w:p w14:paraId="162FD57F" w14:textId="77777777" w:rsidR="002763AA" w:rsidRDefault="002763AA" w:rsidP="002763AA">
      <w:pPr>
        <w:pStyle w:val="Acknowledgement"/>
        <w:ind w:left="0" w:firstLine="9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where H = 100 m, x = vertical distance from cell base to first drone, and y = vertical distance from base of adjacent cell to drone in that cell.</w:t>
      </w:r>
    </w:p>
    <w:p w14:paraId="441E2E5F" w14:textId="77777777" w:rsidR="002763AA" w:rsidRPr="00183195" w:rsidRDefault="002763AA" w:rsidP="002763AA">
      <w:pPr>
        <w:pStyle w:val="Acknowledgement"/>
        <w:numPr>
          <w:ilvl w:val="0"/>
          <w:numId w:val="1"/>
        </w:numPr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lastRenderedPageBreak/>
        <w:t xml:space="preserve">Using the transformation, (y – x) = </w:t>
      </w:r>
      <w:proofErr w:type="spellStart"/>
      <w:r>
        <w:rPr>
          <w:bCs/>
          <w:color w:val="000000" w:themeColor="text1"/>
          <w:sz w:val="28"/>
          <w:szCs w:val="28"/>
        </w:rPr>
        <w:t>L</w:t>
      </w:r>
      <w:r w:rsidRPr="0024314D">
        <w:rPr>
          <w:bCs/>
          <w:i/>
          <w:iCs/>
          <w:color w:val="000000" w:themeColor="text1"/>
          <w:sz w:val="28"/>
          <w:szCs w:val="28"/>
        </w:rPr>
        <w:t>tan</w:t>
      </w:r>
      <w:r w:rsidRPr="0024314D">
        <w:rPr>
          <w:rFonts w:ascii="Symbol" w:hAnsi="Symbol"/>
          <w:bCs/>
          <w:i/>
          <w:iCs/>
          <w:color w:val="000000" w:themeColor="text1"/>
          <w:sz w:val="28"/>
          <w:szCs w:val="28"/>
        </w:rPr>
        <w:t>q</w:t>
      </w:r>
      <w:proofErr w:type="spellEnd"/>
      <w:r>
        <w:rPr>
          <w:rFonts w:ascii="Symbol" w:hAnsi="Symbol"/>
          <w:bCs/>
          <w:color w:val="000000" w:themeColor="text1"/>
          <w:sz w:val="28"/>
          <w:szCs w:val="28"/>
        </w:rPr>
        <w:t xml:space="preserve">, </w:t>
      </w:r>
      <w:r>
        <w:rPr>
          <w:bCs/>
          <w:color w:val="000000" w:themeColor="text1"/>
          <w:sz w:val="28"/>
          <w:szCs w:val="28"/>
        </w:rPr>
        <w:t>and integrating over y,</w:t>
      </w:r>
      <w:r w:rsidRPr="00183195">
        <w:rPr>
          <w:bCs/>
          <w:color w:val="000000" w:themeColor="text1"/>
          <w:sz w:val="28"/>
          <w:szCs w:val="28"/>
        </w:rPr>
        <w:t xml:space="preserve"> results in:</w:t>
      </w:r>
    </w:p>
    <w:p w14:paraId="54E5C60E" w14:textId="77777777" w:rsidR="002763AA" w:rsidRDefault="002763AA" w:rsidP="002763AA">
      <w:pPr>
        <w:pStyle w:val="Acknowledgement"/>
        <w:ind w:left="0" w:firstLine="0"/>
        <w:rPr>
          <w:bCs/>
          <w:color w:val="000000" w:themeColor="text1"/>
          <w:sz w:val="28"/>
          <w:szCs w:val="28"/>
        </w:rPr>
      </w:pPr>
      <w:proofErr w:type="spellStart"/>
      <w:r>
        <w:rPr>
          <w:bCs/>
          <w:color w:val="000000" w:themeColor="text1"/>
          <w:sz w:val="28"/>
          <w:szCs w:val="28"/>
        </w:rPr>
        <w:t>Z</w:t>
      </w:r>
      <w:r>
        <w:rPr>
          <w:bCs/>
          <w:color w:val="000000" w:themeColor="text1"/>
          <w:sz w:val="28"/>
          <w:szCs w:val="28"/>
          <w:vertAlign w:val="subscript"/>
        </w:rPr>
        <w:t>av</w:t>
      </w:r>
      <w:proofErr w:type="spellEnd"/>
      <w:r>
        <w:rPr>
          <w:bCs/>
          <w:color w:val="000000" w:themeColor="text1"/>
          <w:sz w:val="28"/>
          <w:szCs w:val="28"/>
        </w:rPr>
        <w:t xml:space="preserve"> = (1/2)(L/H)</w:t>
      </w:r>
      <w:r>
        <w:rPr>
          <w:bCs/>
          <w:color w:val="000000" w:themeColor="text1"/>
          <w:sz w:val="28"/>
          <w:szCs w:val="28"/>
          <w:vertAlign w:val="superscript"/>
        </w:rPr>
        <w:t>2</w:t>
      </w:r>
      <m:oMath>
        <m:sSubSup>
          <m:sSubSupPr>
            <m:ctrlPr>
              <w:rPr>
                <w:rFonts w:ascii="Cambria Math" w:hAnsi="Cambria Math"/>
                <w:bCs/>
                <w:i/>
                <w:color w:val="000000" w:themeColor="text1"/>
                <w:sz w:val="28"/>
                <w:szCs w:val="28"/>
                <w:vertAlign w:val="superscript"/>
              </w:rPr>
            </m:ctrlPr>
          </m:sSubSupPr>
          <m:e>
            <m:nary>
              <m:naryPr>
                <m:limLoc m:val="undOvr"/>
                <m:ctrlPr>
                  <w:rPr>
                    <w:rFonts w:ascii="Cambria Math" w:hAnsi="Cambria Math"/>
                    <w:bCs/>
                    <w:i/>
                    <w:color w:val="000000" w:themeColor="text1"/>
                    <w:sz w:val="28"/>
                    <w:szCs w:val="28"/>
                    <w:vertAlign w:val="superscript"/>
                  </w:rPr>
                </m:ctrlPr>
              </m:naryPr>
              <m:sub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  <w:vertAlign w:val="superscript"/>
                  </w:rPr>
                  <m:t>x=0</m:t>
                </m:r>
              </m:sub>
              <m:sup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  <w:vertAlign w:val="superscript"/>
                  </w:rPr>
                  <m:t>x=100</m:t>
                </m:r>
              </m:sup>
              <m:e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  <w:vertAlign w:val="superscript"/>
                  </w:rPr>
                  <m:t>[(sinθ/</m:t>
                </m:r>
                <m:sSup>
                  <m:sSupPr>
                    <m:ctrlPr>
                      <w:rPr>
                        <w:rFonts w:ascii="Cambria Math" w:hAnsi="Cambria Math"/>
                        <w:bCs/>
                        <w:i/>
                        <w:color w:val="000000" w:themeColor="text1"/>
                        <w:sz w:val="28"/>
                        <w:szCs w:val="28"/>
                        <w:vertAlign w:val="superscript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  <w:sz w:val="28"/>
                        <w:szCs w:val="28"/>
                        <w:vertAlign w:val="superscript"/>
                      </w:rPr>
                      <m:t>cosθ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  <w:sz w:val="28"/>
                        <w:szCs w:val="28"/>
                        <w:vertAlign w:val="superscript"/>
                      </w:rPr>
                      <m:t>2</m:t>
                    </m:r>
                  </m:sup>
                </m:sSup>
              </m:e>
            </m:nary>
            <m: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 xml:space="preserve">) 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+ ln|</m:t>
            </m:r>
            <m:r>
              <w:rPr>
                <w:rFonts w:ascii="Cambria Math" w:hAnsi="Cambria Math"/>
                <w:sz w:val="28"/>
                <w:szCs w:val="28"/>
              </w:rPr>
              <m:t>tan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(θ/2 + π/4)|]</m:t>
            </m:r>
          </m:e>
          <m:sub>
            <m: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>θ=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>arctan⁡</m:t>
            </m:r>
            <m: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>{-</m:t>
            </m:r>
            <m:f>
              <m:fPr>
                <m:ctrlPr>
                  <w:rPr>
                    <w:rFonts w:ascii="Cambria Math" w:hAnsi="Cambria Math"/>
                    <w:bCs/>
                    <w:i/>
                    <w:color w:val="000000" w:themeColor="text1"/>
                    <w:sz w:val="28"/>
                    <w:szCs w:val="28"/>
                    <w:vertAlign w:val="superscript"/>
                  </w:rPr>
                </m:ctrlPr>
              </m:fPr>
              <m:num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  <w:vertAlign w:val="superscript"/>
                  </w:rPr>
                  <m:t>x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  <w:vertAlign w:val="superscript"/>
                  </w:rPr>
                  <m:t>L</m:t>
                </m:r>
              </m:den>
            </m:f>
            <m: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>}</m:t>
            </m:r>
          </m:sub>
          <m:sup>
            <m: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>θ=</m:t>
            </m:r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>arctan⁡</m:t>
            </m:r>
            <m: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>{</m:t>
            </m:r>
            <m:f>
              <m:fPr>
                <m:ctrlPr>
                  <w:rPr>
                    <w:rFonts w:ascii="Cambria Math" w:hAnsi="Cambria Math"/>
                    <w:bCs/>
                    <w:i/>
                    <w:color w:val="000000" w:themeColor="text1"/>
                    <w:sz w:val="28"/>
                    <w:szCs w:val="28"/>
                    <w:vertAlign w:val="superscript"/>
                  </w:rPr>
                </m:ctrlPr>
              </m:fPr>
              <m:num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  <w:vertAlign w:val="superscript"/>
                  </w:rPr>
                  <m:t>100-x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  <w:sz w:val="28"/>
                    <w:szCs w:val="28"/>
                    <w:vertAlign w:val="superscript"/>
                  </w:rPr>
                  <m:t>L</m:t>
                </m:r>
              </m:den>
            </m:f>
            <m:r>
              <w:rPr>
                <w:rFonts w:ascii="Cambria Math" w:hAnsi="Cambria Math"/>
                <w:color w:val="000000" w:themeColor="text1"/>
                <w:sz w:val="28"/>
                <w:szCs w:val="28"/>
                <w:vertAlign w:val="superscript"/>
              </w:rPr>
              <m:t>}</m:t>
            </m:r>
          </m:sup>
        </m:sSubSup>
      </m:oMath>
      <w:r>
        <w:rPr>
          <w:bCs/>
          <w:color w:val="000000" w:themeColor="text1"/>
          <w:sz w:val="28"/>
          <w:szCs w:val="28"/>
        </w:rPr>
        <w:t>dx</w:t>
      </w:r>
    </w:p>
    <w:p w14:paraId="0DEBF53C" w14:textId="77777777" w:rsidR="002763AA" w:rsidRPr="00784B07" w:rsidRDefault="002763AA" w:rsidP="002763AA">
      <w:pPr>
        <w:pStyle w:val="Acknowledgement"/>
        <w:ind w:left="0" w:firstLine="0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The integral over x was done numerically, yielding the average separation between drone numbers shown in Tables 1 and 2.</w:t>
      </w:r>
    </w:p>
    <w:p w14:paraId="39AC34D4" w14:textId="77777777" w:rsidR="00CA18A0" w:rsidRDefault="00CA18A0"/>
    <w:sectPr w:rsidR="00CA18A0" w:rsidSect="00BF5F98">
      <w:headerReference w:type="default" r:id="rId5"/>
      <w:footerReference w:type="default" r:id="rId6"/>
      <w:headerReference w:type="first" r:id="rId7"/>
      <w:footerReference w:type="first" r:id="rId8"/>
      <w:pgSz w:w="12240" w:h="15840" w:code="1"/>
      <w:pgMar w:top="1440" w:right="1440" w:bottom="1440" w:left="1440" w:header="432" w:footer="720" w:gutter="0"/>
      <w:lnNumType w:countBy="5" w:distance="72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1AF2D" w14:textId="77777777" w:rsidR="00265D2D" w:rsidRPr="00EA509C" w:rsidRDefault="002763AA" w:rsidP="00FD685E">
    <w:pPr>
      <w:pStyle w:val="Footer"/>
      <w:spacing w:after="0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4</w:t>
    </w:r>
    <w:r>
      <w:rPr>
        <w:caps/>
        <w:noProof/>
        <w:color w:val="4472C4" w:themeColor="accent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E774AF" w14:textId="77777777" w:rsidR="00265D2D" w:rsidRDefault="002763AA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1E74553D" w14:textId="77777777" w:rsidR="00265D2D" w:rsidRDefault="002763A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2BB2B9" w14:textId="77777777" w:rsidR="00265D2D" w:rsidRDefault="002763AA" w:rsidP="00FD685E">
    <w:pPr>
      <w:pStyle w:val="Header"/>
      <w:tabs>
        <w:tab w:val="clear" w:pos="4320"/>
        <w:tab w:val="clear" w:pos="8640"/>
        <w:tab w:val="left" w:pos="3240"/>
      </w:tabs>
      <w:ind w:firstLine="23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401010" w14:textId="77777777" w:rsidR="00265D2D" w:rsidRPr="00204015" w:rsidRDefault="002763AA" w:rsidP="00FD685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78BF195" wp14:editId="7EBFD171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>Submitted Manuscript: Confidential</w:t>
    </w:r>
    <w:r>
      <w:tab/>
    </w:r>
  </w:p>
  <w:p w14:paraId="30B4F940" w14:textId="77777777" w:rsidR="00265D2D" w:rsidRDefault="002763AA" w:rsidP="00FD68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99337B"/>
    <w:multiLevelType w:val="hybridMultilevel"/>
    <w:tmpl w:val="C18C97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3AA"/>
    <w:rsid w:val="000F54C4"/>
    <w:rsid w:val="002763AA"/>
    <w:rsid w:val="00530C18"/>
    <w:rsid w:val="00CA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E32F14"/>
  <w14:defaultImageDpi w14:val="32767"/>
  <w15:chartTrackingRefBased/>
  <w15:docId w15:val="{75524E7B-1FDE-1140-9914-E415D9CCE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763A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knowledgement">
    <w:name w:val="Acknowledgement"/>
    <w:basedOn w:val="Normal"/>
    <w:rsid w:val="002763AA"/>
    <w:pPr>
      <w:widowControl w:val="0"/>
      <w:spacing w:before="120" w:after="360" w:line="480" w:lineRule="auto"/>
      <w:ind w:left="720" w:hanging="720"/>
    </w:pPr>
  </w:style>
  <w:style w:type="paragraph" w:styleId="Footer">
    <w:name w:val="footer"/>
    <w:basedOn w:val="Normal"/>
    <w:link w:val="FooterChar"/>
    <w:uiPriority w:val="99"/>
    <w:rsid w:val="002763AA"/>
    <w:pPr>
      <w:widowControl w:val="0"/>
      <w:tabs>
        <w:tab w:val="center" w:pos="4320"/>
        <w:tab w:val="right" w:pos="8640"/>
      </w:tabs>
      <w:spacing w:before="360" w:after="360" w:line="48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63AA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rsid w:val="002763AA"/>
    <w:pPr>
      <w:widowControl w:val="0"/>
      <w:tabs>
        <w:tab w:val="center" w:pos="4320"/>
        <w:tab w:val="right" w:pos="8640"/>
      </w:tabs>
      <w:spacing w:before="360" w:after="360" w:line="480" w:lineRule="auto"/>
    </w:pPr>
  </w:style>
  <w:style w:type="character" w:customStyle="1" w:styleId="HeaderChar">
    <w:name w:val="Header Char"/>
    <w:basedOn w:val="DefaultParagraphFont"/>
    <w:link w:val="Header"/>
    <w:rsid w:val="002763AA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2763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1208</Characters>
  <Application>Microsoft Office Word</Application>
  <DocSecurity>0</DocSecurity>
  <Lines>27</Lines>
  <Paragraphs>11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Walbridge</dc:creator>
  <cp:keywords/>
  <dc:description/>
  <cp:lastModifiedBy>Edward Walbridge</cp:lastModifiedBy>
  <cp:revision>1</cp:revision>
  <dcterms:created xsi:type="dcterms:W3CDTF">2020-07-28T03:22:00Z</dcterms:created>
  <dcterms:modified xsi:type="dcterms:W3CDTF">2020-07-28T03:23:00Z</dcterms:modified>
</cp:coreProperties>
</file>