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110F49">
        <w:rPr>
          <w:rFonts w:ascii="Times New Roman" w:hAnsi="Times New Roman" w:cs="Times New Roman"/>
          <w:sz w:val="24"/>
          <w:szCs w:val="24"/>
        </w:rPr>
        <w:t xml:space="preserve">Supplementary Table 1: Risk thermometer for </w:t>
      </w:r>
      <w:proofErr w:type="gramStart"/>
      <w:r w:rsidRPr="00110F49">
        <w:rPr>
          <w:rFonts w:ascii="Times New Roman" w:hAnsi="Times New Roman" w:cs="Times New Roman"/>
          <w:sz w:val="24"/>
          <w:szCs w:val="24"/>
        </w:rPr>
        <w:t>As</w:t>
      </w:r>
      <w:proofErr w:type="gramEnd"/>
      <w:r w:rsidRPr="00110F49">
        <w:rPr>
          <w:rFonts w:ascii="Times New Roman" w:hAnsi="Times New Roman" w:cs="Times New Roman"/>
          <w:sz w:val="24"/>
          <w:szCs w:val="24"/>
        </w:rPr>
        <w:t xml:space="preserve"> </w:t>
      </w:r>
      <w:r w:rsidRPr="00110F49">
        <w:rPr>
          <w:rFonts w:ascii="Times New Roman" w:hAnsi="Times New Roman" w:cs="Times New Roman"/>
          <w:bCs/>
          <w:sz w:val="24"/>
          <w:szCs w:val="24"/>
        </w:rPr>
        <w:t xml:space="preserve">toxicity through consumption of locally grown </w:t>
      </w:r>
      <w:bookmarkEnd w:id="0"/>
      <w:r w:rsidRPr="00110F49">
        <w:rPr>
          <w:rFonts w:ascii="Times New Roman" w:hAnsi="Times New Roman" w:cs="Times New Roman"/>
          <w:bCs/>
          <w:sz w:val="24"/>
          <w:szCs w:val="24"/>
        </w:rPr>
        <w:t xml:space="preserve">rice </w:t>
      </w:r>
    </w:p>
    <w:tbl>
      <w:tblPr>
        <w:tblStyle w:val="TableGridLight1"/>
        <w:tblW w:w="5495" w:type="dxa"/>
        <w:tblLook w:val="04A0" w:firstRow="1" w:lastRow="0" w:firstColumn="1" w:lastColumn="0" w:noHBand="0" w:noVBand="1"/>
      </w:tblPr>
      <w:tblGrid>
        <w:gridCol w:w="1668"/>
        <w:gridCol w:w="1701"/>
        <w:gridCol w:w="992"/>
        <w:gridCol w:w="1134"/>
      </w:tblGrid>
      <w:tr w:rsidR="00045D54" w:rsidRPr="00110F49" w:rsidTr="00DC320A">
        <w:trPr>
          <w:trHeight w:val="351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0F49">
              <w:rPr>
                <w:rFonts w:ascii="Times New Roman" w:hAnsi="Times New Roman"/>
                <w:b/>
                <w:sz w:val="24"/>
                <w:szCs w:val="24"/>
              </w:rPr>
              <w:t>Blocks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0F49">
              <w:rPr>
                <w:rFonts w:ascii="Times New Roman" w:hAnsi="Times New Roman"/>
                <w:b/>
                <w:sz w:val="24"/>
                <w:szCs w:val="24"/>
              </w:rPr>
              <w:t>Raw rice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0F49">
              <w:rPr>
                <w:rFonts w:ascii="Times New Roman" w:hAnsi="Times New Roman"/>
                <w:b/>
                <w:sz w:val="24"/>
                <w:szCs w:val="24"/>
              </w:rPr>
              <w:t>ADI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0F49">
              <w:rPr>
                <w:rFonts w:ascii="Times New Roman" w:hAnsi="Times New Roman"/>
                <w:b/>
                <w:sz w:val="24"/>
                <w:szCs w:val="24"/>
              </w:rPr>
              <w:t>SAMOE</w:t>
            </w:r>
          </w:p>
        </w:tc>
      </w:tr>
      <w:tr w:rsidR="00045D54" w:rsidRPr="00110F49" w:rsidTr="00DC320A">
        <w:trPr>
          <w:trHeight w:val="432"/>
        </w:trPr>
        <w:tc>
          <w:tcPr>
            <w:tcW w:w="1668" w:type="dxa"/>
            <w:tcBorders>
              <w:top w:val="single" w:sz="4" w:space="0" w:color="auto"/>
            </w:tcBorders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0F49">
              <w:rPr>
                <w:rFonts w:ascii="Times New Roman" w:hAnsi="Times New Roman"/>
                <w:sz w:val="24"/>
                <w:szCs w:val="24"/>
              </w:rPr>
              <w:t>Ratua</w:t>
            </w:r>
            <w:proofErr w:type="spellEnd"/>
            <w:r w:rsidRPr="00110F49">
              <w:rPr>
                <w:rFonts w:ascii="Times New Roman" w:hAnsi="Times New Roman"/>
                <w:sz w:val="24"/>
                <w:szCs w:val="24"/>
              </w:rPr>
              <w:t xml:space="preserve"> I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0.115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0.8118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</w:tr>
      <w:tr w:rsidR="00045D54" w:rsidRPr="00110F49" w:rsidTr="00DC320A">
        <w:trPr>
          <w:trHeight w:val="432"/>
        </w:trPr>
        <w:tc>
          <w:tcPr>
            <w:tcW w:w="1668" w:type="dxa"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0F49">
              <w:rPr>
                <w:rFonts w:ascii="Times New Roman" w:hAnsi="Times New Roman"/>
                <w:sz w:val="24"/>
                <w:szCs w:val="24"/>
              </w:rPr>
              <w:t>Manikchak</w:t>
            </w:r>
            <w:proofErr w:type="spellEnd"/>
          </w:p>
        </w:tc>
        <w:tc>
          <w:tcPr>
            <w:tcW w:w="1701" w:type="dxa"/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0.262</w:t>
            </w:r>
          </w:p>
        </w:tc>
        <w:tc>
          <w:tcPr>
            <w:tcW w:w="992" w:type="dxa"/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1.8494</w:t>
            </w:r>
          </w:p>
        </w:tc>
        <w:tc>
          <w:tcPr>
            <w:tcW w:w="1134" w:type="dxa"/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0.01</w:t>
            </w:r>
          </w:p>
        </w:tc>
      </w:tr>
      <w:tr w:rsidR="00045D54" w:rsidRPr="00110F49" w:rsidTr="00DC320A">
        <w:trPr>
          <w:trHeight w:val="432"/>
        </w:trPr>
        <w:tc>
          <w:tcPr>
            <w:tcW w:w="1668" w:type="dxa"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0F49">
              <w:rPr>
                <w:rFonts w:ascii="Times New Roman" w:hAnsi="Times New Roman"/>
                <w:sz w:val="24"/>
                <w:szCs w:val="24"/>
              </w:rPr>
              <w:t>Kaliachak</w:t>
            </w:r>
            <w:proofErr w:type="spellEnd"/>
            <w:r w:rsidRPr="00110F49">
              <w:rPr>
                <w:rFonts w:ascii="Times New Roman" w:hAnsi="Times New Roman"/>
                <w:sz w:val="24"/>
                <w:szCs w:val="24"/>
              </w:rPr>
              <w:t xml:space="preserve"> I</w:t>
            </w:r>
          </w:p>
        </w:tc>
        <w:tc>
          <w:tcPr>
            <w:tcW w:w="1701" w:type="dxa"/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0.194</w:t>
            </w:r>
          </w:p>
        </w:tc>
        <w:tc>
          <w:tcPr>
            <w:tcW w:w="992" w:type="dxa"/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1.3694</w:t>
            </w:r>
          </w:p>
        </w:tc>
        <w:tc>
          <w:tcPr>
            <w:tcW w:w="1134" w:type="dxa"/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</w:tr>
      <w:tr w:rsidR="00045D54" w:rsidRPr="00110F49" w:rsidTr="00DC320A">
        <w:trPr>
          <w:trHeight w:val="432"/>
        </w:trPr>
        <w:tc>
          <w:tcPr>
            <w:tcW w:w="1668" w:type="dxa"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0F49">
              <w:rPr>
                <w:rFonts w:ascii="Times New Roman" w:hAnsi="Times New Roman"/>
                <w:sz w:val="24"/>
                <w:szCs w:val="24"/>
              </w:rPr>
              <w:t>Kaliachak</w:t>
            </w:r>
            <w:proofErr w:type="spellEnd"/>
            <w:r w:rsidRPr="00110F49">
              <w:rPr>
                <w:rFonts w:ascii="Times New Roman" w:hAnsi="Times New Roman"/>
                <w:sz w:val="24"/>
                <w:szCs w:val="24"/>
              </w:rPr>
              <w:t xml:space="preserve"> II</w:t>
            </w:r>
          </w:p>
        </w:tc>
        <w:tc>
          <w:tcPr>
            <w:tcW w:w="1701" w:type="dxa"/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0.201</w:t>
            </w:r>
          </w:p>
        </w:tc>
        <w:tc>
          <w:tcPr>
            <w:tcW w:w="992" w:type="dxa"/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1.4188</w:t>
            </w:r>
          </w:p>
        </w:tc>
        <w:tc>
          <w:tcPr>
            <w:tcW w:w="1134" w:type="dxa"/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</w:tr>
      <w:tr w:rsidR="00045D54" w:rsidRPr="00110F49" w:rsidTr="00DC320A">
        <w:trPr>
          <w:trHeight w:val="432"/>
        </w:trPr>
        <w:tc>
          <w:tcPr>
            <w:tcW w:w="1668" w:type="dxa"/>
            <w:tcBorders>
              <w:bottom w:val="single" w:sz="4" w:space="0" w:color="auto"/>
            </w:tcBorders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0F49">
              <w:rPr>
                <w:rFonts w:ascii="Times New Roman" w:hAnsi="Times New Roman"/>
                <w:sz w:val="24"/>
                <w:szCs w:val="24"/>
              </w:rPr>
              <w:t>Kaliachak</w:t>
            </w:r>
            <w:proofErr w:type="spellEnd"/>
            <w:r w:rsidRPr="00110F49">
              <w:rPr>
                <w:rFonts w:ascii="Times New Roman" w:hAnsi="Times New Roman"/>
                <w:sz w:val="24"/>
                <w:szCs w:val="24"/>
              </w:rPr>
              <w:t xml:space="preserve"> III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0.233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1.6447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:rsidR="00045D54" w:rsidRPr="00110F49" w:rsidRDefault="00045D54" w:rsidP="00DC320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0F49"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</w:tr>
    </w:tbl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0F49">
        <w:rPr>
          <w:rFonts w:ascii="Times New Roman" w:hAnsi="Times New Roman" w:cs="Times New Roman"/>
          <w:bCs/>
          <w:sz w:val="24"/>
          <w:szCs w:val="24"/>
        </w:rPr>
        <w:lastRenderedPageBreak/>
        <w:t>Supplementary Fig.1.</w:t>
      </w:r>
      <w:r w:rsidRPr="00110F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10F49">
        <w:rPr>
          <w:rFonts w:ascii="Times New Roman" w:hAnsi="Times New Roman" w:cs="Times New Roman"/>
          <w:sz w:val="24"/>
          <w:szCs w:val="24"/>
        </w:rPr>
        <w:t xml:space="preserve">Concentration of </w:t>
      </w:r>
      <w:proofErr w:type="gramStart"/>
      <w:r w:rsidRPr="00110F49">
        <w:rPr>
          <w:rFonts w:ascii="Times New Roman" w:hAnsi="Times New Roman" w:cs="Times New Roman"/>
          <w:sz w:val="24"/>
          <w:szCs w:val="24"/>
        </w:rPr>
        <w:t>As</w:t>
      </w:r>
      <w:proofErr w:type="gramEnd"/>
      <w:r w:rsidRPr="00110F49">
        <w:rPr>
          <w:rFonts w:ascii="Times New Roman" w:hAnsi="Times New Roman" w:cs="Times New Roman"/>
          <w:sz w:val="24"/>
          <w:szCs w:val="24"/>
        </w:rPr>
        <w:t xml:space="preserve"> in different parts of rice plants cultivated in the five blocks of </w:t>
      </w:r>
      <w:proofErr w:type="spellStart"/>
      <w:r w:rsidRPr="00110F49">
        <w:rPr>
          <w:rFonts w:ascii="Times New Roman" w:hAnsi="Times New Roman" w:cs="Times New Roman"/>
          <w:sz w:val="24"/>
          <w:szCs w:val="24"/>
        </w:rPr>
        <w:t>Maldah</w:t>
      </w:r>
      <w:proofErr w:type="spellEnd"/>
      <w:r w:rsidRPr="00110F49">
        <w:rPr>
          <w:rFonts w:ascii="Times New Roman" w:hAnsi="Times New Roman" w:cs="Times New Roman"/>
          <w:sz w:val="24"/>
          <w:szCs w:val="24"/>
        </w:rPr>
        <w:t xml:space="preserve"> district</w:t>
      </w: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0F4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C07FBD" wp14:editId="47F16827">
            <wp:extent cx="5731510" cy="3615406"/>
            <wp:effectExtent l="0" t="0" r="2540" b="4445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3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5D54" w:rsidRPr="00110F49" w:rsidRDefault="00045D54" w:rsidP="00045D54">
      <w:pPr>
        <w:tabs>
          <w:tab w:val="left" w:pos="1044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7C93" w:rsidRDefault="00FB7C93"/>
    <w:sectPr w:rsidR="00FB7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D54"/>
    <w:rsid w:val="00045D54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0539FC-C2EB-47A7-B917-5800FD52C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45D54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5D54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GridLight1">
    <w:name w:val="Table Grid Light1"/>
    <w:basedOn w:val="TableNormal"/>
    <w:uiPriority w:val="40"/>
    <w:rsid w:val="00045D54"/>
    <w:pPr>
      <w:widowControl w:val="0"/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buri%20thesis\Obj%201\Obj%201%20figure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668048561067688"/>
          <c:y val="6.4281515708739995E-2"/>
          <c:w val="0.69391780974374651"/>
          <c:h val="0.6710002610930182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'22-28 Maldah'!$K$1</c:f>
              <c:strCache>
                <c:ptCount val="1"/>
                <c:pt idx="0">
                  <c:v>Root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</c:spPr>
          <c:invertIfNegative val="0"/>
          <c:cat>
            <c:strRef>
              <c:f>'22-28 Maldah'!$J$2:$J$6</c:f>
              <c:strCache>
                <c:ptCount val="5"/>
                <c:pt idx="0">
                  <c:v>Ratua</c:v>
                </c:pt>
                <c:pt idx="1">
                  <c:v>Manikchak</c:v>
                </c:pt>
                <c:pt idx="2">
                  <c:v>Kaliachak-I</c:v>
                </c:pt>
                <c:pt idx="3">
                  <c:v>Kaliachak-II</c:v>
                </c:pt>
                <c:pt idx="4">
                  <c:v>Kaliachak-III</c:v>
                </c:pt>
              </c:strCache>
            </c:strRef>
          </c:cat>
          <c:val>
            <c:numRef>
              <c:f>'22-28 Maldah'!$K$2:$K$6</c:f>
              <c:numCache>
                <c:formatCode>0.00</c:formatCode>
                <c:ptCount val="5"/>
                <c:pt idx="0">
                  <c:v>7.56</c:v>
                </c:pt>
                <c:pt idx="1">
                  <c:v>11.93</c:v>
                </c:pt>
                <c:pt idx="2">
                  <c:v>13.03</c:v>
                </c:pt>
                <c:pt idx="3">
                  <c:v>11.06</c:v>
                </c:pt>
                <c:pt idx="4">
                  <c:v>12.22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C54-40E0-8A7B-5CE3769F69D2}"/>
            </c:ext>
          </c:extLst>
        </c:ser>
        <c:ser>
          <c:idx val="1"/>
          <c:order val="1"/>
          <c:tx>
            <c:strRef>
              <c:f>'22-28 Maldah'!$L$1</c:f>
              <c:strCache>
                <c:ptCount val="1"/>
                <c:pt idx="0">
                  <c:v>Straw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  <a:ln>
              <a:solidFill>
                <a:schemeClr val="tx1"/>
              </a:solidFill>
            </a:ln>
          </c:spPr>
          <c:invertIfNegative val="0"/>
          <c:cat>
            <c:strRef>
              <c:f>'22-28 Maldah'!$J$2:$J$6</c:f>
              <c:strCache>
                <c:ptCount val="5"/>
                <c:pt idx="0">
                  <c:v>Ratua</c:v>
                </c:pt>
                <c:pt idx="1">
                  <c:v>Manikchak</c:v>
                </c:pt>
                <c:pt idx="2">
                  <c:v>Kaliachak-I</c:v>
                </c:pt>
                <c:pt idx="3">
                  <c:v>Kaliachak-II</c:v>
                </c:pt>
                <c:pt idx="4">
                  <c:v>Kaliachak-III</c:v>
                </c:pt>
              </c:strCache>
            </c:strRef>
          </c:cat>
          <c:val>
            <c:numRef>
              <c:f>'22-28 Maldah'!$L$2:$L$6</c:f>
              <c:numCache>
                <c:formatCode>0.00</c:formatCode>
                <c:ptCount val="5"/>
                <c:pt idx="0">
                  <c:v>1.25</c:v>
                </c:pt>
                <c:pt idx="1">
                  <c:v>1.6800000000000008</c:v>
                </c:pt>
                <c:pt idx="2">
                  <c:v>2.08</c:v>
                </c:pt>
                <c:pt idx="3">
                  <c:v>2.1</c:v>
                </c:pt>
                <c:pt idx="4">
                  <c:v>2.1800000000000002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C54-40E0-8A7B-5CE3769F69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2784512"/>
        <c:axId val="92780416"/>
      </c:barChart>
      <c:lineChart>
        <c:grouping val="standard"/>
        <c:varyColors val="0"/>
        <c:ser>
          <c:idx val="2"/>
          <c:order val="2"/>
          <c:tx>
            <c:strRef>
              <c:f>'22-28 Maldah'!$M$1</c:f>
              <c:strCache>
                <c:ptCount val="1"/>
                <c:pt idx="0">
                  <c:v>Grain</c:v>
                </c:pt>
              </c:strCache>
            </c:strRef>
          </c:tx>
          <c:spPr>
            <a:ln w="6350">
              <a:solidFill>
                <a:schemeClr val="tx1"/>
              </a:solidFill>
            </a:ln>
          </c:spPr>
          <c:marker>
            <c:symbol val="triangle"/>
            <c:size val="6"/>
            <c:spPr>
              <a:solidFill>
                <a:schemeClr val="tx1"/>
              </a:solidFill>
              <a:ln w="3175">
                <a:solidFill>
                  <a:schemeClr val="tx1"/>
                </a:solidFill>
              </a:ln>
            </c:spPr>
          </c:marker>
          <c:cat>
            <c:strRef>
              <c:f>'22-28 Maldah'!$J$2:$J$6</c:f>
              <c:strCache>
                <c:ptCount val="5"/>
                <c:pt idx="0">
                  <c:v>Ratua</c:v>
                </c:pt>
                <c:pt idx="1">
                  <c:v>Manikchak</c:v>
                </c:pt>
                <c:pt idx="2">
                  <c:v>Kaliachak-I</c:v>
                </c:pt>
                <c:pt idx="3">
                  <c:v>Kaliachak-II</c:v>
                </c:pt>
                <c:pt idx="4">
                  <c:v>Kaliachak-III</c:v>
                </c:pt>
              </c:strCache>
            </c:strRef>
          </c:cat>
          <c:val>
            <c:numRef>
              <c:f>'22-28 Maldah'!$M$2:$M$6</c:f>
              <c:numCache>
                <c:formatCode>0.00</c:formatCode>
                <c:ptCount val="5"/>
                <c:pt idx="0">
                  <c:v>0.19</c:v>
                </c:pt>
                <c:pt idx="1">
                  <c:v>0.43000000000000022</c:v>
                </c:pt>
                <c:pt idx="2">
                  <c:v>0.33000000000000035</c:v>
                </c:pt>
                <c:pt idx="3">
                  <c:v>0.34</c:v>
                </c:pt>
                <c:pt idx="4">
                  <c:v>0.45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C54-40E0-8A7B-5CE3769F69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1797376"/>
        <c:axId val="92735744"/>
      </c:lineChart>
      <c:catAx>
        <c:axId val="9179737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100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Selected blocks of </a:t>
                </a:r>
                <a:r>
                  <a:rPr lang="en-US" sz="1100" b="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Maldah district</a:t>
                </a:r>
                <a:endParaRPr lang="en-US" sz="1100" b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34470530406314054"/>
              <c:y val="0.81755287133610921"/>
            </c:manualLayout>
          </c:layout>
          <c:overlay val="0"/>
        </c:title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1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92735744"/>
        <c:crosses val="autoZero"/>
        <c:auto val="1"/>
        <c:lblAlgn val="ctr"/>
        <c:lblOffset val="100"/>
        <c:noMultiLvlLbl val="0"/>
      </c:catAx>
      <c:valAx>
        <c:axId val="9273574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100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As</a:t>
                </a:r>
                <a:r>
                  <a:rPr lang="en-US" sz="1100" b="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concentration (mg kg</a:t>
                </a:r>
                <a:r>
                  <a:rPr lang="en-US" sz="1100" b="0" baseline="30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-1</a:t>
                </a:r>
                <a:r>
                  <a:rPr lang="en-US" sz="1100" b="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en-US" sz="1100" b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2.5345612717138272E-2"/>
              <c:y val="0.16345112174329718"/>
            </c:manualLayout>
          </c:layout>
          <c:overlay val="0"/>
        </c:title>
        <c:numFmt formatCode="0.00" sourceLinked="1"/>
        <c:majorTickMark val="out"/>
        <c:minorTickMark val="none"/>
        <c:tickLblPos val="nextTo"/>
        <c:txPr>
          <a:bodyPr/>
          <a:lstStyle/>
          <a:p>
            <a:pPr>
              <a:defRPr sz="11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91797376"/>
        <c:crosses val="autoZero"/>
        <c:crossBetween val="between"/>
        <c:majorUnit val="0.1"/>
      </c:valAx>
      <c:valAx>
        <c:axId val="92780416"/>
        <c:scaling>
          <c:orientation val="minMax"/>
        </c:scaling>
        <c:delete val="0"/>
        <c:axPos val="r"/>
        <c:title>
          <c:tx>
            <c:rich>
              <a:bodyPr rot="5400000" vert="horz"/>
              <a:lstStyle/>
              <a:p>
                <a:pPr>
                  <a:defRPr/>
                </a:pPr>
                <a:r>
                  <a:rPr lang="en-US" sz="1100" b="0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As concentration (mg kg</a:t>
                </a:r>
                <a:r>
                  <a:rPr lang="en-US" sz="1100" b="0" i="0" baseline="3000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-1</a:t>
                </a:r>
                <a:r>
                  <a:rPr lang="en-US" sz="1100" b="0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en-US" sz="110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94625580812999122"/>
              <c:y val="0.19614866942722092"/>
            </c:manualLayout>
          </c:layout>
          <c:overlay val="0"/>
        </c:title>
        <c:numFmt formatCode="0.00" sourceLinked="1"/>
        <c:majorTickMark val="out"/>
        <c:minorTickMark val="none"/>
        <c:tickLblPos val="nextTo"/>
        <c:txPr>
          <a:bodyPr/>
          <a:lstStyle/>
          <a:p>
            <a:pPr>
              <a:defRPr sz="11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92784512"/>
        <c:crosses val="max"/>
        <c:crossBetween val="between"/>
      </c:valAx>
      <c:catAx>
        <c:axId val="9278451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92780416"/>
        <c:crosses val="autoZero"/>
        <c:auto val="1"/>
        <c:lblAlgn val="ctr"/>
        <c:lblOffset val="100"/>
        <c:noMultiLvlLbl val="0"/>
      </c:catAx>
    </c:plotArea>
    <c:legend>
      <c:legendPos val="r"/>
      <c:layout>
        <c:manualLayout>
          <c:xMode val="edge"/>
          <c:yMode val="edge"/>
          <c:x val="0.3546230524594508"/>
          <c:y val="2.877185878177399E-2"/>
          <c:w val="0.48018882798660811"/>
          <c:h val="6.8857246137646017E-2"/>
        </c:manualLayout>
      </c:layout>
      <c:overlay val="0"/>
      <c:txPr>
        <a:bodyPr/>
        <a:lstStyle/>
        <a:p>
          <a:pPr>
            <a:defRPr sz="11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2021-05-15T14:56:00Z</dcterms:created>
  <dcterms:modified xsi:type="dcterms:W3CDTF">2021-05-15T14:56:00Z</dcterms:modified>
</cp:coreProperties>
</file>