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01C2D" w14:textId="19497032" w:rsidR="00700DAC" w:rsidRPr="00984C82" w:rsidRDefault="00700DAC" w:rsidP="007063F8">
      <w:pPr>
        <w:spacing w:line="480" w:lineRule="auto"/>
        <w:rPr>
          <w:rFonts w:ascii="Arial" w:hAnsi="Arial" w:cs="Arial"/>
          <w:b/>
          <w:bCs/>
          <w:sz w:val="20"/>
          <w:szCs w:val="20"/>
          <w:lang w:val="en-US"/>
        </w:rPr>
      </w:pPr>
      <w:r w:rsidRPr="00984C82">
        <w:rPr>
          <w:rFonts w:ascii="Arial" w:hAnsi="Arial" w:cs="Arial"/>
          <w:b/>
          <w:bCs/>
          <w:sz w:val="20"/>
          <w:szCs w:val="20"/>
          <w:lang w:val="en-US"/>
        </w:rPr>
        <w:t>METHODS</w:t>
      </w:r>
    </w:p>
    <w:p w14:paraId="5CB5D8B7" w14:textId="77777777" w:rsidR="00700DAC" w:rsidRPr="00984C82" w:rsidRDefault="00700DAC" w:rsidP="007063F8">
      <w:pPr>
        <w:spacing w:line="480" w:lineRule="auto"/>
        <w:rPr>
          <w:rFonts w:ascii="Arial" w:hAnsi="Arial" w:cs="Arial"/>
          <w:b/>
          <w:bCs/>
          <w:sz w:val="20"/>
          <w:szCs w:val="20"/>
          <w:lang w:val="en-US"/>
        </w:rPr>
      </w:pPr>
    </w:p>
    <w:p w14:paraId="4747D3C0" w14:textId="77777777" w:rsidR="00700DAC" w:rsidRPr="00984C82" w:rsidRDefault="00700DAC" w:rsidP="007063F8">
      <w:pPr>
        <w:spacing w:line="480" w:lineRule="auto"/>
        <w:rPr>
          <w:rFonts w:ascii="Arial" w:hAnsi="Arial" w:cs="Arial"/>
          <w:b/>
          <w:bCs/>
          <w:sz w:val="20"/>
          <w:szCs w:val="20"/>
          <w:lang w:val="en-US"/>
        </w:rPr>
      </w:pPr>
      <w:r w:rsidRPr="00984C82">
        <w:rPr>
          <w:rFonts w:ascii="Arial" w:hAnsi="Arial" w:cs="Arial"/>
          <w:b/>
          <w:bCs/>
          <w:sz w:val="20"/>
          <w:szCs w:val="20"/>
          <w:lang w:val="en-US"/>
        </w:rPr>
        <w:t>Invertebrate Diversity Datasets</w:t>
      </w:r>
    </w:p>
    <w:p w14:paraId="29933C7A" w14:textId="77777777" w:rsidR="00700DAC" w:rsidRPr="00984C82" w:rsidRDefault="00700DAC" w:rsidP="007063F8">
      <w:pPr>
        <w:spacing w:line="480" w:lineRule="auto"/>
        <w:rPr>
          <w:rFonts w:ascii="Arial" w:hAnsi="Arial" w:cs="Arial"/>
          <w:b/>
          <w:bCs/>
          <w:sz w:val="20"/>
          <w:szCs w:val="20"/>
          <w:lang w:val="en-US"/>
        </w:rPr>
      </w:pPr>
    </w:p>
    <w:p w14:paraId="5F543619" w14:textId="775B148B" w:rsidR="008A102B" w:rsidRPr="00984C82" w:rsidRDefault="00700DAC" w:rsidP="007063F8">
      <w:pPr>
        <w:spacing w:line="480" w:lineRule="auto"/>
        <w:rPr>
          <w:rFonts w:ascii="Arial" w:hAnsi="Arial" w:cs="Arial"/>
          <w:sz w:val="20"/>
          <w:szCs w:val="20"/>
          <w:lang w:val="en-US"/>
        </w:rPr>
      </w:pPr>
      <w:r w:rsidRPr="00984C82">
        <w:rPr>
          <w:rFonts w:ascii="Arial" w:hAnsi="Arial" w:cs="Arial"/>
          <w:sz w:val="20"/>
          <w:szCs w:val="20"/>
          <w:lang w:val="en-US"/>
        </w:rPr>
        <w:t>We utilized all of the available terrestrial tropical primary forest datasets that were referenced by van Klink et al. in 2020</w:t>
      </w:r>
      <w:r w:rsidRPr="00984C82">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{"citationID":"xr6EdZgG","properties":{"formattedCitation":"\\super 1\\nosupersub{}","plainCitation":"1","noteIndex":0},"citationItems":[{"id":191,"uris":["http://zotero.org/users/local/e9sA6OhB/items/G4UBR7L8"],"itemData":{"id":191,"type":"article-journal","abstract":"Recent case studies showing substantial declines of insect abundances have raised alarm, but how widespread such patterns are remains unclear. We compiled data from 166 long-term surveys of insect assemblages across 1676 sites to investigate trends in insect abundances over time. Overall, we found considerable variation in trends even among adjacent sites but an average decline of terrestrial insect abundance by ~9% per decade and an increase of freshwater insect abundance by ~11% per decade. Both patterns were largely driven by strong trends in North America and some European regions. We found some associations with potential drivers (e.g., land-use drivers), and trends in protected areas tended to be weaker. Our findings provide a more nuanced view of spatiotemporal patterns of insect abundance trends than previously suggested.","container-title":"Science","DOI":"10.1126/SCIENCE.AAX9931/SUPPL_FILE/AAX9931-VANKLINK-SM.PDF","ISSN":"10959203","issue":"6489","note":"PMID: 32327596\npublisher: American Association for the Advancement of Science","page":"417-420","title":"Meta-analysis reveals declines in terrestrial but increases in freshwater insect abundances","volume":"368","author":[{"family":"Klink","given":"Roel","non-dropping-particle":"van"},{"family":"Bowler","given":"Diana E."},{"family":"Gongalsky","given":"Konstantin B."},{"family":"Swengel","given":"Ann B."},{"family":"Gentile","given":"Alessandro"},{"family":"Chase","given":"Jonathan M."}],"issued":{"date-parts":[["2020",4,24]]}}}],"schema":"https://github.com/citation-style-language/schema/raw/master/csl-citation.json"} </w:instrText>
      </w:r>
      <w:r w:rsidRPr="00984C82">
        <w:rPr>
          <w:rFonts w:ascii="Arial" w:hAnsi="Arial" w:cs="Arial"/>
          <w:sz w:val="20"/>
          <w:szCs w:val="20"/>
          <w:lang w:val="en-US"/>
        </w:rPr>
        <w:fldChar w:fldCharType="separate"/>
      </w:r>
      <w:r w:rsidR="00E92A52" w:rsidRPr="00E92A52">
        <w:rPr>
          <w:rFonts w:ascii="Arial" w:hAnsi="Arial" w:cs="Arial"/>
          <w:sz w:val="20"/>
          <w:vertAlign w:val="superscript"/>
          <w:lang w:val="en-GB"/>
        </w:rPr>
        <w:t>1</w:t>
      </w:r>
      <w:r w:rsidRPr="00984C82">
        <w:rPr>
          <w:rFonts w:ascii="Arial" w:hAnsi="Arial" w:cs="Arial"/>
          <w:sz w:val="20"/>
          <w:szCs w:val="20"/>
          <w:lang w:val="en-US"/>
        </w:rPr>
        <w:fldChar w:fldCharType="end"/>
      </w:r>
      <w:r w:rsidRPr="00984C82">
        <w:rPr>
          <w:rFonts w:ascii="Arial" w:hAnsi="Arial" w:cs="Arial"/>
          <w:sz w:val="20"/>
          <w:szCs w:val="20"/>
          <w:lang w:val="en-US"/>
        </w:rPr>
        <w:t xml:space="preserve"> and performed an extensive search of the literature published </w:t>
      </w:r>
      <w:r w:rsidR="008A102B" w:rsidRPr="00984C82">
        <w:rPr>
          <w:rFonts w:ascii="Arial" w:hAnsi="Arial" w:cs="Arial"/>
          <w:sz w:val="20"/>
          <w:szCs w:val="20"/>
          <w:lang w:val="en-US"/>
        </w:rPr>
        <w:t>between 2020 and June 2024</w:t>
      </w:r>
      <w:r w:rsidRPr="00984C82">
        <w:rPr>
          <w:rFonts w:ascii="Arial" w:hAnsi="Arial" w:cs="Arial"/>
          <w:sz w:val="20"/>
          <w:szCs w:val="20"/>
          <w:lang w:val="en-US"/>
        </w:rPr>
        <w:t xml:space="preserve"> to add further datasets. The only criteria that we applied to our search </w:t>
      </w:r>
      <w:r w:rsidR="008A102B" w:rsidRPr="00984C82">
        <w:rPr>
          <w:rFonts w:ascii="Arial" w:hAnsi="Arial" w:cs="Arial"/>
          <w:sz w:val="20"/>
          <w:szCs w:val="20"/>
          <w:lang w:val="en-US"/>
        </w:rPr>
        <w:t>were:</w:t>
      </w:r>
      <w:r w:rsidR="00984C82" w:rsidRPr="00984C82">
        <w:rPr>
          <w:rFonts w:ascii="Arial" w:hAnsi="Arial" w:cs="Arial"/>
          <w:sz w:val="20"/>
          <w:szCs w:val="20"/>
          <w:lang w:val="en-US"/>
        </w:rPr>
        <w:t xml:space="preserve"> 1 – </w:t>
      </w:r>
      <w:r w:rsidR="008A102B" w:rsidRPr="00984C82">
        <w:rPr>
          <w:rFonts w:ascii="Arial" w:hAnsi="Arial" w:cs="Arial"/>
          <w:sz w:val="20"/>
          <w:szCs w:val="20"/>
          <w:lang w:val="en-US"/>
        </w:rPr>
        <w:t>Invertebrate sampling should be standardized in search effort</w:t>
      </w:r>
      <w:r w:rsidR="00984C82" w:rsidRPr="00984C82">
        <w:rPr>
          <w:rFonts w:ascii="Arial" w:hAnsi="Arial" w:cs="Arial"/>
          <w:sz w:val="20"/>
          <w:szCs w:val="20"/>
          <w:lang w:val="en-US"/>
        </w:rPr>
        <w:t xml:space="preserve">; 2 – </w:t>
      </w:r>
      <w:r w:rsidR="008A102B" w:rsidRPr="00984C82">
        <w:rPr>
          <w:rFonts w:ascii="Arial" w:hAnsi="Arial" w:cs="Arial"/>
          <w:sz w:val="20"/>
          <w:szCs w:val="20"/>
          <w:lang w:val="en-US"/>
        </w:rPr>
        <w:t>Data collection should span a minimum of five years, although there was no limit on the minimum number of years surveyed within that span</w:t>
      </w:r>
      <w:r w:rsidR="00984C82" w:rsidRPr="00984C82">
        <w:rPr>
          <w:rFonts w:ascii="Arial" w:hAnsi="Arial" w:cs="Arial"/>
          <w:sz w:val="20"/>
          <w:szCs w:val="20"/>
          <w:lang w:val="en-US"/>
        </w:rPr>
        <w:t xml:space="preserve">; 3 – </w:t>
      </w:r>
      <w:r w:rsidR="008A102B" w:rsidRPr="00984C82">
        <w:rPr>
          <w:rFonts w:ascii="Arial" w:hAnsi="Arial" w:cs="Arial"/>
          <w:sz w:val="20"/>
          <w:szCs w:val="20"/>
          <w:lang w:val="en-US"/>
        </w:rPr>
        <w:t>Invertebrates should be identified to at least order-level</w:t>
      </w:r>
      <w:r w:rsidR="00984C82" w:rsidRPr="00984C82">
        <w:rPr>
          <w:rFonts w:ascii="Arial" w:hAnsi="Arial" w:cs="Arial"/>
          <w:sz w:val="20"/>
          <w:szCs w:val="20"/>
          <w:lang w:val="en-US"/>
        </w:rPr>
        <w:t xml:space="preserve">; and 4 – </w:t>
      </w:r>
      <w:r w:rsidR="008A102B" w:rsidRPr="00984C82">
        <w:rPr>
          <w:rFonts w:ascii="Arial" w:hAnsi="Arial" w:cs="Arial"/>
          <w:sz w:val="20"/>
          <w:szCs w:val="20"/>
          <w:lang w:val="en-US"/>
        </w:rPr>
        <w:t>Each study should have sampled at least one site in primary forest (any other sites not in primary forest were excluded from our analysis</w:t>
      </w:r>
      <w:r w:rsidR="00806526">
        <w:rPr>
          <w:rFonts w:ascii="Arial" w:hAnsi="Arial" w:cs="Arial"/>
          <w:sz w:val="20"/>
          <w:szCs w:val="20"/>
          <w:lang w:val="en-US"/>
        </w:rPr>
        <w:t>)</w:t>
      </w:r>
      <w:r w:rsidR="00984C82" w:rsidRPr="00984C82">
        <w:rPr>
          <w:rFonts w:ascii="Arial" w:hAnsi="Arial" w:cs="Arial"/>
          <w:sz w:val="20"/>
          <w:szCs w:val="20"/>
          <w:lang w:val="en-US"/>
        </w:rPr>
        <w:t>.</w:t>
      </w:r>
    </w:p>
    <w:p w14:paraId="18D19251" w14:textId="77777777" w:rsidR="008A102B" w:rsidRPr="00984C82" w:rsidRDefault="008A102B" w:rsidP="007063F8">
      <w:pPr>
        <w:pStyle w:val="ListParagraph"/>
        <w:spacing w:line="480" w:lineRule="auto"/>
        <w:rPr>
          <w:rFonts w:ascii="Arial" w:hAnsi="Arial" w:cs="Arial"/>
          <w:sz w:val="20"/>
          <w:szCs w:val="20"/>
          <w:lang w:val="en-US"/>
        </w:rPr>
      </w:pPr>
    </w:p>
    <w:p w14:paraId="1083D1FD" w14:textId="2D0C35CA" w:rsidR="00700DAC" w:rsidRPr="00984C82" w:rsidRDefault="00700DAC" w:rsidP="007063F8">
      <w:pPr>
        <w:spacing w:line="480" w:lineRule="auto"/>
        <w:rPr>
          <w:rFonts w:ascii="Arial" w:hAnsi="Arial" w:cs="Arial"/>
          <w:sz w:val="20"/>
          <w:szCs w:val="20"/>
          <w:lang w:val="en-US"/>
        </w:rPr>
      </w:pPr>
      <w:r w:rsidRPr="00984C82">
        <w:rPr>
          <w:rFonts w:ascii="Arial" w:hAnsi="Arial" w:cs="Arial"/>
          <w:sz w:val="20"/>
          <w:szCs w:val="20"/>
          <w:lang w:val="en-US"/>
        </w:rPr>
        <w:t>Despite these relatively open criteria, we found only six studies (21 order-level time series)</w:t>
      </w:r>
      <w:r w:rsidRPr="00984C82">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{"citationID":"fElwjH4V","properties":{"formattedCitation":"\\super 2\\uc0\\u8211{}9\\nosupersub{}","plainCitation":"2–9","noteIndex":0},"citationItems":[{"id":491,"uris":["http://zotero.org/users/local/e9sA6OhB/items/B7NCL3GL"],"itemData":{"id":491,"type":"article-journal","abstract":"A number of recent studies have documented long-term declines in abundances of important arthropod groups, primarily in Europe and North America. These declines are generally attributed to habitat loss, but a recent study [B.C. Lister, A. Garcia, Proc. Natl. Acad. Sci. USA 115, E10397–E10406 (2018)] from the Luquillo Experimental Forest (LEF) in Puerto Rico attributed declines to global warming. We analyze arthropod data from the LEF to evaluate long-term trends within the context of hurricane-induced disturbance, secondary succession, and temporal variation in temperature. Our analyses demonstrate that responses to hurricane-induced disturbance and ensuing succession were the primary factors that affected total canopy arthropod abundances on host trees, as well as walkingstick abundance on understory shrubs. Ambient and understory temperatures played secondary roles for particular arthropod species, but populations were just as likely to increase as they were to decrease in abundance with increasing temperature. The LEF is a hurricane-mediated system, with major hurricanes effecting changes in temperature that are larger than those induced thus far by global climate change. To persist, arthropods in the LEF must contend with the considerable variation in abiotic conditions associated with repeated, large-scale, and increasingly frequent pulse disturbances. Consequently, they are likely to be well-adapted to the effects of climate change, at least over the short term. Total abundance of canopy arthropods after Hurricane Maria has risen to levels comparable to the peak after Hurricane Hugo. Although the abundances of some taxa have declined over the 29-y period, others have increased, reflecting species turnover in response to disturbance and secondary succession.","container-title":"Proceedings of the National Academy of Sciences","DOI":"10.1073/pnas.2002556117","issue":"2","note":"publisher: Proceedings of the National Academy of Sciences","page":"e2002556117","source":"pnas.org (Atypon)","title":"Arthropods are not declining but are responsive to disturbance in the Luquillo Experimental Forest, Puerto Rico","volume":"118","author":[{"family":"Schowalter","given":"Timothy D."},{"family":"Pandey","given":"Manoj"},{"family":"Presley","given":"Steven J."},{"family":"Willig","given":"Michael R."},{"family":"Zimmerman","given":"Jess K."}],"issued":{"date-parts":[["2021",1,12]]}}},{"id":226,"uris":["http://zotero.org/users/local/e9sA6OhB/items/KEIMHW9Y"],"itemData":{"id":226,"type":"article-journal","abstract":"Plant-pollinator systems inherently possess wide variation that limits the applicability of surveys on population dynamics or diversity. Stable habitats are scarcely studied, whereas dynamics in unprotected habitats are less predictable or more compromised by exotic organisms (Apis, in the case of bee surveys). An extensively replicated, long-term study of orchid-bees (Euglossini) was made in protected tropical moist forest in Panama. Over 47,000 bees were recorded in 124 monthly censuses employing 1952 counts. No aggregate trend in abundance occurred (from 1979 to 2000), although four individual species declined, nine increased, 23 showed no change, and species richness was stable. No rare or parasitic species showed decreasing trends, while the most common of the set of bee species studied gradually declined. Biodiversity therefore increased. Recorded variability included 300% (fourfold) differences in bee abundance among years, and changes in species abundance up to 14-fold. Surveys in dry and wet seasons (N = 17 and 18 years, 29 and 31 species, respectively) indicated no numerical changes in the bee assemblage over 21 years. El-Niño climatic events led to brief increases in bee abundance. This detailed survey is deconstructed to assess sampling rigor and strategies, particularly considering the recorded local differences within a single forest. Year-to-year shifts in bee abundance for three tropical and five temperate bee censuses were comparable. In short studies (2-4 years) and during longer studies (17-21 years), 59 species that included solitary, social, and highly social bees had mean abundances that varied by factors of 2.06 for temperate bees and 2.16 for tropical bees. \"Normal\" bee populations commonly halved or doubled in 1-yr intervals. Longer term data are only available for the tropics. Stochastic variation and limitations of monitoring methods suggest that minimum series of four years (i.e., three intervals) of several counts during the active season may demonstrate genuine trends. Longer term, continuous studies are still needed for meaningful insights on pollinator population shifts in nature.","container-title":"Conservation Ecology","DOI":"10.5751/ES-00255-050102","ISSN":"11955449","issue":"1","note":"publisher: The Resilience Alliance","title":"Ups and downs in pollinator populations: When is there a decline?","volume":"5","author":[{"family":"Roubik","given":"David Ward"}],"accessed":{"date-parts":[["2023",12,12]]},"issued":{"date-parts":[["2001"]]}}},{"id":484,"uris":["http://zotero.org/users/local/e9sA6OhB/items/R25KR8HJ"],"itemData":{"id":484,"type":"article-journal","abstract":"The faunas of tank bromeliads were sampled over two years in three forest types at different elevations in the Luquillo Experimental Forest, Puerto Rico, and the diversity of their animal communities compared. Bromeliad plants behaved as islands in that, within forests, the species richness and abundance of their animal communities were significantly and positively correlated with increase in plant size. The amount of canopy debris they accumulated was similarly correlated with increase in plant size. Overall diversity was lowest in the dwarf forest, where plants were uniformly small. Animal communities were stable from year to year, and could be characterised for each forest type and for compartments within the plant. They showed a pattern of high dominance, which increased with elevation (Mc-Naughton index 37, 54, and 73, respectively, for the tabonuco, palo Colorado, and dwarf forest). Alpha-diversity for sites sampled in each year reflected net primary productivity (NPP) of the forest, declining with increasing elevation when animal abundance measures were used (jackknife estimates of Simpson's diversity index 6.54 &amp; 11.04 [tabonuco], 3.53 &amp; 6.22 [palo Colorado], and 2.75 &amp; 2.17 [dwarf forest]). Species richness over the two years, however, was highest in the intermediate palo Colorado forest (187 species), compared to 146 and 88 in the tabonuco and dwarf forests, respectively. These figures were close to jackknife estimates of maximum species richness. The difference in species richness between tabonuco and palo Colorado forests was significant in one year only. In addition to NPP, other factors, such as litter quality and the structural complexity of the habitat in the palo Colorado forest, may have influenced species richness. The most abundant species in individual plants were also the most widely occurring, confirming known patterns of abundance and distribution in other functional groups. Diversity within bromeliad microcosms at different elevations supported known relationships between diversity, productivity, and habitat complexity along gradients and was not related to differences in the total bromeliad habitat available for colonization.","container-title":"Biotropica","DOI":"10.1111/j.1744-7429.1999.tb00144.x","ISSN":"1744-7429","issue":"2","language":"en","note":"_eprint: https://onlinelibrary.wiley.com/doi/pdf/10.1111/j.1744-7429.1999.tb00144.x","page":"321-336","source":"Wiley Online Library","title":"The Bromeliad Microcosm and the Assessment of Faunal Diversity in a Neotropical Forest1","volume":"31","author":[{"family":"Richardson","given":"Barbara A."}],"issued":{"date-parts":[["1999"]]}}},{"id":490,"uris":["http://zotero.org/users/local/e9sA6OhB/items/SPS9Y67Q"],"itemData":{"id":490,"type":"dataset","title":"El Verde Grid long-term invertebrate data: Luquillo Long Term Ecological Research Site Database: Data Set 107","URL":"https://biotime.st-andrews.ac.uk/selectStudy.php?study=54","author":[{"family":"Willig","given":"M. R."},{"family":"Bloch","given":"C. P."}],"issued":{"date-parts":[["2016"]]}}},{"id":222,"uris":["http://zotero.org/users/local/e9sA6OhB/items/F8G8QSPI"],"itemData":{"id":222,"type":"article-journal","abstract":"1. Canopy invertebrate responses to Hurricane Hugo, tree species, and recovery time were examined at the Luquillo Experimental Forest in Puerto Rico during 1991-92 and 1994-95. Six tree species representing early and late successional stages were examined in paired plots representing severe hurricane disturbance (most trees toppled) and light hurricane disturbance (all trees standing and most branches intact). 2. Hurricane disturbance affected invertebrate, abundances significantly. Sapsuckers and molluscs were more abundant, and defoliators, detritivores, and emergent aquatic insects were less abundant in recovering tree-fall gaps than in intact forest during this 5-year period. These changes in functional organisation are consistent with comparable studies of arthropod responses to canopy removal during harvest in temperate forests. 3. Tree species also affected invertebrate abundances significantly, but invertebrate communities did not differ significantly between the three early successional and three later successional tree species. 4. Most taxa showed significant annual variation in abundances, but only two Homoptera species showed a significant linear decline in abundance through time, perhaps reflecting long-term trends during recovery. 5. Leaf area missing, an indicator of herbivore effect on canopy processes, showed significant seasonal and annual trends, as well as differences among tree species and hurricane treatments. Generally, leaf area missing peaked during the wet season each year, but reached its highest levels during an extended drought in 1994. Leaf area missing also tended to be higher on the more abundant tree species in each disturbance treatment. 6. Herbivore abundances and leaf area missing were not related to concentrations of nitrogen, phosphorous, potassium, or calcium in the foliage. 7. This study demonstrated that invertebrate community structure and herbivory are dynamic processes that reflect the influences of host species and variable environmental conditions.","container-title":"Ecological Entomology","DOI":"10.1046/J.1365-2311.1999.00186.X","ISSN":"1365-2311","issue":"2","note":"publisher: John Wiley &amp; Sons, Ltd","page":"191-201","title":"Invertebrate communities in a tropical rain forest canopy in Puerto Rico following Hurricane Hugo","volume":"24","author":[{"family":"Schowalter","given":"T. D."},{"family":"Ganio","given":"L. M."}],"issued":{"date-parts":[["2001",5,1]]}}},{"id":219,"uris":["http://zotero.org/users/local/e9sA6OhB/items/9XJQSLQ5"],"itemData":{"id":219,"type":"article-journal","abstract":"Motivation: The BioTIME database contains raw data on species identities and abundances in ecological assemblages through time. These data enable users to calculate temporal trends in biodiversity within and amongst assemblages using a broad range of metrics. BioTIME is being developed as a community-led open-source database of biodiversity time series. Our goal is to accelerate and facilitate quantitative analysis of temporal patterns of biodiversity in the Anthropocene. Main types of variables included: The database contains 8,777,413 species abundance records, from assemblages consistently sampled for a minimum of 2 years, which need not necessarily be consecutive. In addition, the database contains metadata relating to sampling methodology and contextual information about each record. Spatial location and grain: BioTIME is a global database of 547,161 unique sampling locations spanning the marine, freshwater and terrestrial realms. Grain size varies across datasets from 0.0000000158 km2 (158 cm2) to 100 km2 (1,000,000,000,000 cm2). Time period and grain: BioTIME records span from 1874 to 2016. The minimal temporal grain across all datasets in BioTIME is a year. Major taxa and level of measurement: BioTIME includes data from 44,440 species across the plant and animal kingdoms, ranging from plants, plankton and terrestrial invertebrates to small and large vertebrates. Software format:.csv and.SQL.","container-title":"Global Ecology and Biogeography","DOI":"10.1111/GEB.12729","ISSN":"1466-8238","issue":"7","note":"publisher: John Wiley &amp; Sons, Ltd","page":"760-786","title":"BioTIME: A database of biodiversity time series for the Anthropocene","volume":"27","author":[{"family":"Dornelas","given":"Maria"},{"family":"Antão","given":"Laura H."},{"family":"Moyes","given":"Faye"},{"family":"Bates","given":"Amanda E."},{"family":"Magurran","given":"Anne E."},{"family":"Adam","given":"Dušan"},{"family":"Akhmetzhanova","given":"Asem A."},{"family":"Appeltans","given":"Ward"},{"family":"Arcos","given":"José Manuel"},{"family":"Arnold","given":"Haley"},{"family":"Ayyappan","given":"Narayanan"},{"family":"Badihi","given":"Gal"},{"family":"Baird","given":"Andrew H."},{"family":"Barbosa","given":"Miguel"},{"family":"Barreto","given":"Tiago Egydio"},{"family":"Bässler","given":"Claus"},{"family":"Bellgrove","given":"Alecia"},{"family":"Belmaker","given":"Jonathan"},{"family":"Benedetti-Cecchi","given":"Lisandro"},{"family":"Bett","given":"Brian J."},{"family":"Bjorkman","given":"Anne D."},{"family":"Błażewicz","given":"Magdalena"},{"family":"Blowes","given":"Shane A."},{"family":"Bloch","given":"Christopher P."},{"family":"Bonebrake","given":"Timothy C."},{"family":"Boyd","given":"Susan"},{"family":"Bradford","given":"Matt"},{"family":"Brooks","given":"Andrew J."},{"family":"Brown","given":"James H."},{"family":"Bruelheide","given":"Helge"},{"family":"Budy","given":"Phaedra"},{"family":"Carvalho","given":"Fernando"},{"family":"Castañeda-Moya","given":"Edward"},{"family":"Chen","given":"Chaolun Allen"},{"family":"Chamblee","given":"John F."},{"family":"Chase","given":"Tory J."},{"family":"Siegwart Collier","given":"Laura"},{"family":"Collinge","given":"Sharon K."},{"family":"Condit","given":"Richard"},{"family":"Cooper","given":"Elisabeth J."},{"family":"Cornelissen","given":"J. Hans C."},{"family":"Cotano","given":"Unai"},{"family":"Kyle Crow","given":"Shannan"},{"family":"Damasceno","given":"Gabriella"},{"family":"Davies","given":"Claire H."},{"family":"Davis","given":"Robert A."},{"family":"Day","given":"Frank P."},{"family":"Degraer","given":"Steven"},{"family":"Doherty","given":"Tim S."},{"family":"Dunn","given":"Timothy E."},{"family":"Durigan","given":"Giselda"},{"family":"Duffy","given":"J. Emmett"},{"family":"Edelist","given":"Dor"},{"family":"Edgar","given":"Graham J."},{"family":"Elahi","given":"Robin"},{"family":"Elmendorf","given":"Sarah C."},{"family":"Enemar","given":"Anders"},{"family":"Ernest","given":"S. K.Morgan"},{"family":"Escribano","given":"Rubén"},{"family":"Estiarte","given":"Marc"},{"family":"Evans","given":"Brian S."},{"family":"Fan","given":"Tung Yung"},{"family":"Turini Farah","given":"Fabiano"},{"family":"Loureiro Fernandes","given":"Luiz"},{"family":"Farneda","given":"Fábio Z."},{"family":"Fidelis","given":"Alessandra"},{"family":"Fitt","given":"Robert"},{"family":"Fosaa","given":"Anna Maria"},{"family":"Daher Correa Franco","given":"Geraldo Antonio"},{"family":"Frank","given":"Grace E."},{"family":"Fraser","given":"William R."},{"family":"García","given":"Hernando"},{"family":"Cazzolla Gatti","given":"Roberto"},{"family":"Givan","given":"Or"},{"family":"Gorgone-Barbosa","given":"Elizabeth"},{"family":"Gould","given":"William A."},{"family":"Gries","given":"Corinna"},{"family":"Grossman","given":"Gary D."},{"family":"Gutierréz","given":"Julio R."},{"family":"Hale","given":"Stephen"},{"family":"Harmon","given":"Mark E."},{"family":"Harte","given":"John"},{"family":"Haskins","given":"Gary"},{"family":"Henshaw","given":"Donald L."},{"family":"Hermanutz","given":"Luise"},{"family":"Hidalgo","given":"Pamela"},{"family":"Higuchi","given":"Pedro"},{"family":"Hoey","given":"Andrew"},{"family":"Van Hoey","given":"Gert"},{"family":"Hofgaard","given":"Annika"},{"family":"Holeck","given":"Kristen"},{"family":"Hollister","given":"Robert D."},{"family":"Holmes","given":"Richard"},{"family":"Hoogenboom","given":"Mia"},{"family":"Hsieh","given":"Chih","dropping-particle":"hao"},{"family":"Hubbell","given":"Stephen P."},{"family":"Huettmann","given":"Falk"},{"family":"Huffard","given":"Christine L."},{"family":"Hurlbert","given":"Allen H."},{"family":"Macedo Ivanauskas","given":"Natália"},{"family":"Janík","given":"David"},{"family":"Jandt","given":"Ute"},{"family":"Jażdżewska","given":"Anna"},{"family":"Johannessen","given":"Tore"},{"family":"Johnstone","given":"Jill"},{"family":"Jones","given":"Julia"},{"family":"Jones","given":"Faith A.M."},{"family":"Kang","given":"Jungwon"},{"family":"Kartawijaya","given":"Tasrif"},{"family":"Keeley","given":"Erin C."},{"family":"Kelt","given":"Douglas A."},{"family":"Kinnear","given":"Rebecca"},{"family":"Klanderud","given":"Kari"},{"family":"Knutsen","given":"Halvor"},{"family":"Koenig","given":"Christopher C."},{"family":"Kortz","given":"Alessandra R."},{"family":"Král","given":"Kamil"},{"family":"Kuhnz","given":"Linda A."},{"family":"Kuo","given":"Chao Yang"},{"family":"Kushner","given":"David J."},{"family":"Laguionie-Marchais","given":"Claire"},{"family":"Lancaster","given":"Lesley T."},{"family":"Min Lee","given":"Cheol"},{"family":"Lefcheck","given":"Jonathan S."},{"family":"Lévesque","given":"Esther"},{"family":"Lightfoot","given":"David"},{"family":"Lloret","given":"Francisco"},{"family":"Lloyd","given":"John D."},{"family":"López-Baucells","given":"Adrià"},{"family":"Louzao","given":"Maite"},{"family":"Madin","given":"Joshua S."},{"family":"Magnússon","given":"Borgþór"},{"family":"Malamud","given":"Shahar"},{"family":"Matthews","given":"Iain"},{"family":"McFarland","given":"Kent P."},{"family":"McGill","given":"Brian"},{"family":"McKnight","given":"Diane"},{"family":"McLarney","given":"William O."},{"family":"Meador","given":"Jason"},{"family":"Meserve","given":"Peter L."},{"family":"Metcalfe","given":"Daniel J."},{"family":"Meyer","given":"Christoph F.J."},{"family":"Michelsen","given":"Anders"},{"family":"Milchakova","given":"Nataliya"},{"family":"Moens","given":"Tom"},{"family":"Moland","given":"Even"},{"family":"Moore","given":"Jon"},{"family":"Mathias Moreira","given":"Carolina"},{"family":"Müller","given":"Jörg"},{"family":"Murphy","given":"Grace"},{"family":"Myers-Smith","given":"Isla H."},{"family":"Myster","given":"Randall W."},{"family":"Naumov","given":"Andrew"},{"family":"Neat","given":"Francis"},{"family":"Nelson","given":"James A."},{"family":"Paul Nelson","given":"Michael"},{"family":"Newton","given":"Stephen F."},{"family":"Norden","given":"Natalia"},{"family":"Oliver","given":"Jeffrey C."},{"family":"Olsen","given":"Esben M."},{"family":"Onipchenko","given":"Vladimir G."},{"family":"Pabis","given":"Krzysztof"},{"family":"Pabst","given":"Robert J."},{"family":"Paquette","given":"Alain"},{"family":"Pardede","given":"Sinta"},{"family":"Paterson","given":"David M."},{"family":"Pélissier","given":"Raphaël"},{"family":"Peñuelas","given":"Josep"},{"family":"Pérez-Matus","given":"Alejandro"},{"family":"Pizarro","given":"Oscar"},{"family":"Pomati","given":"Francesco"},{"family":"Post","given":"Eric"},{"family":"Prins","given":"Herbert H.T."},{"family":"Priscu","given":"John C."},{"family":"Provoost","given":"Pieter"},{"family":"Prudic","given":"Kathleen L."},{"family":"Pulliainen","given":"Erkki"},{"family":"Ramesh","given":"B. R."},{"family":"Mendivil Ramos","given":"Olivia"},{"family":"Rassweiler","given":"Andrew"},{"family":"Rebelo","given":"Jose Eduardo"},{"family":"Reed","given":"Daniel C."},{"family":"Reich","given":"Peter B."},{"family":"Remillard","given":"Suzanne M."},{"family":"Richardson","given":"Anthony J."},{"family":"Richardson","given":"J. Paul"},{"family":"Rijn","given":"Itai","non-dropping-particle":"van"},{"family":"Rocha","given":"Ricardo"},{"family":"Rivera-Monroy","given":"Victor H."},{"family":"Rixen","given":"Christian"},{"family":"Robinson","given":"Kevin P."},{"family":"Ribeiro Rodrigues","given":"Ricardo"},{"family":"Cerqueira Rossa-Feres","given":"Denise","non-dropping-particle":"de"},{"family":"Rudstam","given":"Lars"},{"family":"Ruhl","given":"Henry"},{"family":"Ruz","given":"Catalina S."},{"family":"Sampaio","given":"Erica M."},{"family":"Rybicki","given":"Nancy"},{"family":"Rypel","given":"Andrew"},{"family":"Sal","given":"Sofia"},{"family":"Salgado","given":"Beatriz"},{"family":"Santos","given":"Flavio A.M."},{"family":"Savassi-Coutinho","given":"Ana Paula"},{"family":"Scanga","given":"Sara"},{"family":"Schmidt","given":"Jochen"},{"family":"Schooley","given":"Robert"},{"family":"Setiawan","given":"Fakhrizal"},{"family":"Shao","given":"Kwang Tsao"},{"family":"Shaver","given":"Gaius R."},{"family":"Sherman","given":"Sally"},{"family":"Sherry","given":"Thomas W."},{"family":"Siciński","given":"Jacek"},{"family":"Sievers","given":"Caya"},{"family":"Silva","given":"Ana Carolina","non-dropping-particle":"da"},{"family":"Rodrigues da Silva","given":"Fernando"},{"family":"Silveira","given":"Fabio L."},{"family":"Slingsby","given":"Jasper"},{"family":"Smart","given":"Tracey"},{"family":"Snell","given":"Sara J."},{"family":"Soudzilovskaia","given":"Nadejda A."},{"family":"Souza","given":"Gabriel B.G."},{"family":"Maluf Souza","given":"Flaviana"},{"family":"Castro Souza","given":"Vinícius"},{"family":"Stallings","given":"Christopher D."},{"family":"Stanforth","given":"Rowan"},{"family":"Stanley","given":"Emily H."},{"family":"Mauro Sterza","given":"José"},{"family":"Stevens","given":"Maarten"},{"family":"Stuart-Smith","given":"Rick"},{"family":"Rondon Suarez","given":"Yzel"},{"family":"Supp","given":"Sarah"},{"family":"Yoshio Tamashiro","given":"Jorge"},{"family":"Tarigan","given":"Sukmaraharja"},{"family":"Thiede","given":"Gary P."},{"family":"Thorn","given":"Simon"},{"family":"Tolvanen","given":"Anne"},{"family":"Teresa Zugliani Toniato","given":"Maria"},{"family":"Totland","given":"Ørjan"},{"family":"Twilley","given":"Robert R."},{"family":"Vaitkus","given":"Gediminas"},{"family":"Valdivia","given":"Nelson"},{"family":"Vallejo","given":"Martha Isabel"},{"family":"Valone","given":"Thomas J."},{"family":"Van Colen","given":"Carl"},{"family":"Vanaverbeke","given":"Jan"},{"family":"Venturoli","given":"Fabio"},{"family":"Verheye","given":"Hans M."},{"family":"Vianna","given":"Marcelo"},{"family":"Vieira","given":"Rui P."},{"family":"Vrška","given":"Tomáš"},{"family":"Quang Vu","given":"Con"},{"family":"Van Vu","given":"Lien"},{"family":"Waide","given":"Robert B."},{"family":"Waldock","given":"Conor"},{"family":"Watts","given":"Dave"},{"family":"Webb","given":"Sara"},{"family":"Wesołowski","given":"Tomasz"},{"family":"White","given":"Ethan P."},{"family":"Widdicombe","given":"Claire E."},{"family":"Wilgers","given":"Dustin"},{"family":"Williams","given":"Richard"},{"family":"Williams","given":"Stefan B."},{"family":"Williamson","given":"Mark"},{"family":"Willig","given":"Michael R."},{"family":"Willis","given":"Trevor J."},{"family":"Wipf","given":"Sonja"},{"family":"Woods","given":"Kerry D."},{"family":"Woehler","given":"Eric J."},{"family":"Zawada","given":"Kyle"},{"family":"Zettler","given":"Michael L."}],"issued":{"date-parts":[["2018",7,1]]}}},{"id":479,"uris":["http://zotero.org/users/local/e9sA6OhB/items/YQR2L4JX"],"itemData":{"id":479,"type":"article-journal","abstract":"Species are threatened globally by multiple and often synergistic environmental changes including habitat loss, fragmentation and climate change. However, how these changes act in concert is poorly understood, especially in the tropics where the vast majority of biodiversity resides. Here, using a unique dataset covering 10 years of butterfly surveys (2003–2013) at Tam Dao National Park in northern Vietnam, we examined the combined impacts of habitat degradation (following intensive infrastructure development in 2005) and the possible threat of warming (extrapolating upon the relationship between natural climatic variation and community indices) for tropical butterfly communities. We found that both habitat degradation and warmer temperatures led to fewer narrow-range and forest-associated species comprising the sampled communities. Under projected climate change scenarios, the impact of warming was comparable to habitat degradation with respect to community change, and degraded forest communities were projected to shift towards cosmopolitan and non-forest species even more. The tropics have been heavily deforested world-wide and also suffer from heavy impacts of degradation and fragmentation, especially road construction. Warming will compound habitat degradation impacts such that the conservation of tropical biodiversity will require addressing these multiple global changes simultaneously.","container-title":"Global Ecology and Conservation","DOI":"10.1016/j.gecco.2016.09.003","ISSN":"2351-9894","journalAbbreviation":"Global Ecology and Conservation","page":"203-211","source":"ScienceDirect","title":"Warming threat compounds habitat degradation impacts on a tropical butterfly community in Vietnam","volume":"8","author":[{"family":"Bonebrake","given":"Timothy C."},{"family":"Pickett","given":"Evan J."},{"family":"Tsang","given":"Toby P. N."},{"family":"Tak","given":"Chung Yun"},{"family":"Vu","given":"Manh Quang"},{"family":"Vu","given":"Lien Van"}],"issued":{"date-parts":[["2016",10,1]]}}},{"id":482,"uris":["http://zotero.org/users/local/e9sA6OhB/items/Z7UMBPSQ"],"itemData":{"id":482,"type":"article-journal","abstract":"Physiological research suggests that tropical insects are particularly sensitive to temperature, but information on their responses to climate change has been lacking—even though the majority of all terrestrial species are insects and their diversity is concentrated in the tropics. Here, we provide evidence that tropical insect species have already undertaken altitude increases, confirming the global reach of climate change impacts on biodiversity. In 2007, we repeated a historical altitudinal transect, originally carried out in 1965 on Mount Kinabalu in Borneo, sampling 6 moth assemblages between 1,885 and 3,675 m elevation. We estimate that the average altitudes of individuals of 102 montane moth species, in the family Geometridae, increased by a mean of 67 m over the 42 years. Our findings indicate that tropical species are likely to be as sensitive as temperate species to climate warming, and we urge ecologists to seek other historic tropical samples to carry out similar repeat surveys. These observed changes, in combination with the high diversity and thermal sensitivity of insects, suggest that large numbers of tropical insect species could be affected by climate warming. As the highest mountain in one of the most biodiverse regions of the world, Mount Kinabalu is a globally important refuge for terrestrial species that become restricted to high altitudes by climate warming.","container-title":"Proceedings of the National Academy of Sciences","DOI":"10.1073/pnas.0809320106","issue":"5","note":"publisher: Proceedings of the National Academy of Sciences","page":"1479-1483","source":"pnas.org (Atypon)","title":"Elevation increases in moth assemblages over 42 years on a tropical mountain","volume":"106","author":[{"family":"Chen","given":"I-Ching"},{"family":"Shiu","given":"Hau-Jie"},{"family":"Benedick","given":"Suzan"},{"family":"Holloway","given":"Jeremy D."},{"family":"Chey","given":"Vun Khen"},{"family":"Barlow","given":"Henry S."},{"family":"Hill","given":"Jane K."},{"family":"Thomas","given":"Chris D."}],"issued":{"date-parts":[["2009",2,3]]}}}],"schema":"https://github.com/citation-style-language/schema/raw/master/csl-citation.json"} </w:instrText>
      </w:r>
      <w:r w:rsidRPr="00984C82">
        <w:rPr>
          <w:rFonts w:ascii="Arial" w:hAnsi="Arial" w:cs="Arial"/>
          <w:sz w:val="20"/>
          <w:szCs w:val="20"/>
          <w:lang w:val="en-US"/>
        </w:rPr>
        <w:fldChar w:fldCharType="separate"/>
      </w:r>
      <w:r w:rsidR="00E92A52" w:rsidRPr="00E92A52">
        <w:rPr>
          <w:rFonts w:ascii="Arial" w:hAnsi="Arial" w:cs="Arial"/>
          <w:sz w:val="20"/>
          <w:vertAlign w:val="superscript"/>
          <w:lang w:val="en-GB"/>
        </w:rPr>
        <w:t>2–9</w:t>
      </w:r>
      <w:r w:rsidRPr="00984C82">
        <w:rPr>
          <w:rFonts w:ascii="Arial" w:hAnsi="Arial" w:cs="Arial"/>
          <w:sz w:val="20"/>
          <w:szCs w:val="20"/>
          <w:lang w:val="en-US"/>
        </w:rPr>
        <w:fldChar w:fldCharType="end"/>
      </w:r>
      <w:r w:rsidRPr="00984C82">
        <w:rPr>
          <w:rFonts w:ascii="Arial" w:hAnsi="Arial" w:cs="Arial"/>
          <w:sz w:val="20"/>
          <w:szCs w:val="20"/>
          <w:lang w:val="en-US"/>
        </w:rPr>
        <w:t xml:space="preserve"> </w:t>
      </w:r>
      <w:r w:rsidR="008A102B" w:rsidRPr="00984C82">
        <w:rPr>
          <w:rFonts w:ascii="Arial" w:hAnsi="Arial" w:cs="Arial"/>
          <w:sz w:val="20"/>
          <w:szCs w:val="20"/>
          <w:lang w:val="en-US"/>
        </w:rPr>
        <w:t xml:space="preserve">with accessible data from </w:t>
      </w:r>
      <w:r w:rsidRPr="00984C82">
        <w:rPr>
          <w:rFonts w:ascii="Arial" w:hAnsi="Arial" w:cs="Arial"/>
          <w:sz w:val="20"/>
          <w:szCs w:val="20"/>
          <w:lang w:val="en-US"/>
        </w:rPr>
        <w:t>the van Klink et al. list</w:t>
      </w:r>
      <w:r w:rsidRPr="00984C82">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{"citationID":"Cglyaqu0","properties":{"formattedCitation":"\\super 1\\nosupersub{}","plainCitation":"1","noteIndex":0},"citationItems":[{"id":191,"uris":["http://zotero.org/users/local/e9sA6OhB/items/G4UBR7L8"],"itemData":{"id":191,"type":"article-journal","abstract":"Recent case studies showing substantial declines of insect abundances have raised alarm, but how widespread such patterns are remains unclear. We compiled data from 166 long-term surveys of insect assemblages across 1676 sites to investigate trends in insect abundances over time. Overall, we found considerable variation in trends even among adjacent sites but an average decline of terrestrial insect abundance by ~9% per decade and an increase of freshwater insect abundance by ~11% per decade. Both patterns were largely driven by strong trends in North America and some European regions. We found some associations with potential drivers (e.g., land-use drivers), and trends in protected areas tended to be weaker. Our findings provide a more nuanced view of spatiotemporal patterns of insect abundance trends than previously suggested.","container-title":"Science","DOI":"10.1126/SCIENCE.AAX9931/SUPPL_FILE/AAX9931-VANKLINK-SM.PDF","ISSN":"10959203","issue":"6489","note":"PMID: 32327596\npublisher: American Association for the Advancement of Science","page":"417-420","title":"Meta-analysis reveals declines in terrestrial but increases in freshwater insect abundances","volume":"368","author":[{"family":"Klink","given":"Roel","non-dropping-particle":"van"},{"family":"Bowler","given":"Diana E."},{"family":"Gongalsky","given":"Konstantin B."},{"family":"Swengel","given":"Ann B."},{"family":"Gentile","given":"Alessandro"},{"family":"Chase","given":"Jonathan M."}],"issued":{"date-parts":[["2020",4,24]]}}}],"schema":"https://github.com/citation-style-language/schema/raw/master/csl-citation.json"} </w:instrText>
      </w:r>
      <w:r w:rsidRPr="00984C82">
        <w:rPr>
          <w:rFonts w:ascii="Arial" w:hAnsi="Arial" w:cs="Arial"/>
          <w:sz w:val="20"/>
          <w:szCs w:val="20"/>
          <w:lang w:val="en-US"/>
        </w:rPr>
        <w:fldChar w:fldCharType="separate"/>
      </w:r>
      <w:r w:rsidR="00E92A52" w:rsidRPr="00E92A52">
        <w:rPr>
          <w:rFonts w:ascii="Arial" w:hAnsi="Arial" w:cs="Arial"/>
          <w:sz w:val="20"/>
          <w:vertAlign w:val="superscript"/>
          <w:lang w:val="en-GB"/>
        </w:rPr>
        <w:t>1</w:t>
      </w:r>
      <w:r w:rsidRPr="00984C82">
        <w:rPr>
          <w:rFonts w:ascii="Arial" w:hAnsi="Arial" w:cs="Arial"/>
          <w:sz w:val="20"/>
          <w:szCs w:val="20"/>
          <w:lang w:val="en-US"/>
        </w:rPr>
        <w:fldChar w:fldCharType="end"/>
      </w:r>
      <w:r w:rsidRPr="00984C82">
        <w:rPr>
          <w:rFonts w:ascii="Arial" w:hAnsi="Arial" w:cs="Arial"/>
          <w:sz w:val="20"/>
          <w:szCs w:val="20"/>
          <w:lang w:val="en-US"/>
        </w:rPr>
        <w:t xml:space="preserve"> and only three additional </w:t>
      </w:r>
      <w:r w:rsidR="008A102B" w:rsidRPr="00984C82">
        <w:rPr>
          <w:rFonts w:ascii="Arial" w:hAnsi="Arial" w:cs="Arial"/>
          <w:sz w:val="20"/>
          <w:szCs w:val="20"/>
          <w:lang w:val="en-US"/>
        </w:rPr>
        <w:t>studies with accessible data</w:t>
      </w:r>
      <w:r w:rsidRPr="00984C82">
        <w:rPr>
          <w:rFonts w:ascii="Arial" w:hAnsi="Arial" w:cs="Arial"/>
          <w:sz w:val="20"/>
          <w:szCs w:val="20"/>
          <w:lang w:val="en-US"/>
        </w:rPr>
        <w:t xml:space="preserve"> published since (12 order-level time series</w:t>
      </w:r>
      <w:r w:rsidR="00747BE0">
        <w:rPr>
          <w:rFonts w:ascii="Arial" w:hAnsi="Arial" w:cs="Arial"/>
          <w:sz w:val="20"/>
          <w:szCs w:val="20"/>
          <w:lang w:val="en-US"/>
        </w:rPr>
        <w:t>, S1a; S2</w:t>
      </w:r>
      <w:r w:rsidRPr="00984C82">
        <w:rPr>
          <w:rFonts w:ascii="Arial" w:hAnsi="Arial" w:cs="Arial"/>
          <w:sz w:val="20"/>
          <w:szCs w:val="20"/>
          <w:lang w:val="en-US"/>
        </w:rPr>
        <w:t>)</w:t>
      </w:r>
      <w:r w:rsidRPr="00984C82">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{"citationID":"8bmIhxLB","properties":{"formattedCitation":"\\super 10\\uc0\\u8211{}12\\nosupersub{}","plainCitation":"10–12","noteIndex":0},"citationItems":[{"id":227,"uris":["http://zotero.org/users/local/e9sA6OhB/items/7LTYXFKH"],"itemData":{"id":227,"type":"article-journal","abstract":"World-wide declines in arthropod abundance and diversity are a major concern, particularly given their importance in ecosystem functioning. Yet, data documenting long-term trends are rare from the tropics, particularly the Afrotropics. Here we evaluate changes in the arthropod communities in Kibale National Park, Uganda across almost four decades. Systematic sweep-net sampling was conducted in two forested sections of the park that had been logged and in one old-growth forest area over 12 consecutive months in 1983/1984 and 2020/2021. This data was augmented with intermittent samples taken in 1986 and 1995. Arthropod abundance declined in all areas, but only significantly so in the moderately logged forestry compartment (41%). Permutational multivariate analysis of variance indicated that community compositions of arthropods differed between the censuses. Understanding the drivers of changes in the arthropod communities is difficult as the system is complex and dynamic. We document an increase in temperature, but no change in rainfall, increases in 11 mammal species, including a marked increase in elephant numbers, and changes in forest structure. We also report on changes in the landscape outside of the park, which includes the human population increasing by a factor of four and agricultural intensification that now includes the use of pesticides. We document that many components of the ecosystem we studied changed simultaneously, which signals that for effective conservation planning, more long-term multi-disciplinary efforts are needed.","container-title":"Biotropica","DOI":"10.1111/BTP.13206","ISSN":"1744-7429","issue":"2","note":"publisher: John Wiley &amp; Sons, Ltd","page":"529-539","title":"30 years brings changes to the arthropod community of Kibale National Park, Uganda","volume":"55","author":[{"family":"Opito","given":"Emmanuel A."},{"family":"Alanko","given":"Timo"},{"family":"Kalbitzer","given":"Urs"},{"family":"Nummelin","given":"Matti"},{"family":"Omeja","given":"Patrick"},{"family":"Valtonen","given":"Anu"},{"family":"Chapman","given":"Colin A."}],"issued":{"date-parts":[["2023",3,1]]}}},{"id":1218,"uris":["http://zotero.org/users/local/e9sA6OhB/items/Q857ZPUJ"],"itemData":{"id":1218,"type":"article-journal","abstract":"The magnitude of worldwide insect decline is hotly debated, with multiple examples of stable or increasing insect populations. In addition, time series data for tropical insects are scarce, notably in rainforests where insect diversity is poorly known but reaches a peak. Despite social insects (ants, termites, bees and allies) being key organisms in these habitats, long-term monitoring data for these groups are crucially lacking. For many of these insects, the difficulty of locating nests in rainforests could be one reason. In this context, species occurrence in samples is often used as a surrogate for abundance to evaluate species distribution in space/time, but the loss of information is difficult to assess. In a tropical rainforest in Panama, we employed various sampling methods to examine the time series of seven insect assemblages with differing degrees of sociality: termite workers and soldiers, termite alates, bess beetles, litter ant workers, army ant alates, orchid bees, and nocturnal sweat bees. We used five community variables and six models related to occurrence and abundance, to test for significant trends in assemblages over a 13-year period (2009–2021). While assemblages of bess beetles increased, those of termite workers and soldiers, army ant alates, and orchid bees remained relatively stable. Termite alate, litter ant worker, and nocturnal bee assemblages showed signs of decline, demonstrating the need for monitoring distinct assemblages. Significant trends in generalized additive mixed models (GAMM) were observed in three out of five assemblages that could be tested. Our study indicates that trends in assemblages may be more informatively reported with abundance than with occurrence. We recommend (1) monitoring multiple insect assemblages as ecological indicators responsible for diverse ecosystem services; and (2) reporting species richness, changes in faunal composition, occurrence, and, when possible, using time-explicit analyses (such as GAMM models) for evaluating population trends over time.","container-title":"Ecological Indicators","DOI":"10.1016/j.ecolind.2023.110243","ISSN":"1470-160X","journalAbbreviation":"Ecological Indicators","page":"110243","source":"ScienceDirect","title":"Abundance, occurrence and time series: long-term monitoring of social insects in a tropical rainforest","title-short":"Abundance, occurrence and time series","volume":"150","author":[{"family":"Basset","given":"Yves"},{"family":"Butterill","given":"Philip T."},{"family":"Donoso","given":"David A."},{"family":"P. A. Lamarre","given":"Greg"},{"family":"Souto-Vilarós","given":"Daniel"},{"family":"Perez","given":"Filonila"},{"family":"Bobadilla","given":"Ricardo"},{"family":"Lopez","given":"Yacksecari"},{"family":"Alejandro Ramírez Silva","given":"José"},{"family":"Barrios","given":"Héctor"}],"issued":{"date-parts":[["2023",6,1]]}}},{"id":1220,"uris":["http://zotero.org/users/local/e9sA6OhB/items/MYAIFX82"],"itemData":{"id":1220,"type":"article-journal","abstract":"Moths are the most taxonomically and ecologically diverse insect taxon for which there exist considerable time-series abundance data. There is an alarming record of decreases in moth abundance and diversity from across Europe, with rates varying markedly among and within regions. Recent reports from Costa Rica reveal steep cross-lineage declines of caterpillars, while other sites (Ecuador and Arizona, reported here) show no or only modest long-term decreases over the past two decades. Rates of decline for dietary and ecological specialists are steeper than those for ecologically generalized taxa. Additional traits commonly associated with elevated risks include large wingspans, small geographic ranges, low dispersal ability, and univoltinism; taxa associated with grasslands, aridlands, and nutrient-poor habitats also appear to be at higher risk. In temperate areas, many moth taxa limited historically by abiotic factors are increasing in abundance and range. We regard the most important continental-scale stressors to include reductions in habitat quality and quantity resulting from land-use change and climate change and, to a lesser extent, atmospheric nitrification and introduced species. Site-specific stressors include pesticide use and light pollution. Our assessment of global macrolepidopteran population trends includes numerous cases of both region-wide and local losses and studies that report no declines. Spatial variation of reported losses suggests that multiple stressors are in play. With the exception of recent reports from Costa Rica, the most severe examples of moth declines are from Northern Hemisphere regions of high human-population density and intensive agriculture.","container-title":"Proceedings of the National Academy of Sciences","DOI":"10.1073/pnas.2002549117","issue":"2","note":"publisher: Proceedings of the National Academy of Sciences","page":"e2002549117","source":"pnas.org (Atypon)","title":"A window to the world of global insect declines: Moth biodiversity trends are complex and heterogeneous","title-short":"A window to the world of global insect declines","volume":"118","author":[{"family":"Wagner","given":"David L."},{"family":"Fox","given":"Richard"},{"family":"Salcido","given":"Danielle M."},{"family":"Dyer","given":"Lee A."}],"issued":{"date-parts":[["2021",1,12]]}}}],"schema":"https://github.com/citation-style-language/schema/raw/master/csl-citation.json"} </w:instrText>
      </w:r>
      <w:r w:rsidRPr="00984C82">
        <w:rPr>
          <w:rFonts w:ascii="Arial" w:hAnsi="Arial" w:cs="Arial"/>
          <w:sz w:val="20"/>
          <w:szCs w:val="20"/>
          <w:lang w:val="en-US"/>
        </w:rPr>
        <w:fldChar w:fldCharType="separate"/>
      </w:r>
      <w:r w:rsidR="00E92A52" w:rsidRPr="00E92A52">
        <w:rPr>
          <w:rFonts w:ascii="Arial" w:hAnsi="Arial" w:cs="Arial"/>
          <w:sz w:val="20"/>
          <w:vertAlign w:val="superscript"/>
          <w:lang w:val="en-GB"/>
        </w:rPr>
        <w:t>10–12</w:t>
      </w:r>
      <w:r w:rsidRPr="00984C82">
        <w:rPr>
          <w:rFonts w:ascii="Arial" w:hAnsi="Arial" w:cs="Arial"/>
          <w:sz w:val="20"/>
          <w:szCs w:val="20"/>
          <w:lang w:val="en-US"/>
        </w:rPr>
        <w:fldChar w:fldCharType="end"/>
      </w:r>
      <w:r w:rsidRPr="00984C82">
        <w:rPr>
          <w:rFonts w:ascii="Arial" w:hAnsi="Arial" w:cs="Arial"/>
          <w:sz w:val="20"/>
          <w:szCs w:val="20"/>
          <w:lang w:val="en-US"/>
        </w:rPr>
        <w:t xml:space="preserve">. One of the added datasets was the only </w:t>
      </w:r>
      <w:r w:rsidR="00806526">
        <w:rPr>
          <w:rFonts w:ascii="Arial" w:hAnsi="Arial" w:cs="Arial"/>
          <w:sz w:val="20"/>
          <w:szCs w:val="20"/>
          <w:lang w:val="en-US"/>
        </w:rPr>
        <w:t>study</w:t>
      </w:r>
      <w:r w:rsidRPr="00984C82">
        <w:rPr>
          <w:rFonts w:ascii="Arial" w:hAnsi="Arial" w:cs="Arial"/>
          <w:sz w:val="20"/>
          <w:szCs w:val="20"/>
          <w:lang w:val="en-US"/>
        </w:rPr>
        <w:t xml:space="preserve"> published from Africa</w:t>
      </w:r>
      <w:r w:rsidRPr="00984C82">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{"citationID":"cuyD9z5j","properties":{"formattedCitation":"\\super 10\\nosupersub{}","plainCitation":"10","noteIndex":0},"citationItems":[{"id":227,"uris":["http://zotero.org/users/local/e9sA6OhB/items/7LTYXFKH"],"itemData":{"id":227,"type":"article-journal","abstract":"World-wide declines in arthropod abundance and diversity are a major concern, particularly given their importance in ecosystem functioning. Yet, data documenting long-term trends are rare from the tropics, particularly the Afrotropics. Here we evaluate changes in the arthropod communities in Kibale National Park, Uganda across almost four decades. Systematic sweep-net sampling was conducted in two forested sections of the park that had been logged and in one old-growth forest area over 12 consecutive months in 1983/1984 and 2020/2021. This data was augmented with intermittent samples taken in 1986 and 1995. Arthropod abundance declined in all areas, but only significantly so in the moderately logged forestry compartment (41%). Permutational multivariate analysis of variance indicated that community compositions of arthropods differed between the censuses. Understanding the drivers of changes in the arthropod communities is difficult as the system is complex and dynamic. We document an increase in temperature, but no change in rainfall, increases in 11 mammal species, including a marked increase in elephant numbers, and changes in forest structure. We also report on changes in the landscape outside of the park, which includes the human population increasing by a factor of four and agricultural intensification that now includes the use of pesticides. We document that many components of the ecosystem we studied changed simultaneously, which signals that for effective conservation planning, more long-term multi-disciplinary efforts are needed.","container-title":"Biotropica","DOI":"10.1111/BTP.13206","ISSN":"1744-7429","issue":"2","note":"publisher: John Wiley &amp; Sons, Ltd","page":"529-539","title":"30 years brings changes to the arthropod community of Kibale National Park, Uganda","volume":"55","author":[{"family":"Opito","given":"Emmanuel A."},{"family":"Alanko","given":"Timo"},{"family":"Kalbitzer","given":"Urs"},{"family":"Nummelin","given":"Matti"},{"family":"Omeja","given":"Patrick"},{"family":"Valtonen","given":"Anu"},{"family":"Chapman","given":"Colin A."}],"issued":{"date-parts":[["2023",3,1]]}}}],"schema":"https://github.com/citation-style-language/schema/raw/master/csl-citation.json"} </w:instrText>
      </w:r>
      <w:r w:rsidRPr="00984C82">
        <w:rPr>
          <w:rFonts w:ascii="Arial" w:hAnsi="Arial" w:cs="Arial"/>
          <w:sz w:val="20"/>
          <w:szCs w:val="20"/>
          <w:lang w:val="en-US"/>
        </w:rPr>
        <w:fldChar w:fldCharType="separate"/>
      </w:r>
      <w:r w:rsidR="00E92A52" w:rsidRPr="00E92A52">
        <w:rPr>
          <w:rFonts w:ascii="Arial" w:hAnsi="Arial" w:cs="Arial"/>
          <w:sz w:val="20"/>
          <w:vertAlign w:val="superscript"/>
          <w:lang w:val="en-GB"/>
        </w:rPr>
        <w:t>10</w:t>
      </w:r>
      <w:r w:rsidRPr="00984C82">
        <w:rPr>
          <w:rFonts w:ascii="Arial" w:hAnsi="Arial" w:cs="Arial"/>
          <w:sz w:val="20"/>
          <w:szCs w:val="20"/>
          <w:lang w:val="en-US"/>
        </w:rPr>
        <w:fldChar w:fldCharType="end"/>
      </w:r>
      <w:r w:rsidRPr="00984C82">
        <w:rPr>
          <w:rFonts w:ascii="Arial" w:hAnsi="Arial" w:cs="Arial"/>
          <w:sz w:val="20"/>
          <w:szCs w:val="20"/>
          <w:lang w:val="en-US"/>
        </w:rPr>
        <w:t>. However, invertebrates in that dataset were identified only to order-level, and so instead of an approximation of order-level diversity we only had presence/absence for orders</w:t>
      </w:r>
      <w:r w:rsidR="008A102B" w:rsidRPr="00984C82">
        <w:rPr>
          <w:rFonts w:ascii="Arial" w:hAnsi="Arial" w:cs="Arial"/>
          <w:sz w:val="20"/>
          <w:szCs w:val="20"/>
          <w:lang w:val="en-US"/>
        </w:rPr>
        <w:t xml:space="preserve"> at site-scale</w:t>
      </w:r>
      <w:r w:rsidRPr="00984C82">
        <w:rPr>
          <w:rFonts w:ascii="Arial" w:hAnsi="Arial" w:cs="Arial"/>
          <w:sz w:val="20"/>
          <w:szCs w:val="20"/>
          <w:lang w:val="en-US"/>
        </w:rPr>
        <w:t>. We accounted for this as far as possible in our</w:t>
      </w:r>
      <w:r w:rsidR="00984C82" w:rsidRPr="00984C82">
        <w:rPr>
          <w:rFonts w:ascii="Arial" w:hAnsi="Arial" w:cs="Arial"/>
          <w:sz w:val="20"/>
          <w:szCs w:val="20"/>
          <w:lang w:val="en-US"/>
        </w:rPr>
        <w:t xml:space="preserve"> statistical</w:t>
      </w:r>
      <w:r w:rsidRPr="00984C82">
        <w:rPr>
          <w:rFonts w:ascii="Arial" w:hAnsi="Arial" w:cs="Arial"/>
          <w:sz w:val="20"/>
          <w:szCs w:val="20"/>
          <w:lang w:val="en-US"/>
        </w:rPr>
        <w:t xml:space="preserve"> analysis </w:t>
      </w:r>
      <w:r w:rsidR="00806526">
        <w:rPr>
          <w:rFonts w:ascii="Arial" w:hAnsi="Arial" w:cs="Arial"/>
          <w:sz w:val="20"/>
          <w:szCs w:val="20"/>
          <w:lang w:val="en-US"/>
        </w:rPr>
        <w:t>(details below)</w:t>
      </w:r>
      <w:r w:rsidRPr="00984C82">
        <w:rPr>
          <w:rFonts w:ascii="Arial" w:hAnsi="Arial" w:cs="Arial"/>
          <w:sz w:val="20"/>
          <w:szCs w:val="20"/>
          <w:lang w:val="en-US"/>
        </w:rPr>
        <w:t>. Invertebrate orders were included in analysis only if they were clearly represented in at least two time series datasets.</w:t>
      </w:r>
    </w:p>
    <w:p w14:paraId="2E9A5C10" w14:textId="77777777" w:rsidR="00984C82" w:rsidRPr="00984C82" w:rsidRDefault="00984C82" w:rsidP="007063F8">
      <w:pPr>
        <w:spacing w:line="480" w:lineRule="auto"/>
        <w:rPr>
          <w:rFonts w:ascii="Arial" w:hAnsi="Arial" w:cs="Arial"/>
          <w:sz w:val="20"/>
          <w:szCs w:val="20"/>
          <w:lang w:val="en-US"/>
        </w:rPr>
      </w:pPr>
    </w:p>
    <w:p w14:paraId="663A2C8E" w14:textId="16CFA92F" w:rsidR="00984C82" w:rsidRPr="00984C82" w:rsidRDefault="00984C82" w:rsidP="007063F8">
      <w:pPr>
        <w:spacing w:line="480" w:lineRule="auto"/>
        <w:rPr>
          <w:rFonts w:ascii="Arial" w:hAnsi="Arial" w:cs="Arial"/>
          <w:sz w:val="20"/>
          <w:szCs w:val="20"/>
          <w:lang w:val="en-US"/>
        </w:rPr>
      </w:pPr>
      <w:r w:rsidRPr="00984C82">
        <w:rPr>
          <w:rFonts w:ascii="Arial" w:hAnsi="Arial" w:cs="Arial"/>
          <w:sz w:val="20"/>
          <w:szCs w:val="20"/>
          <w:lang w:val="en-US"/>
        </w:rPr>
        <w:t xml:space="preserve">We collated the following information: invertebrate order (Araneae, </w:t>
      </w:r>
      <w:proofErr w:type="spellStart"/>
      <w:r w:rsidRPr="00984C82">
        <w:rPr>
          <w:rFonts w:ascii="Arial" w:hAnsi="Arial" w:cs="Arial"/>
          <w:sz w:val="20"/>
          <w:szCs w:val="20"/>
          <w:lang w:val="en-US"/>
        </w:rPr>
        <w:t>Blattodea</w:t>
      </w:r>
      <w:proofErr w:type="spellEnd"/>
      <w:r w:rsidRPr="00984C82">
        <w:rPr>
          <w:rFonts w:ascii="Arial" w:hAnsi="Arial" w:cs="Arial"/>
          <w:sz w:val="20"/>
          <w:szCs w:val="20"/>
          <w:lang w:val="en-US"/>
        </w:rPr>
        <w:t>, Coleoptera, Diptera, Hemiptera, Hymenoptera, Lepidoptera, Orthoptera or Stylommatophora), invertebrate taxon (species name or morphospecies code), taxonomic resolution (species/morphospecies-level or order-level identification), site nested within study, year and month of sampling, invertebrate abundance (not used), study latitude and longitude (not used), and day of sampling (where available, not used).</w:t>
      </w:r>
      <w:r>
        <w:rPr>
          <w:rFonts w:ascii="Arial" w:hAnsi="Arial" w:cs="Arial"/>
          <w:sz w:val="20"/>
          <w:szCs w:val="20"/>
          <w:lang w:val="en-US"/>
        </w:rPr>
        <w:t xml:space="preserve"> The earliest recorded data was from 1965, although earliest data collection for most invertebrate orders was in the early 1980’s (S2).</w:t>
      </w:r>
    </w:p>
    <w:p w14:paraId="2C1B9D32" w14:textId="77777777" w:rsidR="00700DAC" w:rsidRPr="00984C82" w:rsidRDefault="00700DAC" w:rsidP="007063F8">
      <w:pPr>
        <w:spacing w:line="480" w:lineRule="auto"/>
        <w:rPr>
          <w:rFonts w:ascii="Arial" w:hAnsi="Arial" w:cs="Arial"/>
          <w:sz w:val="20"/>
          <w:szCs w:val="20"/>
          <w:lang w:val="en-US"/>
        </w:rPr>
      </w:pPr>
    </w:p>
    <w:p w14:paraId="13890560" w14:textId="4D525967" w:rsidR="00984C82" w:rsidRPr="00984C82" w:rsidRDefault="00700DAC" w:rsidP="007063F8">
      <w:pPr>
        <w:spacing w:line="480" w:lineRule="auto"/>
        <w:rPr>
          <w:rFonts w:ascii="Arial" w:hAnsi="Arial" w:cs="Arial"/>
          <w:sz w:val="20"/>
          <w:szCs w:val="20"/>
          <w:lang w:val="en-US"/>
        </w:rPr>
      </w:pPr>
      <w:r w:rsidRPr="00984C82">
        <w:rPr>
          <w:rFonts w:ascii="Arial" w:hAnsi="Arial" w:cs="Arial"/>
          <w:sz w:val="20"/>
          <w:szCs w:val="20"/>
          <w:lang w:val="en-US"/>
        </w:rPr>
        <w:lastRenderedPageBreak/>
        <w:t xml:space="preserve">The combined data comprised </w:t>
      </w:r>
      <w:r w:rsidR="008A102B" w:rsidRPr="00984C82">
        <w:rPr>
          <w:rFonts w:ascii="Arial" w:hAnsi="Arial" w:cs="Arial"/>
          <w:sz w:val="20"/>
          <w:szCs w:val="20"/>
          <w:lang w:val="en-US"/>
        </w:rPr>
        <w:t>406,476</w:t>
      </w:r>
      <w:r w:rsidRPr="00984C82">
        <w:rPr>
          <w:rFonts w:ascii="Arial" w:hAnsi="Arial" w:cs="Arial"/>
          <w:sz w:val="20"/>
          <w:szCs w:val="20"/>
          <w:lang w:val="en-US"/>
        </w:rPr>
        <w:t xml:space="preserve"> </w:t>
      </w:r>
      <w:r w:rsidR="00984C82" w:rsidRPr="00984C82">
        <w:rPr>
          <w:rFonts w:ascii="Arial" w:hAnsi="Arial" w:cs="Arial"/>
          <w:sz w:val="20"/>
          <w:szCs w:val="20"/>
          <w:lang w:val="en-US"/>
        </w:rPr>
        <w:t xml:space="preserve">individual </w:t>
      </w:r>
      <w:r w:rsidRPr="00984C82">
        <w:rPr>
          <w:rFonts w:ascii="Arial" w:hAnsi="Arial" w:cs="Arial"/>
          <w:sz w:val="20"/>
          <w:szCs w:val="20"/>
          <w:lang w:val="en-US"/>
        </w:rPr>
        <w:t xml:space="preserve">observations </w:t>
      </w:r>
      <w:r w:rsidR="00F46D06">
        <w:rPr>
          <w:rFonts w:ascii="Arial" w:hAnsi="Arial" w:cs="Arial"/>
          <w:sz w:val="20"/>
          <w:szCs w:val="20"/>
          <w:lang w:val="en-US"/>
        </w:rPr>
        <w:t xml:space="preserve">from 202 sites </w:t>
      </w:r>
      <w:r w:rsidRPr="00984C82">
        <w:rPr>
          <w:rFonts w:ascii="Arial" w:hAnsi="Arial" w:cs="Arial"/>
          <w:sz w:val="20"/>
          <w:szCs w:val="20"/>
          <w:lang w:val="en-US"/>
        </w:rPr>
        <w:t xml:space="preserve">of </w:t>
      </w:r>
      <w:r w:rsidR="008A102B" w:rsidRPr="00984C82">
        <w:rPr>
          <w:rFonts w:ascii="Arial" w:hAnsi="Arial" w:cs="Arial"/>
          <w:sz w:val="20"/>
          <w:szCs w:val="20"/>
          <w:lang w:val="en-US"/>
        </w:rPr>
        <w:t>8,910</w:t>
      </w:r>
      <w:r w:rsidRPr="00984C82">
        <w:rPr>
          <w:rFonts w:ascii="Arial" w:hAnsi="Arial" w:cs="Arial"/>
          <w:sz w:val="20"/>
          <w:szCs w:val="20"/>
          <w:lang w:val="en-US"/>
        </w:rPr>
        <w:t xml:space="preserve"> distinct taxa, which were identified mostly to named species or morphospecies. In recognition of the coarse taxonomic resolution in some of our incorporated diversity times series, we expected that the number of true species present was higher than the number of reproducible taxonomic units we used. We removed as much of this confounding effect as possible by standardizing all taxa data before analysis (</w:t>
      </w:r>
      <w:r w:rsidR="00806526">
        <w:rPr>
          <w:rFonts w:ascii="Arial" w:hAnsi="Arial" w:cs="Arial"/>
          <w:sz w:val="20"/>
          <w:szCs w:val="20"/>
          <w:lang w:val="en-US"/>
        </w:rPr>
        <w:t>details below</w:t>
      </w:r>
      <w:r w:rsidRPr="00984C82">
        <w:rPr>
          <w:rFonts w:ascii="Arial" w:hAnsi="Arial" w:cs="Arial"/>
          <w:sz w:val="20"/>
          <w:szCs w:val="20"/>
          <w:lang w:val="en-US"/>
        </w:rPr>
        <w:t>) but still we expect that the true signal in species diversity was dampened in our analysis, especially in hyper-diverse and cryptic taxa. Nonetheless</w:t>
      </w:r>
      <w:r w:rsidR="00806526">
        <w:rPr>
          <w:rFonts w:ascii="Arial" w:hAnsi="Arial" w:cs="Arial"/>
          <w:sz w:val="20"/>
          <w:szCs w:val="20"/>
          <w:lang w:val="en-US"/>
        </w:rPr>
        <w:t xml:space="preserve">, </w:t>
      </w:r>
      <w:r w:rsidRPr="00984C82">
        <w:rPr>
          <w:rFonts w:ascii="Arial" w:hAnsi="Arial" w:cs="Arial"/>
          <w:sz w:val="20"/>
          <w:szCs w:val="20"/>
          <w:lang w:val="en-US"/>
        </w:rPr>
        <w:t xml:space="preserve">we expect that any statistically significant trends would only be amplified by use of an unrealistic dataset of </w:t>
      </w:r>
      <w:r w:rsidR="008A102B" w:rsidRPr="00984C82">
        <w:rPr>
          <w:rFonts w:ascii="Arial" w:hAnsi="Arial" w:cs="Arial"/>
          <w:sz w:val="20"/>
          <w:szCs w:val="20"/>
          <w:lang w:val="en-US"/>
        </w:rPr>
        <w:t>complete taxonomic</w:t>
      </w:r>
      <w:r w:rsidRPr="00984C82">
        <w:rPr>
          <w:rFonts w:ascii="Arial" w:hAnsi="Arial" w:cs="Arial"/>
          <w:sz w:val="20"/>
          <w:szCs w:val="20"/>
          <w:lang w:val="en-US"/>
        </w:rPr>
        <w:t xml:space="preserve"> identifications. Our conclusions </w:t>
      </w:r>
      <w:r w:rsidR="008A102B" w:rsidRPr="00984C82">
        <w:rPr>
          <w:rFonts w:ascii="Arial" w:hAnsi="Arial" w:cs="Arial"/>
          <w:sz w:val="20"/>
          <w:szCs w:val="20"/>
          <w:lang w:val="en-US"/>
        </w:rPr>
        <w:t>could</w:t>
      </w:r>
      <w:r w:rsidRPr="00984C82">
        <w:rPr>
          <w:rFonts w:ascii="Arial" w:hAnsi="Arial" w:cs="Arial"/>
          <w:sz w:val="20"/>
          <w:szCs w:val="20"/>
          <w:lang w:val="en-US"/>
        </w:rPr>
        <w:t xml:space="preserve"> therefore </w:t>
      </w:r>
      <w:r w:rsidR="008A102B" w:rsidRPr="00984C82">
        <w:rPr>
          <w:rFonts w:ascii="Arial" w:hAnsi="Arial" w:cs="Arial"/>
          <w:sz w:val="20"/>
          <w:szCs w:val="20"/>
          <w:lang w:val="en-US"/>
        </w:rPr>
        <w:t xml:space="preserve">be </w:t>
      </w:r>
      <w:r w:rsidRPr="00984C82">
        <w:rPr>
          <w:rFonts w:ascii="Arial" w:hAnsi="Arial" w:cs="Arial"/>
          <w:sz w:val="20"/>
          <w:szCs w:val="20"/>
          <w:lang w:val="en-US"/>
        </w:rPr>
        <w:t>under-estimates of the true scale of change occurring in primary tropical forests.</w:t>
      </w:r>
    </w:p>
    <w:p w14:paraId="1A861E2A" w14:textId="77777777" w:rsidR="00700DAC" w:rsidRPr="00984C82" w:rsidRDefault="00700DAC" w:rsidP="007063F8">
      <w:pPr>
        <w:spacing w:line="480" w:lineRule="auto"/>
        <w:rPr>
          <w:rFonts w:ascii="Arial" w:hAnsi="Arial" w:cs="Arial"/>
          <w:sz w:val="20"/>
          <w:szCs w:val="20"/>
          <w:lang w:val="en-US"/>
        </w:rPr>
      </w:pPr>
    </w:p>
    <w:p w14:paraId="263FEA6E" w14:textId="781FD025" w:rsidR="00700DAC" w:rsidRPr="00984C82" w:rsidRDefault="008A102B" w:rsidP="007063F8">
      <w:pPr>
        <w:spacing w:line="480" w:lineRule="auto"/>
        <w:rPr>
          <w:rFonts w:ascii="Arial" w:hAnsi="Arial" w:cs="Arial"/>
          <w:b/>
          <w:bCs/>
          <w:sz w:val="20"/>
          <w:szCs w:val="20"/>
          <w:lang w:val="en-US"/>
        </w:rPr>
      </w:pPr>
      <w:r w:rsidRPr="00984C82">
        <w:rPr>
          <w:rFonts w:ascii="Arial" w:hAnsi="Arial" w:cs="Arial"/>
          <w:b/>
          <w:bCs/>
          <w:sz w:val="20"/>
          <w:szCs w:val="20"/>
          <w:lang w:val="en-US"/>
        </w:rPr>
        <w:t>ENSO</w:t>
      </w:r>
      <w:r w:rsidR="00700DAC" w:rsidRPr="00984C82">
        <w:rPr>
          <w:rFonts w:ascii="Arial" w:hAnsi="Arial" w:cs="Arial"/>
          <w:b/>
          <w:bCs/>
          <w:sz w:val="20"/>
          <w:szCs w:val="20"/>
          <w:lang w:val="en-US"/>
        </w:rPr>
        <w:t xml:space="preserve"> Dataset</w:t>
      </w:r>
    </w:p>
    <w:p w14:paraId="7D114823" w14:textId="77777777" w:rsidR="00700DAC" w:rsidRPr="00984C82" w:rsidRDefault="00700DAC" w:rsidP="007063F8">
      <w:pPr>
        <w:spacing w:line="480" w:lineRule="auto"/>
        <w:rPr>
          <w:rFonts w:ascii="Arial" w:hAnsi="Arial" w:cs="Arial"/>
          <w:b/>
          <w:bCs/>
          <w:sz w:val="20"/>
          <w:szCs w:val="20"/>
          <w:lang w:val="en-US"/>
        </w:rPr>
      </w:pPr>
    </w:p>
    <w:p w14:paraId="1CC88019" w14:textId="0B350D5C" w:rsidR="00700DAC" w:rsidRPr="00984C82" w:rsidRDefault="00700DAC" w:rsidP="007063F8">
      <w:pPr>
        <w:spacing w:line="480" w:lineRule="auto"/>
        <w:rPr>
          <w:rFonts w:ascii="Arial" w:hAnsi="Arial" w:cs="Arial"/>
          <w:sz w:val="20"/>
          <w:szCs w:val="20"/>
          <w:lang w:val="en-US"/>
        </w:rPr>
      </w:pPr>
      <w:r w:rsidRPr="00984C82">
        <w:rPr>
          <w:rFonts w:ascii="Arial" w:hAnsi="Arial" w:cs="Arial"/>
          <w:sz w:val="20"/>
          <w:szCs w:val="20"/>
          <w:lang w:val="en-US"/>
        </w:rPr>
        <w:t>ENSO data was in the form of the three-month rolling Oceanic Niño Index (ONI) compiled by the National Oceanic and Atmospheric Administration</w:t>
      </w:r>
      <w:r w:rsidRPr="00984C82">
        <w:rPr>
          <w:rFonts w:ascii="Arial" w:hAnsi="Arial" w:cs="Arial"/>
          <w:sz w:val="20"/>
          <w:szCs w:val="20"/>
          <w:vertAlign w:val="superscript"/>
          <w:lang w:val="en-US"/>
        </w:rPr>
        <w:fldChar w:fldCharType="begin"/>
      </w:r>
      <w:r w:rsidR="00E92A52">
        <w:rPr>
          <w:rFonts w:ascii="Arial" w:hAnsi="Arial" w:cs="Arial"/>
          <w:sz w:val="20"/>
          <w:szCs w:val="20"/>
          <w:vertAlign w:val="superscript"/>
          <w:lang w:val="en-US"/>
        </w:rPr>
        <w:instrText xml:space="preserve"> ADDIN ZOTERO_ITEM CSL_CITATION {"citationID":"7cYh1ZSo","properties":{"formattedCitation":"\\super 13\\nosupersub{}","plainCitation":"13","noteIndex":0},"citationItems":[{"id":231,"uris":["http://zotero.org/users/local/e9sA6OhB/items/MFCPTLNA"],"itemData":{"id":231,"type":"article-journal","abstract":"The monthly global 2° × 2° Extended Reconstructed Sea Surface Temperature (ERSST) has been revised and updated from version 4 to version 5. This update incorporates a new release of ICOADS release 3.0 (R3.0), a decade of near-surface data from Argo floats, and a new estimate of centennial sea ice from HadISST2. A number of choices in aspects of quality control, bias adjustment, and interpolation have been substantively revised. The resulting ERSST estimates have more realistic spatiotemporal variations, better representation of high-latitude SSTs, and ship SST biases are now calculated relative to more accurate buoy measurements, while the global long-term trend remains about the same. Progressive experiments have been undertaken to highlight the effects of each change in data source and analysis technique upon the final product. The reconstructed SST is systematically decreased by 0.077°C, as the reference data source is switched from ship SST in ERSSTv4 to modern buoy SST in ERSSTv5. Furthermore, high-latitude SSTs are decreased by 0.1°-0.2°C by using sea ice concentration from HadISST2 over HadISST1. Changes arising from remaining innovations are mostly important at small space and time scales, primarily having an impact where and when input observations are sparse. Cross validations and verifications with independent modern observations show that the updates incorporated in ERSSTv5 have improved the representation of spatial variability over the global oceans, the magnitude of El Niño and La Niña events, and the decadal nature of SST changes over 1930s-40s when observation instruments changed rapidly. Both long- (1900-2015) and short-term (2000-15) SST trends in ERSSTv5 remain significant as in ERSSTv4.","container-title":"Journal of Climate","DOI":"10.1175/JCLI-D-16-0836.1","ISSN":"0894-8755","issue":"20","note":"publisher: American Meteorological Society","page":"8179-8205","title":"Extended Reconstructed Sea Surface Temperature, Version 5 (ERSSTv5): Upgrades, Validations, and Intercomparisons","volume":"30","author":[{"family":"Huang","given":"Boyin"},{"family":"Thorne","given":"Peter W."},{"family":"Banzon","given":"Viva F."},{"family":"Boyer","given":"Tim"},{"family":"Chepurin","given":"Gennady"},{"family":"Lawrimore","given":"Jay H."},{"family":"Menne","given":"Matthew J."},{"family":"Smith","given":"Thomas M."},{"family":"Vose","given":"Russell S."},{"family":"Zhang","given":"Huai Min"}],"issued":{"date-parts":[["2017",10,15]]}}}],"schema":"https://github.com/citation-style-language/schema/raw/master/csl-citation.json"} </w:instrText>
      </w:r>
      <w:r w:rsidRPr="00984C82">
        <w:rPr>
          <w:rFonts w:ascii="Arial" w:hAnsi="Arial" w:cs="Arial"/>
          <w:sz w:val="20"/>
          <w:szCs w:val="20"/>
          <w:vertAlign w:val="superscript"/>
          <w:lang w:val="en-US"/>
        </w:rPr>
        <w:fldChar w:fldCharType="separate"/>
      </w:r>
      <w:r w:rsidR="00E92A52" w:rsidRPr="00E92A52">
        <w:rPr>
          <w:rFonts w:ascii="Arial" w:hAnsi="Arial" w:cs="Arial"/>
          <w:sz w:val="20"/>
          <w:vertAlign w:val="superscript"/>
          <w:lang w:val="en-GB"/>
        </w:rPr>
        <w:t>13</w:t>
      </w:r>
      <w:r w:rsidRPr="00984C82">
        <w:rPr>
          <w:rFonts w:ascii="Arial" w:hAnsi="Arial" w:cs="Arial"/>
          <w:sz w:val="20"/>
          <w:szCs w:val="20"/>
          <w:vertAlign w:val="superscript"/>
          <w:lang w:val="en-US"/>
        </w:rPr>
        <w:fldChar w:fldCharType="end"/>
      </w:r>
      <w:r w:rsidRPr="00984C82">
        <w:rPr>
          <w:rFonts w:ascii="Arial" w:hAnsi="Arial" w:cs="Arial"/>
          <w:sz w:val="20"/>
          <w:szCs w:val="20"/>
          <w:lang w:val="en-US"/>
        </w:rPr>
        <w:t>. As a measure of the surface water temperature in the east-central Pacific Ocean that is representative of global ENSO state, the ONI varies temporally but not spatially.</w:t>
      </w:r>
      <w:r w:rsidR="008A102B" w:rsidRPr="00984C82">
        <w:rPr>
          <w:rFonts w:ascii="Arial" w:hAnsi="Arial" w:cs="Arial"/>
          <w:sz w:val="20"/>
          <w:szCs w:val="20"/>
          <w:lang w:val="en-US"/>
        </w:rPr>
        <w:t xml:space="preserve"> The timeseries in ONI values spans from the year 1950 to present</w:t>
      </w:r>
      <w:r w:rsidR="00E92A52">
        <w:rPr>
          <w:rFonts w:ascii="Arial" w:hAnsi="Arial" w:cs="Arial"/>
          <w:sz w:val="20"/>
          <w:szCs w:val="20"/>
          <w:lang w:val="en-US"/>
        </w:rPr>
        <w:t xml:space="preserve">. </w:t>
      </w:r>
      <w:r w:rsidR="0055504B">
        <w:rPr>
          <w:rFonts w:ascii="Arial" w:hAnsi="Arial" w:cs="Arial"/>
          <w:sz w:val="20"/>
          <w:szCs w:val="20"/>
          <w:lang w:val="en-US"/>
        </w:rPr>
        <w:t>ONI data was linked to invertebrate diversity data at monthly scale where possible and at annual-mean scale where only sampling years were reported.</w:t>
      </w:r>
    </w:p>
    <w:p w14:paraId="52E70DD5" w14:textId="77777777" w:rsidR="00700DAC" w:rsidRPr="00984C82" w:rsidRDefault="00700DAC" w:rsidP="007063F8">
      <w:pPr>
        <w:spacing w:line="480" w:lineRule="auto"/>
        <w:rPr>
          <w:rFonts w:ascii="Arial" w:hAnsi="Arial" w:cs="Arial"/>
          <w:sz w:val="20"/>
          <w:szCs w:val="20"/>
          <w:lang w:val="en-US"/>
        </w:rPr>
      </w:pPr>
    </w:p>
    <w:p w14:paraId="050A7A8D" w14:textId="77C5DFFA" w:rsidR="00700DAC" w:rsidRPr="00984C82" w:rsidRDefault="008A102B" w:rsidP="007063F8">
      <w:pPr>
        <w:spacing w:line="480" w:lineRule="auto"/>
        <w:rPr>
          <w:rFonts w:ascii="Arial" w:hAnsi="Arial" w:cs="Arial"/>
          <w:b/>
          <w:bCs/>
          <w:sz w:val="20"/>
          <w:szCs w:val="20"/>
          <w:lang w:val="en-US"/>
        </w:rPr>
      </w:pPr>
      <w:r w:rsidRPr="00984C82">
        <w:rPr>
          <w:rFonts w:ascii="Arial" w:hAnsi="Arial" w:cs="Arial"/>
          <w:b/>
          <w:bCs/>
          <w:sz w:val="20"/>
          <w:szCs w:val="20"/>
          <w:lang w:val="en-US"/>
        </w:rPr>
        <w:t xml:space="preserve">Invertebrate </w:t>
      </w:r>
      <w:r w:rsidR="00700DAC" w:rsidRPr="00984C82">
        <w:rPr>
          <w:rFonts w:ascii="Arial" w:hAnsi="Arial" w:cs="Arial"/>
          <w:b/>
          <w:bCs/>
          <w:sz w:val="20"/>
          <w:szCs w:val="20"/>
          <w:lang w:val="en-US"/>
        </w:rPr>
        <w:t>Decomposition Rate Data</w:t>
      </w:r>
    </w:p>
    <w:p w14:paraId="7E0C2259" w14:textId="77777777" w:rsidR="00700DAC" w:rsidRPr="00984C82" w:rsidRDefault="00700DAC" w:rsidP="007063F8">
      <w:pPr>
        <w:spacing w:line="480" w:lineRule="auto"/>
        <w:rPr>
          <w:rFonts w:ascii="Arial" w:hAnsi="Arial" w:cs="Arial"/>
          <w:b/>
          <w:bCs/>
          <w:sz w:val="20"/>
          <w:szCs w:val="20"/>
          <w:lang w:val="en-US"/>
        </w:rPr>
      </w:pPr>
    </w:p>
    <w:p w14:paraId="023C56F1" w14:textId="09FA26DA" w:rsidR="008A102B" w:rsidRPr="00984C82" w:rsidRDefault="008A102B" w:rsidP="007063F8">
      <w:pPr>
        <w:spacing w:line="480" w:lineRule="auto"/>
        <w:rPr>
          <w:rFonts w:ascii="Arial" w:hAnsi="Arial" w:cs="Arial"/>
          <w:sz w:val="20"/>
          <w:szCs w:val="20"/>
        </w:rPr>
      </w:pPr>
      <w:r w:rsidRPr="00984C82">
        <w:rPr>
          <w:rFonts w:ascii="Arial" w:hAnsi="Arial" w:cs="Arial"/>
          <w:sz w:val="20"/>
          <w:szCs w:val="20"/>
        </w:rPr>
        <w:t xml:space="preserve">Decomposition rate data were located by performing a rigorous literature search of Web of Science and ScienceDirect </w:t>
      </w:r>
      <w:r w:rsidR="00984C82" w:rsidRPr="00984C82">
        <w:rPr>
          <w:rFonts w:ascii="Arial" w:hAnsi="Arial" w:cs="Arial"/>
          <w:sz w:val="20"/>
          <w:szCs w:val="20"/>
        </w:rPr>
        <w:t>during late 2023 to early</w:t>
      </w:r>
      <w:r w:rsidRPr="00984C82">
        <w:rPr>
          <w:rFonts w:ascii="Arial" w:hAnsi="Arial" w:cs="Arial"/>
          <w:sz w:val="20"/>
          <w:szCs w:val="20"/>
        </w:rPr>
        <w:t xml:space="preserve"> 2024. The </w:t>
      </w:r>
      <w:r w:rsidR="00984C82" w:rsidRPr="00984C82">
        <w:rPr>
          <w:rFonts w:ascii="Arial" w:hAnsi="Arial" w:cs="Arial"/>
          <w:sz w:val="20"/>
          <w:szCs w:val="20"/>
        </w:rPr>
        <w:t>search terms</w:t>
      </w:r>
      <w:r w:rsidRPr="00984C82">
        <w:rPr>
          <w:rFonts w:ascii="Arial" w:hAnsi="Arial" w:cs="Arial"/>
          <w:sz w:val="20"/>
          <w:szCs w:val="20"/>
        </w:rPr>
        <w:t xml:space="preserve"> used were:</w:t>
      </w:r>
    </w:p>
    <w:p w14:paraId="76557F1B" w14:textId="77777777" w:rsidR="008A102B" w:rsidRPr="00984C82" w:rsidRDefault="008A102B" w:rsidP="007063F8">
      <w:pPr>
        <w:spacing w:line="480" w:lineRule="auto"/>
        <w:rPr>
          <w:rFonts w:ascii="Arial" w:hAnsi="Arial" w:cs="Arial"/>
          <w:i/>
          <w:iCs/>
          <w:sz w:val="20"/>
          <w:szCs w:val="20"/>
        </w:rPr>
      </w:pPr>
      <w:r w:rsidRPr="00984C82">
        <w:rPr>
          <w:rFonts w:ascii="Arial" w:hAnsi="Arial" w:cs="Arial"/>
          <w:i/>
          <w:iCs/>
          <w:sz w:val="20"/>
          <w:szCs w:val="20"/>
        </w:rPr>
        <w:t>(‘tropical forest’ OR ‘rainforest’) (‘decomposition’ OR ‘breakdown’ OR ‘decay’) AND (‘leaf’ OR ‘foliar’ OR ‘litter’) AND (‘litterbag’ OR ‘naphthalene’ OR ‘mesh size’) AND (‘soil animal’ OR ‘soil fauna’ OR ‘soil invertebrate’ OR ‘soil detritivore’)</w:t>
      </w:r>
    </w:p>
    <w:p w14:paraId="3DF659C6" w14:textId="77777777" w:rsidR="008A102B" w:rsidRPr="00984C82" w:rsidRDefault="008A102B" w:rsidP="007063F8">
      <w:pPr>
        <w:spacing w:line="480" w:lineRule="auto"/>
        <w:rPr>
          <w:rFonts w:ascii="Arial" w:hAnsi="Arial" w:cs="Arial"/>
          <w:sz w:val="20"/>
          <w:szCs w:val="20"/>
        </w:rPr>
      </w:pPr>
    </w:p>
    <w:p w14:paraId="3C9B9597" w14:textId="1BA93F48" w:rsidR="00984C82" w:rsidRPr="00984C82" w:rsidRDefault="008A102B" w:rsidP="007063F8">
      <w:pPr>
        <w:spacing w:line="480" w:lineRule="auto"/>
        <w:rPr>
          <w:rFonts w:ascii="Arial" w:hAnsi="Arial" w:cs="Arial"/>
          <w:sz w:val="20"/>
          <w:szCs w:val="20"/>
        </w:rPr>
      </w:pPr>
      <w:r w:rsidRPr="00984C82">
        <w:rPr>
          <w:rFonts w:ascii="Arial" w:hAnsi="Arial" w:cs="Arial"/>
          <w:sz w:val="20"/>
          <w:szCs w:val="20"/>
        </w:rPr>
        <w:t>Studies were included when they met the following criteria:</w:t>
      </w:r>
      <w:r w:rsidR="00984C82" w:rsidRPr="00984C82">
        <w:rPr>
          <w:rFonts w:ascii="Arial" w:hAnsi="Arial" w:cs="Arial"/>
          <w:sz w:val="20"/>
          <w:szCs w:val="20"/>
        </w:rPr>
        <w:t xml:space="preserve"> 1 – </w:t>
      </w:r>
      <w:r w:rsidRPr="00984C82">
        <w:rPr>
          <w:rFonts w:ascii="Arial" w:hAnsi="Arial" w:cs="Arial"/>
          <w:sz w:val="20"/>
          <w:szCs w:val="20"/>
        </w:rPr>
        <w:t xml:space="preserve">The author(s) conducted leaf litter decomposition experiments </w:t>
      </w:r>
      <w:r w:rsidR="00984C82" w:rsidRPr="00984C82">
        <w:rPr>
          <w:rFonts w:ascii="Arial" w:hAnsi="Arial" w:cs="Arial"/>
          <w:sz w:val="20"/>
          <w:szCs w:val="20"/>
        </w:rPr>
        <w:t xml:space="preserve">in the field; 2 – </w:t>
      </w:r>
      <w:r w:rsidRPr="00984C82">
        <w:rPr>
          <w:rFonts w:ascii="Arial" w:hAnsi="Arial" w:cs="Arial"/>
          <w:sz w:val="20"/>
          <w:szCs w:val="20"/>
        </w:rPr>
        <w:t xml:space="preserve">The author(s) used graded mesh sizes (fine mesh, size ≤ </w:t>
      </w:r>
      <w:r w:rsidRPr="00984C82">
        <w:rPr>
          <w:rFonts w:ascii="Arial" w:hAnsi="Arial" w:cs="Arial"/>
          <w:sz w:val="20"/>
          <w:szCs w:val="20"/>
        </w:rPr>
        <w:lastRenderedPageBreak/>
        <w:t>1 mm, vs coarse, mesh size &gt; 1 mm) or chemical agents (treatment vs control) to include or exclude invertebrates under equivalent abiotic and biotic conditions</w:t>
      </w:r>
      <w:r w:rsidR="00984C82" w:rsidRPr="00984C82">
        <w:rPr>
          <w:rFonts w:ascii="Arial" w:hAnsi="Arial" w:cs="Arial"/>
          <w:sz w:val="20"/>
          <w:szCs w:val="20"/>
        </w:rPr>
        <w:t xml:space="preserve">; 3 – </w:t>
      </w:r>
      <w:r w:rsidRPr="00984C82">
        <w:rPr>
          <w:rFonts w:ascii="Arial" w:hAnsi="Arial" w:cs="Arial"/>
          <w:sz w:val="20"/>
          <w:szCs w:val="20"/>
        </w:rPr>
        <w:t>The author(s) recorded litter decomposition as mass loss over a known time period</w:t>
      </w:r>
      <w:r w:rsidR="00984C82" w:rsidRPr="00984C82">
        <w:rPr>
          <w:rFonts w:ascii="Arial" w:hAnsi="Arial" w:cs="Arial"/>
          <w:sz w:val="20"/>
          <w:szCs w:val="20"/>
        </w:rPr>
        <w:t>; and 4 – At least some of the trials were conducted in primary forest (others were excluded from analysis)</w:t>
      </w:r>
      <w:r w:rsidRPr="00984C82">
        <w:rPr>
          <w:rFonts w:ascii="Arial" w:hAnsi="Arial" w:cs="Arial"/>
          <w:sz w:val="20"/>
          <w:szCs w:val="20"/>
        </w:rPr>
        <w:t>.</w:t>
      </w:r>
      <w:r w:rsidR="00984C82" w:rsidRPr="00984C82">
        <w:rPr>
          <w:rFonts w:ascii="Arial" w:hAnsi="Arial" w:cs="Arial"/>
          <w:sz w:val="20"/>
          <w:szCs w:val="20"/>
        </w:rPr>
        <w:t xml:space="preserve"> We collated the following information: study year, sample size (number of trials), treatment (invertebrates included or excluded), starting mass of leaf litter, ending mass of leaf litter, decomposition period, study latitude and longitude (not used), mean annual temperature (not used), mean annual precipitation (not used), soil pH (where available, not used) and leaf litter plant species (not used). We compiled decomposition rate data from a total of 36 studies, from which we found 2,156 individual</w:t>
      </w:r>
      <w:r w:rsidR="00FD4202">
        <w:rPr>
          <w:rFonts w:ascii="Arial" w:hAnsi="Arial" w:cs="Arial"/>
          <w:sz w:val="20"/>
          <w:szCs w:val="20"/>
        </w:rPr>
        <w:t>ly measured trials</w:t>
      </w:r>
      <w:r w:rsidR="00747BE0">
        <w:rPr>
          <w:rFonts w:ascii="Arial" w:hAnsi="Arial" w:cs="Arial"/>
          <w:sz w:val="20"/>
          <w:szCs w:val="20"/>
        </w:rPr>
        <w:t xml:space="preserve"> (S1b)</w:t>
      </w:r>
      <w:r w:rsidR="00FD4202">
        <w:rPr>
          <w:rFonts w:ascii="Arial" w:hAnsi="Arial" w:cs="Arial"/>
          <w:sz w:val="20"/>
          <w:szCs w:val="20"/>
        </w:rPr>
        <w:t>. Earliest decomposition quantification was in 1983, although data was temporally sparse until the mid-1990’s</w:t>
      </w:r>
      <w:r w:rsidR="0017015F">
        <w:rPr>
          <w:rFonts w:ascii="Arial" w:hAnsi="Arial" w:cs="Arial"/>
          <w:sz w:val="20"/>
          <w:szCs w:val="20"/>
        </w:rPr>
        <w:t xml:space="preserve"> (S5)</w:t>
      </w:r>
      <w:r w:rsidR="00FD4202">
        <w:rPr>
          <w:rFonts w:ascii="Arial" w:hAnsi="Arial" w:cs="Arial"/>
          <w:sz w:val="20"/>
          <w:szCs w:val="20"/>
        </w:rPr>
        <w:t>.</w:t>
      </w:r>
    </w:p>
    <w:p w14:paraId="54255E8D" w14:textId="77777777" w:rsidR="00984C82" w:rsidRPr="00984C82" w:rsidRDefault="00984C82" w:rsidP="007063F8">
      <w:pPr>
        <w:spacing w:line="480" w:lineRule="auto"/>
        <w:rPr>
          <w:rFonts w:ascii="Arial" w:hAnsi="Arial" w:cs="Arial"/>
          <w:sz w:val="20"/>
          <w:szCs w:val="20"/>
        </w:rPr>
      </w:pPr>
    </w:p>
    <w:p w14:paraId="4E7CB0EB" w14:textId="7965EF9E" w:rsidR="00984C82" w:rsidRPr="00984C82" w:rsidRDefault="00984C82" w:rsidP="007063F8">
      <w:pPr>
        <w:spacing w:line="480" w:lineRule="auto"/>
        <w:rPr>
          <w:rFonts w:ascii="Arial" w:hAnsi="Arial" w:cs="Arial"/>
          <w:b/>
          <w:bCs/>
          <w:sz w:val="20"/>
          <w:szCs w:val="20"/>
        </w:rPr>
      </w:pPr>
      <w:r w:rsidRPr="00984C82">
        <w:rPr>
          <w:rFonts w:ascii="Arial" w:hAnsi="Arial" w:cs="Arial"/>
          <w:b/>
          <w:bCs/>
          <w:sz w:val="20"/>
          <w:szCs w:val="20"/>
        </w:rPr>
        <w:t>Invertebrate Leaf Herbivory Data</w:t>
      </w:r>
    </w:p>
    <w:p w14:paraId="48FD0F98" w14:textId="77777777" w:rsidR="00984C82" w:rsidRPr="00984C82" w:rsidRDefault="00984C82" w:rsidP="007063F8">
      <w:pPr>
        <w:spacing w:line="480" w:lineRule="auto"/>
        <w:rPr>
          <w:rFonts w:ascii="Arial" w:hAnsi="Arial" w:cs="Arial"/>
          <w:b/>
          <w:bCs/>
          <w:sz w:val="20"/>
          <w:szCs w:val="20"/>
        </w:rPr>
      </w:pPr>
    </w:p>
    <w:p w14:paraId="338AAC77" w14:textId="77777777" w:rsidR="00984C82" w:rsidRPr="00984C82" w:rsidRDefault="00984C82" w:rsidP="007063F8">
      <w:pPr>
        <w:spacing w:line="480" w:lineRule="auto"/>
        <w:rPr>
          <w:rFonts w:ascii="Arial" w:hAnsi="Arial" w:cs="Arial"/>
          <w:sz w:val="20"/>
          <w:szCs w:val="20"/>
        </w:rPr>
      </w:pPr>
      <w:r w:rsidRPr="00984C82">
        <w:rPr>
          <w:rFonts w:ascii="Arial" w:hAnsi="Arial" w:cs="Arial"/>
          <w:sz w:val="20"/>
          <w:szCs w:val="20"/>
        </w:rPr>
        <w:t>Herbivory rate data were located by performing a literature search analogous to that for decomposition data, of Web of Science and ScienceDirect, during July and August of 2024. The search terms used were:</w:t>
      </w:r>
    </w:p>
    <w:p w14:paraId="1484F6CE" w14:textId="4D2585CB" w:rsidR="00984C82" w:rsidRPr="00984C82" w:rsidRDefault="00984C82" w:rsidP="007063F8">
      <w:pPr>
        <w:spacing w:line="480" w:lineRule="auto"/>
        <w:rPr>
          <w:rFonts w:ascii="Arial" w:hAnsi="Arial" w:cs="Arial"/>
          <w:sz w:val="20"/>
          <w:szCs w:val="20"/>
        </w:rPr>
      </w:pPr>
      <w:r w:rsidRPr="00984C82">
        <w:rPr>
          <w:rFonts w:ascii="Arial" w:hAnsi="Arial" w:cs="Arial"/>
          <w:i/>
          <w:iCs/>
          <w:sz w:val="20"/>
          <w:szCs w:val="20"/>
        </w:rPr>
        <w:t>(‘tropical forest’ OR ‘rainforest’) AND (‘herbivory’ OR ‘damage’ OR ‘consumption’) AND (‘insect’ OR ‘invertebrate’ OR ‘arthropod’ OR ‘gastropod’) AND (‘leaf area consumed’ OR ‘leaf area loss’ OR ‘leaf damage’)</w:t>
      </w:r>
    </w:p>
    <w:p w14:paraId="4F2BA43B" w14:textId="77777777" w:rsidR="00984C82" w:rsidRPr="00984C82" w:rsidRDefault="00984C82" w:rsidP="007063F8">
      <w:pPr>
        <w:spacing w:line="480" w:lineRule="auto"/>
        <w:rPr>
          <w:rFonts w:ascii="Arial" w:hAnsi="Arial" w:cs="Arial"/>
          <w:sz w:val="20"/>
          <w:szCs w:val="20"/>
        </w:rPr>
      </w:pPr>
    </w:p>
    <w:p w14:paraId="5C2C2E94" w14:textId="0AA7F4F3" w:rsidR="00700DAC" w:rsidRDefault="00984C82" w:rsidP="007063F8">
      <w:pPr>
        <w:spacing w:line="480" w:lineRule="auto"/>
        <w:rPr>
          <w:rFonts w:ascii="Arial" w:hAnsi="Arial" w:cs="Arial"/>
          <w:sz w:val="20"/>
          <w:szCs w:val="20"/>
          <w:lang w:val="en-US"/>
        </w:rPr>
      </w:pPr>
      <w:r w:rsidRPr="00984C82">
        <w:rPr>
          <w:rFonts w:ascii="Arial" w:hAnsi="Arial" w:cs="Arial"/>
          <w:sz w:val="20"/>
          <w:szCs w:val="20"/>
        </w:rPr>
        <w:t xml:space="preserve">Herbivory studies were included when they met the following criteria: 1 – The author(s) recorded leaf herbivory in the field; 2 – The author(s) quantified herbivory as leaf area lost from leaves; 3 – The author(s) reported either measuring leaf herbivory in a before and after format over a known time period, or opportunistically measured herbivory at a single time point; and 4 – At least some of the observations were from primary forest (others were excluded from analysis). </w:t>
      </w:r>
      <w:r w:rsidR="008A102B" w:rsidRPr="00984C82">
        <w:rPr>
          <w:rFonts w:ascii="Arial" w:hAnsi="Arial" w:cs="Arial"/>
          <w:sz w:val="20"/>
          <w:szCs w:val="20"/>
          <w:lang w:val="en-US"/>
        </w:rPr>
        <w:t xml:space="preserve">We </w:t>
      </w:r>
      <w:r w:rsidRPr="00984C82">
        <w:rPr>
          <w:rFonts w:ascii="Arial" w:hAnsi="Arial" w:cs="Arial"/>
          <w:sz w:val="20"/>
          <w:szCs w:val="20"/>
          <w:lang w:val="en-US"/>
        </w:rPr>
        <w:t>collated</w:t>
      </w:r>
      <w:r w:rsidR="008A102B" w:rsidRPr="00984C82">
        <w:rPr>
          <w:rFonts w:ascii="Arial" w:hAnsi="Arial" w:cs="Arial"/>
          <w:sz w:val="20"/>
          <w:szCs w:val="20"/>
          <w:lang w:val="en-US"/>
        </w:rPr>
        <w:t xml:space="preserve"> </w:t>
      </w:r>
      <w:r w:rsidR="00747BE0">
        <w:rPr>
          <w:rFonts w:ascii="Arial" w:hAnsi="Arial" w:cs="Arial"/>
          <w:sz w:val="20"/>
          <w:szCs w:val="20"/>
          <w:lang w:val="en-US"/>
        </w:rPr>
        <w:t>t</w:t>
      </w:r>
      <w:r w:rsidR="008A102B" w:rsidRPr="00984C82">
        <w:rPr>
          <w:rFonts w:ascii="Arial" w:hAnsi="Arial" w:cs="Arial"/>
          <w:sz w:val="20"/>
          <w:szCs w:val="20"/>
          <w:lang w:val="en-US"/>
        </w:rPr>
        <w:t>he following information:</w:t>
      </w:r>
      <w:r w:rsidR="00747BE0">
        <w:rPr>
          <w:rFonts w:ascii="Arial" w:hAnsi="Arial" w:cs="Arial"/>
          <w:sz w:val="20"/>
          <w:szCs w:val="20"/>
          <w:lang w:val="en-US"/>
        </w:rPr>
        <w:t xml:space="preserve"> study year, number of plants species on which herbivory was quantified, leaf age (newly emerged or mature), proportion leaf area removed, duration of herbivory period (if applicable), study latitude and longitude (not used), study month (not used), number of individual plants sampled (where available, not used), number of leaves sampled per individual (where available, not used) and plant </w:t>
      </w:r>
      <w:r w:rsidR="00747BE0">
        <w:rPr>
          <w:rFonts w:ascii="Arial" w:hAnsi="Arial" w:cs="Arial"/>
          <w:sz w:val="20"/>
          <w:szCs w:val="20"/>
          <w:lang w:val="en-US"/>
        </w:rPr>
        <w:lastRenderedPageBreak/>
        <w:t>species identity (not used). We found herbivory measurements from a total of 40 studies, comprising 2,117 individually reported values. Since the majority of foliar herbivory occurs during leaf emergence</w:t>
      </w:r>
      <w:r w:rsidR="00747BE0">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{"citationID":"kkeKpuYR","properties":{"formattedCitation":"\\super 14\\nosupersub{}","plainCitation":"14","noteIndex":0},"citationItems":[{"id":1235,"uris":["http://zotero.org/users/local/e9sA6OhB/items/MZUGG63K"],"itemData":{"id":1235,"type":"article-journal","abstract":"In this review, we discuss the ecological and evolutionary consequences of plant-herbivore interactions in tropical forests. We note first that herbivory rates are higher in tropical forests than in temperate ones and that, in contrast to leaves in temperate forests, most of the damage to tropical leaves occurs when they are young and expanding. Leaves in dry tropical forests also suffer higher rates of damage than in wet forests, and damage is greater in the understory than in the canopy. Insect herbivores, which typically have a narrow host range in the tropics, cause most of the damage to leaves and have selected for a wide variety of chemical, developmental, and phenological defenses in plants. Pathogens are less studied but cause considerable damage and, along with insect herbivores, may contribute to the maintenance of tree diversity. Folivorous mammals do less damage than insects or pathogens but have evolved to cope with the high levels of plant defenses. Leaves in tropical forests are defended by having low nutritional quality, greater toughness, and a wide variety of secondary metabolites, many of which are more common in tropical than temperate forests. Tannins, toughness, and low nutritional quality lengthen insect developmental times, making them more vulnerable to predators and parasitoids. The widespread occurrence of these defenses suggests that natural enemies are key participants in plant defenses and may have influenced the evolution of these traits. To escape damage, leaves may expand rapidly, be flushed synchronously, or be produced during the dry season when herbivores are rare. One strategy virtually limited to tropical forests is for plants to flush leaves but delay \"greening\" them until the leaves are mature. Many of these defensive traits are correlated within species, due to physiological constraints and tradeoffs. In general, shade-tolerant species invest more in defenses than do gap-requiring ones, and species with long-lived leaves are better defended than those with short-lived leaves.","container-title":"Annual Review of Ecology and Systematics","ISSN":"0066-4162","issue":"1","note":"publisher: Annual Reviews","page":"305-335","source":"JSTOR","title":"Herbivory and Plant Defenses in Tropical Forests","volume":"27","author":[{"family":"Coley","given":"P. D."},{"family":"Barone","given":"J. A."}],"issued":{"date-parts":[["1996"]]}}}],"schema":"https://github.com/citation-style-language/schema/raw/master/csl-citation.json"} </w:instrText>
      </w:r>
      <w:r w:rsidR="00747BE0">
        <w:rPr>
          <w:rFonts w:ascii="Arial" w:hAnsi="Arial" w:cs="Arial"/>
          <w:sz w:val="20"/>
          <w:szCs w:val="20"/>
          <w:lang w:val="en-US"/>
        </w:rPr>
        <w:fldChar w:fldCharType="separate"/>
      </w:r>
      <w:r w:rsidR="00E92A52" w:rsidRPr="00E92A52">
        <w:rPr>
          <w:rFonts w:ascii="Arial" w:hAnsi="Arial" w:cs="Arial"/>
          <w:sz w:val="20"/>
          <w:vertAlign w:val="superscript"/>
          <w:lang w:val="en-GB"/>
        </w:rPr>
        <w:t>14</w:t>
      </w:r>
      <w:r w:rsidR="00747BE0">
        <w:rPr>
          <w:rFonts w:ascii="Arial" w:hAnsi="Arial" w:cs="Arial"/>
          <w:sz w:val="20"/>
          <w:szCs w:val="20"/>
          <w:lang w:val="en-US"/>
        </w:rPr>
        <w:fldChar w:fldCharType="end"/>
      </w:r>
      <w:r w:rsidR="00747BE0">
        <w:rPr>
          <w:rFonts w:ascii="Arial" w:hAnsi="Arial" w:cs="Arial"/>
          <w:sz w:val="20"/>
          <w:szCs w:val="20"/>
          <w:lang w:val="en-US"/>
        </w:rPr>
        <w:t>, we categorized herbivory observations into three categories to be considered during later analysis: 1 – Studies where the author(s) quantified herbivory of newly emerged leaves over a known period; 2 – Studies where the author(s) quantified herbivory of mature leaves over a known period; and 3 – Studies where the author(s) opportunistically quantified herbivory of mature leaves at a single time point (i</w:t>
      </w:r>
      <w:r w:rsidR="00806526">
        <w:rPr>
          <w:rFonts w:ascii="Arial" w:hAnsi="Arial" w:cs="Arial"/>
          <w:sz w:val="20"/>
          <w:szCs w:val="20"/>
          <w:lang w:val="en-US"/>
        </w:rPr>
        <w:t>.</w:t>
      </w:r>
      <w:r w:rsidR="00747BE0">
        <w:rPr>
          <w:rFonts w:ascii="Arial" w:hAnsi="Arial" w:cs="Arial"/>
          <w:sz w:val="20"/>
          <w:szCs w:val="20"/>
          <w:lang w:val="en-US"/>
        </w:rPr>
        <w:t>e</w:t>
      </w:r>
      <w:r w:rsidR="00806526">
        <w:rPr>
          <w:rFonts w:ascii="Arial" w:hAnsi="Arial" w:cs="Arial"/>
          <w:sz w:val="20"/>
          <w:szCs w:val="20"/>
          <w:lang w:val="en-US"/>
        </w:rPr>
        <w:t>.</w:t>
      </w:r>
      <w:r w:rsidR="00747BE0">
        <w:rPr>
          <w:rFonts w:ascii="Arial" w:hAnsi="Arial" w:cs="Arial"/>
          <w:sz w:val="20"/>
          <w:szCs w:val="20"/>
          <w:lang w:val="en-US"/>
        </w:rPr>
        <w:t xml:space="preserve"> total herbivory over the leaf lifespan so far). From those three categories, we collated data from 8, 26 and 8 studies respectively. Those studies together reported 79, 711 and 1,327 herbivory values respectively.</w:t>
      </w:r>
    </w:p>
    <w:p w14:paraId="2603C8C5" w14:textId="77777777" w:rsidR="00700DAC" w:rsidRPr="00984C82" w:rsidRDefault="00700DAC" w:rsidP="007063F8">
      <w:pPr>
        <w:spacing w:line="480" w:lineRule="auto"/>
        <w:rPr>
          <w:rFonts w:ascii="Arial" w:hAnsi="Arial" w:cs="Arial"/>
          <w:sz w:val="20"/>
          <w:szCs w:val="20"/>
          <w:lang w:val="en-US"/>
        </w:rPr>
      </w:pPr>
    </w:p>
    <w:p w14:paraId="7A3A01B5" w14:textId="311F40B1" w:rsidR="00700DAC" w:rsidRPr="00984C82" w:rsidRDefault="00F46D06" w:rsidP="007063F8">
      <w:pPr>
        <w:spacing w:line="480" w:lineRule="auto"/>
        <w:rPr>
          <w:rFonts w:ascii="Arial" w:hAnsi="Arial" w:cs="Arial"/>
          <w:b/>
          <w:bCs/>
          <w:sz w:val="20"/>
          <w:szCs w:val="20"/>
          <w:lang w:val="en-US"/>
        </w:rPr>
      </w:pPr>
      <w:r>
        <w:rPr>
          <w:rFonts w:ascii="Arial" w:hAnsi="Arial" w:cs="Arial"/>
          <w:b/>
          <w:bCs/>
          <w:sz w:val="20"/>
          <w:szCs w:val="20"/>
          <w:lang w:val="en-US"/>
        </w:rPr>
        <w:t>Modelling</w:t>
      </w:r>
      <w:r w:rsidR="00700DAC" w:rsidRPr="00984C82">
        <w:rPr>
          <w:rFonts w:ascii="Arial" w:hAnsi="Arial" w:cs="Arial"/>
          <w:b/>
          <w:bCs/>
          <w:sz w:val="20"/>
          <w:szCs w:val="20"/>
          <w:lang w:val="en-US"/>
        </w:rPr>
        <w:t xml:space="preserve"> temporal change in invertebrate diversity</w:t>
      </w:r>
    </w:p>
    <w:p w14:paraId="1E607C49" w14:textId="77777777" w:rsidR="00700DAC" w:rsidRPr="00984C82" w:rsidRDefault="00700DAC" w:rsidP="007063F8">
      <w:pPr>
        <w:spacing w:line="480" w:lineRule="auto"/>
        <w:rPr>
          <w:rFonts w:ascii="Arial" w:hAnsi="Arial" w:cs="Arial"/>
          <w:b/>
          <w:bCs/>
          <w:sz w:val="20"/>
          <w:szCs w:val="20"/>
          <w:lang w:val="en-US"/>
        </w:rPr>
      </w:pPr>
    </w:p>
    <w:p w14:paraId="768CB5D6" w14:textId="59B5463D" w:rsidR="00700DAC" w:rsidRPr="00984C82" w:rsidRDefault="00700DAC" w:rsidP="007063F8">
      <w:pPr>
        <w:spacing w:line="480" w:lineRule="auto"/>
        <w:rPr>
          <w:rFonts w:ascii="Arial" w:hAnsi="Arial" w:cs="Arial"/>
          <w:sz w:val="20"/>
          <w:szCs w:val="20"/>
          <w:lang w:val="en-US"/>
        </w:rPr>
      </w:pPr>
      <w:r w:rsidRPr="00984C82">
        <w:rPr>
          <w:rFonts w:ascii="Arial" w:hAnsi="Arial" w:cs="Arial"/>
          <w:sz w:val="20"/>
          <w:szCs w:val="20"/>
          <w:lang w:val="en-US"/>
        </w:rPr>
        <w:t xml:space="preserve">For each of the </w:t>
      </w:r>
      <w:r w:rsidR="00F46D06">
        <w:rPr>
          <w:rFonts w:ascii="Arial" w:hAnsi="Arial" w:cs="Arial"/>
          <w:sz w:val="20"/>
          <w:szCs w:val="20"/>
          <w:lang w:val="en-US"/>
        </w:rPr>
        <w:t>nine</w:t>
      </w:r>
      <w:r w:rsidRPr="00984C82">
        <w:rPr>
          <w:rFonts w:ascii="Arial" w:hAnsi="Arial" w:cs="Arial"/>
          <w:sz w:val="20"/>
          <w:szCs w:val="20"/>
          <w:lang w:val="en-US"/>
        </w:rPr>
        <w:t xml:space="preserve"> invertebrate orders, and of course only those present in any one time series, we calculated taxonomic richness per site and per time </w:t>
      </w:r>
      <w:r w:rsidR="00F46D06">
        <w:rPr>
          <w:rFonts w:ascii="Arial" w:hAnsi="Arial" w:cs="Arial"/>
          <w:sz w:val="20"/>
          <w:szCs w:val="20"/>
          <w:lang w:val="en-US"/>
        </w:rPr>
        <w:t>point</w:t>
      </w:r>
      <w:r w:rsidRPr="00984C82">
        <w:rPr>
          <w:rFonts w:ascii="Arial" w:hAnsi="Arial" w:cs="Arial"/>
          <w:sz w:val="20"/>
          <w:szCs w:val="20"/>
          <w:lang w:val="en-US"/>
        </w:rPr>
        <w:t>. For the one time series in which invertebrates were recorded only at order-level</w:t>
      </w:r>
      <w:r w:rsidRPr="00984C82">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{"citationID":"c3e5LfM1","properties":{"formattedCitation":"\\super 10\\nosupersub{}","plainCitation":"10","noteIndex":0},"citationItems":[{"id":227,"uris":["http://zotero.org/users/local/e9sA6OhB/items/7LTYXFKH"],"itemData":{"id":227,"type":"article-journal","abstract":"World-wide declines in arthropod abundance and diversity are a major concern, particularly given their importance in ecosystem functioning. Yet, data documenting long-term trends are rare from the tropics, particularly the Afrotropics. Here we evaluate changes in the arthropod communities in Kibale National Park, Uganda across almost four decades. Systematic sweep-net sampling was conducted in two forested sections of the park that had been logged and in one old-growth forest area over 12 consecutive months in 1983/1984 and 2020/2021. This data was augmented with intermittent samples taken in 1986 and 1995. Arthropod abundance declined in all areas, but only significantly so in the moderately logged forestry compartment (41%). Permutational multivariate analysis of variance indicated that community compositions of arthropods differed between the censuses. Understanding the drivers of changes in the arthropod communities is difficult as the system is complex and dynamic. We document an increase in temperature, but no change in rainfall, increases in 11 mammal species, including a marked increase in elephant numbers, and changes in forest structure. We also report on changes in the landscape outside of the park, which includes the human population increasing by a factor of four and agricultural intensification that now includes the use of pesticides. We document that many components of the ecosystem we studied changed simultaneously, which signals that for effective conservation planning, more long-term multi-disciplinary efforts are needed.","container-title":"Biotropica","DOI":"10.1111/BTP.13206","ISSN":"1744-7429","issue":"2","note":"publisher: John Wiley &amp; Sons, Ltd","page":"529-539","title":"30 years brings changes to the arthropod community of Kibale National Park, Uganda","volume":"55","author":[{"family":"Opito","given":"Emmanuel A."},{"family":"Alanko","given":"Timo"},{"family":"Kalbitzer","given":"Urs"},{"family":"Nummelin","given":"Matti"},{"family":"Omeja","given":"Patrick"},{"family":"Valtonen","given":"Anu"},{"family":"Chapman","given":"Colin A."}],"issued":{"date-parts":[["2023",3,1]]}}}],"schema":"https://github.com/citation-style-language/schema/raw/master/csl-citation.json"} </w:instrText>
      </w:r>
      <w:r w:rsidRPr="00984C82">
        <w:rPr>
          <w:rFonts w:ascii="Arial" w:hAnsi="Arial" w:cs="Arial"/>
          <w:sz w:val="20"/>
          <w:szCs w:val="20"/>
          <w:lang w:val="en-US"/>
        </w:rPr>
        <w:fldChar w:fldCharType="separate"/>
      </w:r>
      <w:r w:rsidR="00E92A52" w:rsidRPr="00E92A52">
        <w:rPr>
          <w:rFonts w:ascii="Arial" w:hAnsi="Arial" w:cs="Arial"/>
          <w:sz w:val="20"/>
          <w:vertAlign w:val="superscript"/>
          <w:lang w:val="en-GB"/>
        </w:rPr>
        <w:t>10</w:t>
      </w:r>
      <w:r w:rsidRPr="00984C82">
        <w:rPr>
          <w:rFonts w:ascii="Arial" w:hAnsi="Arial" w:cs="Arial"/>
          <w:sz w:val="20"/>
          <w:szCs w:val="20"/>
          <w:lang w:val="en-US"/>
        </w:rPr>
        <w:fldChar w:fldCharType="end"/>
      </w:r>
      <w:r w:rsidRPr="00984C82">
        <w:rPr>
          <w:rFonts w:ascii="Arial" w:hAnsi="Arial" w:cs="Arial"/>
          <w:sz w:val="20"/>
          <w:szCs w:val="20"/>
          <w:lang w:val="en-US"/>
        </w:rPr>
        <w:t xml:space="preserve">, richness instead represented presence/absence only. To control for differences in richness between sites and between taxa, richness (or presence/absence) was standardized </w:t>
      </w:r>
      <w:r w:rsidR="00F46D06">
        <w:rPr>
          <w:rFonts w:ascii="Arial" w:hAnsi="Arial" w:cs="Arial"/>
          <w:sz w:val="20"/>
          <w:szCs w:val="20"/>
          <w:lang w:val="en-US"/>
        </w:rPr>
        <w:t>within</w:t>
      </w:r>
      <w:r w:rsidRPr="00984C82">
        <w:rPr>
          <w:rFonts w:ascii="Arial" w:hAnsi="Arial" w:cs="Arial"/>
          <w:sz w:val="20"/>
          <w:szCs w:val="20"/>
          <w:lang w:val="en-US"/>
        </w:rPr>
        <w:t xml:space="preserve"> site</w:t>
      </w:r>
      <w:r w:rsidR="00F46D06">
        <w:rPr>
          <w:rFonts w:ascii="Arial" w:hAnsi="Arial" w:cs="Arial"/>
          <w:sz w:val="20"/>
          <w:szCs w:val="20"/>
          <w:lang w:val="en-US"/>
        </w:rPr>
        <w:t>s</w:t>
      </w:r>
      <w:r w:rsidRPr="00984C82">
        <w:rPr>
          <w:rFonts w:ascii="Arial" w:hAnsi="Arial" w:cs="Arial"/>
          <w:sz w:val="20"/>
          <w:szCs w:val="20"/>
          <w:lang w:val="en-US"/>
        </w:rPr>
        <w:t xml:space="preserve"> and per order by dividing </w:t>
      </w:r>
      <w:r w:rsidR="00F46D06">
        <w:rPr>
          <w:rFonts w:ascii="Arial" w:hAnsi="Arial" w:cs="Arial"/>
          <w:sz w:val="20"/>
          <w:szCs w:val="20"/>
          <w:lang w:val="en-US"/>
        </w:rPr>
        <w:t xml:space="preserve">values </w:t>
      </w:r>
      <w:r w:rsidRPr="00984C82">
        <w:rPr>
          <w:rFonts w:ascii="Arial" w:hAnsi="Arial" w:cs="Arial"/>
          <w:sz w:val="20"/>
          <w:szCs w:val="20"/>
          <w:lang w:val="en-US"/>
        </w:rPr>
        <w:t xml:space="preserve">by the standard deviation. </w:t>
      </w:r>
      <w:r w:rsidR="00F46D06">
        <w:rPr>
          <w:rFonts w:ascii="Arial" w:hAnsi="Arial" w:cs="Arial"/>
          <w:sz w:val="20"/>
          <w:szCs w:val="20"/>
          <w:lang w:val="en-US"/>
        </w:rPr>
        <w:t>The u</w:t>
      </w:r>
      <w:r w:rsidRPr="00984C82">
        <w:rPr>
          <w:rFonts w:ascii="Arial" w:hAnsi="Arial" w:cs="Arial"/>
          <w:sz w:val="20"/>
          <w:szCs w:val="20"/>
          <w:lang w:val="en-US"/>
        </w:rPr>
        <w:t xml:space="preserve">nits of diversity analyzed where therefore standard deviations in </w:t>
      </w:r>
      <w:r w:rsidR="00F46D06">
        <w:rPr>
          <w:rFonts w:ascii="Arial" w:hAnsi="Arial" w:cs="Arial"/>
          <w:sz w:val="20"/>
          <w:szCs w:val="20"/>
          <w:lang w:val="en-US"/>
        </w:rPr>
        <w:t xml:space="preserve">per-site/taxon </w:t>
      </w:r>
      <w:r w:rsidRPr="00984C82">
        <w:rPr>
          <w:rFonts w:ascii="Arial" w:hAnsi="Arial" w:cs="Arial"/>
          <w:sz w:val="20"/>
          <w:szCs w:val="20"/>
          <w:lang w:val="en-US"/>
        </w:rPr>
        <w:t>richness</w:t>
      </w:r>
      <w:r w:rsidR="00F46D06">
        <w:rPr>
          <w:rFonts w:ascii="Arial" w:hAnsi="Arial" w:cs="Arial"/>
          <w:sz w:val="20"/>
          <w:szCs w:val="20"/>
          <w:lang w:val="en-US"/>
        </w:rPr>
        <w:t xml:space="preserve">, </w:t>
      </w:r>
      <w:r w:rsidRPr="00984C82">
        <w:rPr>
          <w:rFonts w:ascii="Arial" w:hAnsi="Arial" w:cs="Arial"/>
          <w:sz w:val="20"/>
          <w:szCs w:val="20"/>
          <w:lang w:val="en-US"/>
        </w:rPr>
        <w:t>Z.</w:t>
      </w:r>
    </w:p>
    <w:p w14:paraId="0F28D139" w14:textId="6EDFEADB" w:rsidR="00700DAC" w:rsidRPr="00984C82" w:rsidRDefault="00700DAC" w:rsidP="007063F8">
      <w:pPr>
        <w:spacing w:line="480" w:lineRule="auto"/>
        <w:rPr>
          <w:rFonts w:ascii="Arial" w:hAnsi="Arial" w:cs="Arial"/>
          <w:sz w:val="20"/>
          <w:szCs w:val="20"/>
          <w:lang w:val="en-US"/>
        </w:rPr>
      </w:pPr>
    </w:p>
    <w:p w14:paraId="4173A5E8" w14:textId="5CE2EB85" w:rsidR="00700DAC" w:rsidRDefault="00700DAC" w:rsidP="007063F8">
      <w:pPr>
        <w:spacing w:line="480" w:lineRule="auto"/>
        <w:rPr>
          <w:rFonts w:ascii="Arial" w:hAnsi="Arial" w:cs="Arial"/>
          <w:sz w:val="20"/>
          <w:szCs w:val="20"/>
          <w:lang w:val="en-US"/>
        </w:rPr>
      </w:pPr>
      <w:r w:rsidRPr="00984C82">
        <w:rPr>
          <w:rFonts w:ascii="Arial" w:hAnsi="Arial" w:cs="Arial"/>
          <w:sz w:val="20"/>
          <w:szCs w:val="20"/>
          <w:lang w:val="en-US"/>
        </w:rPr>
        <w:t xml:space="preserve">We generalized shifts in invertebrate richness using </w:t>
      </w:r>
      <w:r w:rsidRPr="00984C82">
        <w:rPr>
          <w:rFonts w:ascii="Arial" w:hAnsi="Arial" w:cs="Arial"/>
          <w:i/>
          <w:iCs/>
          <w:sz w:val="20"/>
          <w:szCs w:val="20"/>
          <w:lang w:val="en-US"/>
        </w:rPr>
        <w:t>R</w:t>
      </w:r>
      <w:r w:rsidR="00F46D06">
        <w:rPr>
          <w:rFonts w:ascii="Arial" w:hAnsi="Arial" w:cs="Arial"/>
          <w:i/>
          <w:iCs/>
          <w:sz w:val="20"/>
          <w:szCs w:val="20"/>
          <w:lang w:val="en-US"/>
        </w:rPr>
        <w:t xml:space="preserve"> version 4.3.1</w:t>
      </w:r>
      <w:r w:rsidRPr="00984C82">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{"citationID":"9GIkGO7j","properties":{"formattedCitation":"\\super 15\\nosupersub{}","plainCitation":"15","noteIndex":0},"citationItems":[{"id":469,"uris":["http://zotero.org/users/local/e9sA6OhB/items/B3ITVLLM"],"itemData":{"id":469,"type":"software","collection-title":"R Foundation for Statistical Computing","event-place":"Vienna, Austria","publisher-place":"Vienna, Austria","title":"R: A Language and Environment for Statistical Computing.","author":[{"family":"R Core Team","given":""}],"issued":{"date-parts":[["2023"]]}}}],"schema":"https://github.com/citation-style-language/schema/raw/master/csl-citation.json"} </w:instrText>
      </w:r>
      <w:r w:rsidRPr="00984C82">
        <w:rPr>
          <w:rFonts w:ascii="Arial" w:hAnsi="Arial" w:cs="Arial"/>
          <w:sz w:val="20"/>
          <w:szCs w:val="20"/>
          <w:lang w:val="en-US"/>
        </w:rPr>
        <w:fldChar w:fldCharType="separate"/>
      </w:r>
      <w:r w:rsidR="00E92A52" w:rsidRPr="00E92A52">
        <w:rPr>
          <w:rFonts w:ascii="Arial" w:hAnsi="Arial" w:cs="Arial"/>
          <w:sz w:val="20"/>
          <w:vertAlign w:val="superscript"/>
          <w:lang w:val="en-GB"/>
        </w:rPr>
        <w:t>15</w:t>
      </w:r>
      <w:r w:rsidRPr="00984C82">
        <w:rPr>
          <w:rFonts w:ascii="Arial" w:hAnsi="Arial" w:cs="Arial"/>
          <w:sz w:val="20"/>
          <w:szCs w:val="20"/>
          <w:lang w:val="en-US"/>
        </w:rPr>
        <w:fldChar w:fldCharType="end"/>
      </w:r>
      <w:r w:rsidRPr="00984C82">
        <w:rPr>
          <w:rFonts w:ascii="Arial" w:hAnsi="Arial" w:cs="Arial"/>
          <w:sz w:val="20"/>
          <w:szCs w:val="20"/>
          <w:lang w:val="en-US"/>
        </w:rPr>
        <w:t xml:space="preserve"> and the</w:t>
      </w:r>
      <w:r w:rsidR="00F46D06">
        <w:rPr>
          <w:rFonts w:ascii="Arial" w:hAnsi="Arial" w:cs="Arial"/>
          <w:sz w:val="20"/>
          <w:szCs w:val="20"/>
          <w:lang w:val="en-US"/>
        </w:rPr>
        <w:t xml:space="preserve"> </w:t>
      </w:r>
      <w:proofErr w:type="spellStart"/>
      <w:r w:rsidR="00F46D06">
        <w:rPr>
          <w:rFonts w:ascii="Arial" w:hAnsi="Arial" w:cs="Arial"/>
          <w:i/>
          <w:iCs/>
          <w:sz w:val="20"/>
          <w:szCs w:val="20"/>
          <w:lang w:val="en-US"/>
        </w:rPr>
        <w:t>gamm</w:t>
      </w:r>
      <w:proofErr w:type="spellEnd"/>
      <w:r w:rsidR="00F46D06">
        <w:rPr>
          <w:rFonts w:ascii="Arial" w:hAnsi="Arial" w:cs="Arial"/>
          <w:sz w:val="20"/>
          <w:szCs w:val="20"/>
          <w:lang w:val="en-US"/>
        </w:rPr>
        <w:t xml:space="preserve"> function from package</w:t>
      </w:r>
      <w:r w:rsidRPr="00984C82">
        <w:rPr>
          <w:rFonts w:ascii="Arial" w:hAnsi="Arial" w:cs="Arial"/>
          <w:sz w:val="20"/>
          <w:szCs w:val="20"/>
          <w:lang w:val="en-US"/>
        </w:rPr>
        <w:t xml:space="preserve"> </w:t>
      </w:r>
      <w:proofErr w:type="spellStart"/>
      <w:r w:rsidR="00F46D06">
        <w:rPr>
          <w:rFonts w:ascii="Arial" w:hAnsi="Arial" w:cs="Arial"/>
          <w:i/>
          <w:iCs/>
          <w:sz w:val="20"/>
          <w:szCs w:val="20"/>
          <w:lang w:val="en-US"/>
        </w:rPr>
        <w:t>mgcv</w:t>
      </w:r>
      <w:proofErr w:type="spellEnd"/>
      <w:r w:rsidR="00F46D06">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{"citationID":"vXmkW8LW","properties":{"formattedCitation":"\\super 16,17\\nosupersub{}","plainCitation":"16,17","noteIndex":0},"citationItems":[{"id":1253,"uris":["http://zotero.org/users/local/e9sA6OhB/items/P2LAM364"],"itemData":{"id":1253,"type":"article-journal","abstract":"Summary\n            Recent work by Reiss and Ogden provides a theoretical basis for sometimes preferring restricted maximum likelihood (REML) to generalized cross-validation (GCV) for smoothing parameter selection in semiparametric regression. However, existing REML or marginal likelihood (ML) based methods for semiparametric generalized linear models (GLMs) use iterative REML or ML estimation of the smoothing parameters of working linear approximations to the GLM. Such indirect schemes need not converge and fail to do so in a non-negligible proportion of practical analyses. By contrast, very reliable prediction error criteria smoothing parameter selection methods are available, based on direct optimization of GCV, or related criteria, for the GLM itself. Since such methods directly optimize properly defined functions of the smoothing parameters, they have much more reliable convergence properties. The paper develops the first such method for REML or ML estimation of smoothing parameters. A Laplace approximation is used to obtain an approximate REML or ML for any GLM, which is suitable for efficient direct optimization. This REML or ML criterion requires that Newton–Raphson iteration, rather than Fisher scoring, be used for GLM fitting, and a computationally stable approach to this is proposed. The REML or ML criterion itself is optimized by a Newton method, with the derivatives required obtained by a mixture of implicit differentiation and direct methods. The method will cope with numerical rank deficiency in the fitted model and in fact provides a slight improvement in numerical robustness on the earlier method of Wood for prediction error criteria based smoothness selection. Simulation results suggest that the new REML and ML methods offer some improvement in mean-square error performance relative to GCV or Akaike’s information criterion in most cases, without the small number of severe undersmoothing failures to which Akaike’s information criterion and GCV are prone. This is achieved at the same computational cost as GCV or Akaike’s information criterion. The new approach also eliminates the convergence failures of previous REML- or ML-based approaches for penalized GLMs and usually has lower computational cost than these alternatives. Example applications are presented in adaptive smoothing, scalar on function regression and generalized additive model selection.","container-title":"Journal of the Royal Statistical Society Series B: Statistical Methodology","DOI":"10.1111/j.1467-9868.2010.00749.x","ISSN":"1369-7412, 1467-9868","issue":"1","language":"en","license":"https://academic.oup.com/journals/pages/open_access/funder_policies/chorus/standard_publication_model","page":"3-36","source":"DOI.org (Crossref)","title":"Fast Stable Restricted Maximum Likelihood and Marginal Likelihood Estimation of Semiparametric Generalized Linear Models","volume":"73","author":[{"family":"Wood","given":"Simon N."}],"issued":{"date-parts":[["2011",1,1]]}}},{"id":1255,"uris":["http://zotero.org/users/local/e9sA6OhB/items/3QE4U2MB"],"itemData":{"id":1255,"type":"article-journal","container-title":"Journal of the American Statistical Association","DOI":"10.1198/016214504000000980","ISSN":"0162-1459, 1537-274X","issue":"467","journalAbbreviation":"Journal of the American Statistical Association","language":"en","page":"673-686","source":"DOI.org (Crossref)","title":"Stable and Efficient Multiple Smoothing Parameter Estimation for Generalized Additive Models","volume":"99","author":[{"family":"Wood","given":"Simon N"}],"issued":{"date-parts":[["2004",9]]}}}],"schema":"https://github.com/citation-style-language/schema/raw/master/csl-citation.json"} </w:instrText>
      </w:r>
      <w:r w:rsidR="00F46D06">
        <w:rPr>
          <w:rFonts w:ascii="Arial" w:hAnsi="Arial" w:cs="Arial"/>
          <w:sz w:val="20"/>
          <w:szCs w:val="20"/>
          <w:lang w:val="en-US"/>
        </w:rPr>
        <w:fldChar w:fldCharType="separate"/>
      </w:r>
      <w:r w:rsidR="00E92A52" w:rsidRPr="00E92A52">
        <w:rPr>
          <w:rFonts w:ascii="Arial" w:hAnsi="Arial" w:cs="Arial"/>
          <w:sz w:val="20"/>
          <w:vertAlign w:val="superscript"/>
          <w:lang w:val="en-GB"/>
        </w:rPr>
        <w:t>16,17</w:t>
      </w:r>
      <w:r w:rsidR="00F46D06">
        <w:rPr>
          <w:rFonts w:ascii="Arial" w:hAnsi="Arial" w:cs="Arial"/>
          <w:sz w:val="20"/>
          <w:szCs w:val="20"/>
          <w:lang w:val="en-US"/>
        </w:rPr>
        <w:fldChar w:fldCharType="end"/>
      </w:r>
      <w:r w:rsidR="00F46D06">
        <w:rPr>
          <w:rFonts w:ascii="Arial" w:hAnsi="Arial" w:cs="Arial"/>
          <w:sz w:val="20"/>
          <w:szCs w:val="20"/>
          <w:lang w:val="en-US"/>
        </w:rPr>
        <w:t xml:space="preserve"> to fit a generalized mixed model</w:t>
      </w:r>
      <w:r w:rsidRPr="00984C82">
        <w:rPr>
          <w:rFonts w:ascii="Arial" w:hAnsi="Arial" w:cs="Arial"/>
          <w:sz w:val="20"/>
          <w:szCs w:val="20"/>
          <w:lang w:val="en-US"/>
        </w:rPr>
        <w:t>.</w:t>
      </w:r>
      <w:r w:rsidR="00F46D06">
        <w:rPr>
          <w:rFonts w:ascii="Arial" w:hAnsi="Arial" w:cs="Arial"/>
          <w:sz w:val="20"/>
          <w:szCs w:val="20"/>
          <w:lang w:val="en-US"/>
        </w:rPr>
        <w:t xml:space="preserve"> We used a Tweedie family error distribution</w:t>
      </w:r>
      <w:r w:rsidR="00F46D06">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{"citationID":"VVhzIA6M","properties":{"formattedCitation":"\\super 18,19\\nosupersub{}","plainCitation":"18,19","noteIndex":0},"citationItems":[{"id":1258,"uris":["http://zotero.org/users/local/e9sA6OhB/items/2MFEZS3U"],"itemData":{"id":1258,"type":"article-journal","container-title":"Journal of the American Statistical Association","DOI":"10.1080/01621459.2016.1180986","ISSN":"0162-1459, 1537-274X","issue":"516","journalAbbreviation":"Journal of the American Statistical Association","language":"en","page":"1548-1563","source":"DOI.org (Crossref)","title":"Smoothing Parameter and Model Selection for General Smooth Models","volume":"111","author":[{"family":"Wood","given":"Simon N."},{"family":"Pya","given":"Natalya"},{"family":"Säfken","given":"Benjamin"}],"issued":{"date-parts":[["2016",10,1]]}}},{"id":728,"uris":["http://zotero.org/users/local/e9sA6OhB/items/SRKSH8RH"],"itemData":{"id":728,"type":"article-journal","abstract":"Exponential dispersion models, which are linear exponential families with a dispersion parameter, are the prototype response distributions for generalized linear models. The Tweedie family comprises those exponential dispersion models with power mean-variance relationships. The normal, Poisson, gamma and inverse Gaussian distributions belong to theTweedie family. Apart from these special cases, Tweedie distributions do not have density functions which can be written in closed form. Instead, the densities can be represented as infinite summations derived from series expansions. This article describes how the series expansions can be summed in an numerically efficient fashion. The usefulness of the approach is demonstrated, but full machine accuracy is shown not to be obtainable using the series expansion method for all parameter values. Derivatives of the density with respect to the dispersion parameter are also derived to facilitate maximum likelihood estimation. The methods are demonstrated on two data examples and compared with with Box-Cox transformations and extended quasi-likelihoood.","container-title":"Statistics and Computing","DOI":"10.1007/s11222-005-4070-y","ISSN":"1573-1375","issue":"4","journalAbbreviation":"Stat Comput","language":"en","page":"267-280","source":"Springer Link","title":"Series evaluation of Tweedie exponential dispersion model densities","volume":"15","author":[{"family":"Dunn","given":"Peter K."},{"family":"Smyth","given":"Gordon K."}],"issued":{"date-parts":[["2005",10,1]]}}}],"schema":"https://github.com/citation-style-language/schema/raw/master/csl-citation.json"} </w:instrText>
      </w:r>
      <w:r w:rsidR="00F46D06">
        <w:rPr>
          <w:rFonts w:ascii="Arial" w:hAnsi="Arial" w:cs="Arial"/>
          <w:sz w:val="20"/>
          <w:szCs w:val="20"/>
          <w:lang w:val="en-US"/>
        </w:rPr>
        <w:fldChar w:fldCharType="separate"/>
      </w:r>
      <w:r w:rsidR="00E92A52" w:rsidRPr="00E92A52">
        <w:rPr>
          <w:rFonts w:ascii="Arial" w:hAnsi="Arial" w:cs="Arial"/>
          <w:sz w:val="20"/>
          <w:vertAlign w:val="superscript"/>
          <w:lang w:val="en-GB"/>
        </w:rPr>
        <w:t>18,19</w:t>
      </w:r>
      <w:r w:rsidR="00F46D06">
        <w:rPr>
          <w:rFonts w:ascii="Arial" w:hAnsi="Arial" w:cs="Arial"/>
          <w:sz w:val="20"/>
          <w:szCs w:val="20"/>
          <w:lang w:val="en-US"/>
        </w:rPr>
        <w:fldChar w:fldCharType="end"/>
      </w:r>
      <w:r w:rsidR="00F46D06">
        <w:rPr>
          <w:rFonts w:ascii="Arial" w:hAnsi="Arial" w:cs="Arial"/>
          <w:sz w:val="20"/>
          <w:szCs w:val="20"/>
          <w:lang w:val="en-US"/>
        </w:rPr>
        <w:t xml:space="preserve"> with variance exponent value of 2 (equivalent to the gamma distribution) to facilitate prediction of a skewed response variable including values of 0. A log link function was used. Fixed terms included were taxonomic order (in place of separate intercepts), ONI effect per order (the natural effect of ENSO), time effect per order (long-term diversity change), the interaction between ONI and time per order (changing effect of ENSO over time), and the interaction between, and the interaction between taxonomic resolution (species/morphospecies or order-level) and time (to control for the dampening effect of coarse taxonomic resolution on potential long-term diversity change). </w:t>
      </w:r>
      <w:r w:rsidR="00CB5BFF">
        <w:rPr>
          <w:rFonts w:ascii="Arial" w:hAnsi="Arial" w:cs="Arial"/>
          <w:sz w:val="20"/>
          <w:szCs w:val="20"/>
          <w:lang w:val="en-US"/>
        </w:rPr>
        <w:t xml:space="preserve">Time was centered on the year 2000 (therefore the intercept point) to computationally improve model fitting. </w:t>
      </w:r>
      <w:r w:rsidR="00F46D06">
        <w:rPr>
          <w:rFonts w:ascii="Arial" w:hAnsi="Arial" w:cs="Arial"/>
          <w:sz w:val="20"/>
          <w:szCs w:val="20"/>
          <w:lang w:val="en-US"/>
        </w:rPr>
        <w:t xml:space="preserve">As all terms </w:t>
      </w:r>
      <w:r w:rsidR="00F46D06">
        <w:rPr>
          <w:rFonts w:ascii="Arial" w:hAnsi="Arial" w:cs="Arial"/>
          <w:sz w:val="20"/>
          <w:szCs w:val="20"/>
          <w:lang w:val="en-US"/>
        </w:rPr>
        <w:lastRenderedPageBreak/>
        <w:t>were included in line with our biological hypothesis, and all terms were significant at the P &lt; 0.05 level, we did not perform selection on the fixed parameters. Random terms were incorporated per site and were an intercept (to allow constant unexplained differences between study sites) and ONI effect (to allow varying ENSO impacts between sites). A continuous autocorrelation structure was incorporated into the model to control for potential temporal autocorrelation in the residuals resultant of timeseries analysis</w:t>
      </w:r>
      <w:r w:rsidR="00F46D06">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{"citationID":"h20NJbfd","properties":{"formattedCitation":"\\super 20,21\\nosupersub{}","plainCitation":"20,21","noteIndex":0},"citationItems":[{"id":1260,"uris":["http://zotero.org/users/local/e9sA6OhB/items/SZ8LM92A"],"itemData":{"id":1260,"type":"book","edition":"3","publisher":"Holden-Day","title":"Time Series Analysis: Forecasting and Control","author":[{"literal":"G. E. P. Box"},{"family":"Jenkins","given":"G. M."},{"family":"Reinsel","given":"G. C."}],"issued":{"date-parts":[["1994"]]}}},{"id":1261,"uris":["http://zotero.org/users/local/e9sA6OhB/items/FYQAB2UU"],"itemData":{"id":1261,"type":"book","publisher":"Chapman and Hall","title":"Longitudinal Data with Serial Correlation: A State-space Approach","author":[{"family":"Jones","given":"R. H."}],"issued":{"date-parts":[["1993"]]}}}],"schema":"https://github.com/citation-style-language/schema/raw/master/csl-citation.json"} </w:instrText>
      </w:r>
      <w:r w:rsidR="00F46D06">
        <w:rPr>
          <w:rFonts w:ascii="Arial" w:hAnsi="Arial" w:cs="Arial"/>
          <w:sz w:val="20"/>
          <w:szCs w:val="20"/>
          <w:lang w:val="en-US"/>
        </w:rPr>
        <w:fldChar w:fldCharType="separate"/>
      </w:r>
      <w:r w:rsidR="00E92A52" w:rsidRPr="00E92A52">
        <w:rPr>
          <w:rFonts w:ascii="Arial" w:hAnsi="Arial" w:cs="Arial"/>
          <w:sz w:val="20"/>
          <w:vertAlign w:val="superscript"/>
          <w:lang w:val="en-GB"/>
        </w:rPr>
        <w:t>20,21</w:t>
      </w:r>
      <w:r w:rsidR="00F46D06">
        <w:rPr>
          <w:rFonts w:ascii="Arial" w:hAnsi="Arial" w:cs="Arial"/>
          <w:sz w:val="20"/>
          <w:szCs w:val="20"/>
          <w:lang w:val="en-US"/>
        </w:rPr>
        <w:fldChar w:fldCharType="end"/>
      </w:r>
      <w:r w:rsidR="00F46D06">
        <w:rPr>
          <w:rFonts w:ascii="Arial" w:hAnsi="Arial" w:cs="Arial"/>
          <w:sz w:val="20"/>
          <w:szCs w:val="20"/>
          <w:lang w:val="en-US"/>
        </w:rPr>
        <w:t>. That structure was fitted to account for individual timeseries at the site- and taxon-scales (n = 392).</w:t>
      </w:r>
      <w:r w:rsidR="0054204B">
        <w:rPr>
          <w:rFonts w:ascii="Arial" w:hAnsi="Arial" w:cs="Arial"/>
          <w:sz w:val="20"/>
          <w:szCs w:val="20"/>
          <w:lang w:val="en-US"/>
        </w:rPr>
        <w:t xml:space="preserve"> Pearson’s autocorrelation in the normalized residuals within those site and taxon combinations was less than 0.03 in value (P &gt; 0.05</w:t>
      </w:r>
      <w:r w:rsidR="00427419">
        <w:rPr>
          <w:rFonts w:ascii="Arial" w:hAnsi="Arial" w:cs="Arial"/>
          <w:sz w:val="20"/>
          <w:szCs w:val="20"/>
          <w:lang w:val="en-US"/>
        </w:rPr>
        <w:t>, calculated by randomization</w:t>
      </w:r>
      <w:r w:rsidR="0054204B">
        <w:rPr>
          <w:rFonts w:ascii="Arial" w:hAnsi="Arial" w:cs="Arial"/>
          <w:sz w:val="20"/>
          <w:szCs w:val="20"/>
          <w:lang w:val="en-US"/>
        </w:rPr>
        <w:t>). Predictions were derived per taxon from the model only within the period for which data was available.</w:t>
      </w:r>
    </w:p>
    <w:p w14:paraId="6BC4F1BD" w14:textId="77777777" w:rsidR="0054204B" w:rsidRDefault="0054204B" w:rsidP="007063F8">
      <w:pPr>
        <w:spacing w:line="480" w:lineRule="auto"/>
        <w:rPr>
          <w:rFonts w:ascii="Arial" w:hAnsi="Arial" w:cs="Arial"/>
          <w:sz w:val="20"/>
          <w:szCs w:val="20"/>
          <w:lang w:val="en-US"/>
        </w:rPr>
      </w:pPr>
    </w:p>
    <w:p w14:paraId="6E440EF2" w14:textId="6039235E" w:rsidR="0054204B" w:rsidRDefault="0054204B" w:rsidP="007063F8">
      <w:pPr>
        <w:spacing w:line="480" w:lineRule="auto"/>
        <w:rPr>
          <w:rFonts w:ascii="Arial" w:hAnsi="Arial" w:cs="Arial"/>
          <w:b/>
          <w:bCs/>
          <w:sz w:val="20"/>
          <w:szCs w:val="20"/>
          <w:lang w:val="en-US"/>
        </w:rPr>
      </w:pPr>
      <w:r>
        <w:rPr>
          <w:rFonts w:ascii="Arial" w:hAnsi="Arial" w:cs="Arial"/>
          <w:b/>
          <w:bCs/>
          <w:sz w:val="20"/>
          <w:szCs w:val="20"/>
          <w:lang w:val="en-US"/>
        </w:rPr>
        <w:t>Post-hoc analysis of model predictions</w:t>
      </w:r>
    </w:p>
    <w:p w14:paraId="4D2BBDF1" w14:textId="77777777" w:rsidR="0054204B" w:rsidRDefault="0054204B" w:rsidP="007063F8">
      <w:pPr>
        <w:spacing w:line="480" w:lineRule="auto"/>
        <w:rPr>
          <w:rFonts w:ascii="Arial" w:hAnsi="Arial" w:cs="Arial"/>
          <w:b/>
          <w:bCs/>
          <w:sz w:val="20"/>
          <w:szCs w:val="20"/>
          <w:lang w:val="en-US"/>
        </w:rPr>
      </w:pPr>
    </w:p>
    <w:p w14:paraId="1DCB2440" w14:textId="02E42E32" w:rsidR="0054204B" w:rsidRPr="0054204B" w:rsidRDefault="0054204B" w:rsidP="007063F8">
      <w:pPr>
        <w:spacing w:line="480" w:lineRule="auto"/>
        <w:rPr>
          <w:rFonts w:ascii="Arial" w:hAnsi="Arial" w:cs="Arial"/>
          <w:sz w:val="20"/>
          <w:szCs w:val="20"/>
          <w:lang w:val="en-US"/>
        </w:rPr>
      </w:pPr>
      <w:r>
        <w:rPr>
          <w:rFonts w:ascii="Arial" w:hAnsi="Arial" w:cs="Arial"/>
          <w:sz w:val="20"/>
          <w:szCs w:val="20"/>
          <w:lang w:val="en-US"/>
        </w:rPr>
        <w:t xml:space="preserve">We quantified the links between each of order-level long-term decline and global species richness, order-level long-term decline and ENSO sensitivity (naturally increasing under </w:t>
      </w:r>
      <w:r w:rsidRPr="00984C82">
        <w:rPr>
          <w:rFonts w:ascii="Arial" w:hAnsi="Arial" w:cs="Arial"/>
          <w:sz w:val="20"/>
          <w:szCs w:val="20"/>
          <w:lang w:val="en-US"/>
        </w:rPr>
        <w:t>El Niño</w:t>
      </w:r>
      <w:r>
        <w:rPr>
          <w:rFonts w:ascii="Arial" w:hAnsi="Arial" w:cs="Arial"/>
          <w:sz w:val="20"/>
          <w:szCs w:val="20"/>
          <w:lang w:val="en-US"/>
        </w:rPr>
        <w:t xml:space="preserve"> or La</w:t>
      </w:r>
      <w:r w:rsidRPr="00984C82">
        <w:rPr>
          <w:rFonts w:ascii="Arial" w:hAnsi="Arial" w:cs="Arial"/>
          <w:sz w:val="20"/>
          <w:szCs w:val="20"/>
          <w:lang w:val="en-US"/>
        </w:rPr>
        <w:t xml:space="preserve"> Niñ</w:t>
      </w:r>
      <w:r>
        <w:rPr>
          <w:rFonts w:ascii="Arial" w:hAnsi="Arial" w:cs="Arial"/>
          <w:sz w:val="20"/>
          <w:szCs w:val="20"/>
          <w:lang w:val="en-US"/>
        </w:rPr>
        <w:t xml:space="preserve">a), order-level shift in moderate </w:t>
      </w:r>
      <w:r w:rsidRPr="00984C82">
        <w:rPr>
          <w:rFonts w:ascii="Arial" w:hAnsi="Arial" w:cs="Arial"/>
          <w:sz w:val="20"/>
          <w:szCs w:val="20"/>
          <w:lang w:val="en-US"/>
        </w:rPr>
        <w:t>El Niño</w:t>
      </w:r>
      <w:r>
        <w:rPr>
          <w:rFonts w:ascii="Arial" w:hAnsi="Arial" w:cs="Arial"/>
          <w:sz w:val="20"/>
          <w:szCs w:val="20"/>
          <w:lang w:val="en-US"/>
        </w:rPr>
        <w:t xml:space="preserve"> (ONI = +1) response over time and ENSO sensitivity, and order-level shift in moderate La</w:t>
      </w:r>
      <w:r w:rsidRPr="00984C82">
        <w:rPr>
          <w:rFonts w:ascii="Arial" w:hAnsi="Arial" w:cs="Arial"/>
          <w:sz w:val="20"/>
          <w:szCs w:val="20"/>
          <w:lang w:val="en-US"/>
        </w:rPr>
        <w:t xml:space="preserve"> Niñ</w:t>
      </w:r>
      <w:r>
        <w:rPr>
          <w:rFonts w:ascii="Arial" w:hAnsi="Arial" w:cs="Arial"/>
          <w:sz w:val="20"/>
          <w:szCs w:val="20"/>
          <w:lang w:val="en-US"/>
        </w:rPr>
        <w:t>a (ONI = -1) response over time and ENSO sensitivity. For each comparison, we utilized the invertebrate diversity model parameter uncertainty to fit bootstrapped linear regressions. We sampled 10,000 sets of bootstrapped parameter values from a multivariate normal distribution defined by the means and variance-covariance matrix of model estimates. We then fitted 10,000 individual linear regression models to the bootstrapped values and took the quantiles in intercept and gradient estimates as confidence intervals. Predictions comparing time points 1980 and 2020 as well as ONI values of +1 and -1 were achieved by substituting those values into the model formula, and bootstrapping estimates via an equivalent procedure.</w:t>
      </w:r>
      <w:r w:rsidR="00CB5BFF">
        <w:rPr>
          <w:rFonts w:ascii="Arial" w:hAnsi="Arial" w:cs="Arial"/>
          <w:sz w:val="20"/>
          <w:szCs w:val="20"/>
          <w:lang w:val="en-US"/>
        </w:rPr>
        <w:t xml:space="preserve"> We chose the years 1980 and 2020 for comparison as they represented points equidistant from the year 2000 intercept – this choice was taken relatively arbitrarily but reflects the linear change over the available timeseries data.</w:t>
      </w:r>
    </w:p>
    <w:p w14:paraId="0CB086F5" w14:textId="77777777" w:rsidR="00700DAC" w:rsidRPr="00984C82" w:rsidRDefault="00700DAC" w:rsidP="007063F8">
      <w:pPr>
        <w:spacing w:line="480" w:lineRule="auto"/>
        <w:rPr>
          <w:rFonts w:ascii="Arial" w:hAnsi="Arial" w:cs="Arial"/>
          <w:b/>
          <w:bCs/>
          <w:sz w:val="20"/>
          <w:szCs w:val="20"/>
          <w:lang w:val="en-US"/>
        </w:rPr>
      </w:pPr>
    </w:p>
    <w:p w14:paraId="6B361807" w14:textId="1A4121A1" w:rsidR="00700DAC" w:rsidRPr="00984C82" w:rsidRDefault="00700DAC" w:rsidP="007063F8">
      <w:pPr>
        <w:spacing w:line="480" w:lineRule="auto"/>
        <w:rPr>
          <w:rFonts w:ascii="Arial" w:hAnsi="Arial" w:cs="Arial"/>
          <w:b/>
          <w:bCs/>
          <w:sz w:val="20"/>
          <w:szCs w:val="20"/>
          <w:lang w:val="en-US"/>
        </w:rPr>
      </w:pPr>
      <w:r w:rsidRPr="00984C82">
        <w:rPr>
          <w:rFonts w:ascii="Arial" w:hAnsi="Arial" w:cs="Arial"/>
          <w:b/>
          <w:bCs/>
          <w:sz w:val="20"/>
          <w:szCs w:val="20"/>
          <w:lang w:val="en-US"/>
        </w:rPr>
        <w:t>Predicting temporal change in invertebrate-mediated decomposition</w:t>
      </w:r>
      <w:r w:rsidR="00157D97">
        <w:rPr>
          <w:rFonts w:ascii="Arial" w:hAnsi="Arial" w:cs="Arial"/>
          <w:b/>
          <w:bCs/>
          <w:sz w:val="20"/>
          <w:szCs w:val="20"/>
          <w:lang w:val="en-US"/>
        </w:rPr>
        <w:t xml:space="preserve"> and herbivory</w:t>
      </w:r>
    </w:p>
    <w:p w14:paraId="1544B922" w14:textId="77777777" w:rsidR="00700DAC" w:rsidRPr="00984C82" w:rsidRDefault="00700DAC" w:rsidP="007063F8">
      <w:pPr>
        <w:spacing w:line="480" w:lineRule="auto"/>
        <w:rPr>
          <w:rFonts w:ascii="Arial" w:hAnsi="Arial" w:cs="Arial"/>
          <w:b/>
          <w:bCs/>
          <w:sz w:val="20"/>
          <w:szCs w:val="20"/>
          <w:lang w:val="en-US"/>
        </w:rPr>
      </w:pPr>
    </w:p>
    <w:p w14:paraId="50734F30" w14:textId="1A6B99B3" w:rsidR="00157D97" w:rsidRDefault="00FF38F6" w:rsidP="007063F8">
      <w:pPr>
        <w:spacing w:line="480" w:lineRule="auto"/>
        <w:rPr>
          <w:rFonts w:ascii="Arial" w:hAnsi="Arial" w:cs="Arial"/>
          <w:sz w:val="20"/>
          <w:szCs w:val="20"/>
          <w:lang w:val="en-US"/>
        </w:rPr>
      </w:pPr>
      <w:r>
        <w:rPr>
          <w:rFonts w:ascii="Arial" w:hAnsi="Arial" w:cs="Arial"/>
          <w:sz w:val="20"/>
          <w:szCs w:val="20"/>
          <w:lang w:val="en-US"/>
        </w:rPr>
        <w:lastRenderedPageBreak/>
        <w:t>Both decomposition and herbivory data were converted into location-independent timeseries for temporal analysis. Decomposition rates were calculated according to Olson</w:t>
      </w:r>
      <w:r>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{"citationID":"W9BmVbZ1","properties":{"formattedCitation":"\\super 22\\nosupersub{}","plainCitation":"22","noteIndex":0},"citationItems":[{"id":722,"uris":["http://zotero.org/users/local/e9sA6OhB/items/IKZIWQLI"],"itemData":{"id":722,"type":"article-journal","container-title":"Ecology","DOI":"10.2307/1932179","ISSN":"1939-9170","issue":"2","language":"en","license":"© 1963 by the Ecological Society of America","note":"_eprint: https://onlinelibrary.wiley.com/doi/pdf/10.2307/1932179","page":"322-331","source":"Wiley Online Library","title":"Energy Storage and the Balance of Producers and Decomposers in Ecological Systems","volume":"44","author":[{"family":"Olson","given":"Jerry S."}],"issued":{"date-parts":[["1963"]]}}}],"schema":"https://github.com/citation-style-language/schema/raw/master/csl-citation.json"} </w:instrText>
      </w:r>
      <w:r>
        <w:rPr>
          <w:rFonts w:ascii="Arial" w:hAnsi="Arial" w:cs="Arial"/>
          <w:sz w:val="20"/>
          <w:szCs w:val="20"/>
          <w:lang w:val="en-US"/>
        </w:rPr>
        <w:fldChar w:fldCharType="separate"/>
      </w:r>
      <w:r w:rsidR="00E92A52" w:rsidRPr="00E92A52">
        <w:rPr>
          <w:rFonts w:ascii="Arial" w:hAnsi="Arial" w:cs="Arial"/>
          <w:sz w:val="20"/>
          <w:vertAlign w:val="superscript"/>
          <w:lang w:val="en-GB"/>
        </w:rPr>
        <w:t>22</w:t>
      </w:r>
      <w:r>
        <w:rPr>
          <w:rFonts w:ascii="Arial" w:hAnsi="Arial" w:cs="Arial"/>
          <w:sz w:val="20"/>
          <w:szCs w:val="20"/>
          <w:lang w:val="en-US"/>
        </w:rPr>
        <w:fldChar w:fldCharType="end"/>
      </w:r>
      <w:r>
        <w:rPr>
          <w:rFonts w:ascii="Arial" w:hAnsi="Arial" w:cs="Arial"/>
          <w:sz w:val="20"/>
          <w:szCs w:val="20"/>
          <w:lang w:val="en-US"/>
        </w:rPr>
        <w:t xml:space="preserve">. Specifically invertebrate decomposition was calculated as rate with invertebrates minus rate without invertebrates, all divided by rate with invertebrates. </w:t>
      </w:r>
      <w:r w:rsidR="00157D97">
        <w:rPr>
          <w:rFonts w:ascii="Arial" w:hAnsi="Arial" w:cs="Arial"/>
          <w:sz w:val="20"/>
          <w:szCs w:val="20"/>
          <w:lang w:val="en-US"/>
        </w:rPr>
        <w:t>Relative weighting for each observation was calculated as the number of trials with invertebrates included multiplied by the number with invertebrates excluded, all divided by the sum of those same two values</w:t>
      </w:r>
      <w:r w:rsidR="00157D97">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{"citationID":"NIE1coa3","properties":{"formattedCitation":"\\super 23\\nosupersub{}","plainCitation":"23","noteIndex":0},"citationItems":[{"id":799,"uris":["http://zotero.org/users/local/e9sA6OhB/items/9WRU3V53"],"itemData":{"id":799,"type":"article-journal","abstract":"Methane and nitrous oxide are greenhouses gases with warming potentials many times higher than that of carbon dioxide. Previous work has indicated that the emission of both of the former from soils can be stimulated by increasing ambient carbon dioxide above the current atmospheric concentration, but the evidence has been piecemeal and the full picture unclear. Now a meta-analysis by Kees Jan van Groenigen et al. confirms that, overall, increasing carbon dioxide stimulates soil emissions of nitrous oxide from terrestrial ecosystems and of methane from rice paddies and natural wetlands. The authors suggest that these responses will negate at least 17% of the mitigation effect of the increase in the terrestrial carbon sink expected from a rise in carbon dioxide alone (to the second half of this century) — implying that the natural capacity of land ecosystems to slow climate change has been overestimated.","container-title":"Nature","DOI":"10.1038/nature10176","ISSN":"1476-4687","issue":"7355","language":"en","license":"2011 Springer Nature Limited","note":"publisher: Nature Publishing Group","page":"214-216","source":"www-nature-com.eproxy.lib.hku.hk","title":"Increased soil emissions of potent greenhouse gases under increased atmospheric CO2","volume":"475","author":[{"family":"Groenigen","given":"Kees Jan","non-dropping-particle":"van"},{"family":"Osenberg","given":"Craig W."},{"family":"Hungate","given":"Bruce A."}],"issued":{"date-parts":[["2011",7]]}}}],"schema":"https://github.com/citation-style-language/schema/raw/master/csl-citation.json"} </w:instrText>
      </w:r>
      <w:r w:rsidR="00157D97">
        <w:rPr>
          <w:rFonts w:ascii="Arial" w:hAnsi="Arial" w:cs="Arial"/>
          <w:sz w:val="20"/>
          <w:szCs w:val="20"/>
          <w:lang w:val="en-US"/>
        </w:rPr>
        <w:fldChar w:fldCharType="separate"/>
      </w:r>
      <w:r w:rsidR="00E92A52" w:rsidRPr="00E92A52">
        <w:rPr>
          <w:rFonts w:ascii="Arial" w:hAnsi="Arial" w:cs="Arial"/>
          <w:sz w:val="20"/>
          <w:vertAlign w:val="superscript"/>
          <w:lang w:val="en-GB"/>
        </w:rPr>
        <w:t>23</w:t>
      </w:r>
      <w:r w:rsidR="00157D97">
        <w:rPr>
          <w:rFonts w:ascii="Arial" w:hAnsi="Arial" w:cs="Arial"/>
          <w:sz w:val="20"/>
          <w:szCs w:val="20"/>
          <w:lang w:val="en-US"/>
        </w:rPr>
        <w:fldChar w:fldCharType="end"/>
      </w:r>
      <w:r w:rsidR="00157D97">
        <w:rPr>
          <w:rFonts w:ascii="Arial" w:hAnsi="Arial" w:cs="Arial"/>
          <w:sz w:val="20"/>
          <w:szCs w:val="20"/>
          <w:lang w:val="en-US"/>
        </w:rPr>
        <w:t>. For every year where we had collated invertebrate decomposition rate data, we calculated the mean rate weighted by those calculated weights.</w:t>
      </w:r>
    </w:p>
    <w:p w14:paraId="40C06144" w14:textId="77777777" w:rsidR="00157D97" w:rsidRDefault="00157D97" w:rsidP="007063F8">
      <w:pPr>
        <w:spacing w:line="480" w:lineRule="auto"/>
        <w:rPr>
          <w:rFonts w:ascii="Arial" w:hAnsi="Arial" w:cs="Arial"/>
          <w:sz w:val="20"/>
          <w:szCs w:val="20"/>
          <w:lang w:val="en-US"/>
        </w:rPr>
      </w:pPr>
    </w:p>
    <w:p w14:paraId="19104EEA" w14:textId="0ADB7638" w:rsidR="00157D97" w:rsidRDefault="00157D97" w:rsidP="007063F8">
      <w:pPr>
        <w:spacing w:line="480" w:lineRule="auto"/>
        <w:rPr>
          <w:rFonts w:ascii="Arial" w:hAnsi="Arial" w:cs="Arial"/>
          <w:sz w:val="20"/>
          <w:szCs w:val="20"/>
          <w:lang w:val="en-US"/>
        </w:rPr>
      </w:pPr>
      <w:r>
        <w:rPr>
          <w:rFonts w:ascii="Arial" w:hAnsi="Arial" w:cs="Arial"/>
          <w:sz w:val="20"/>
          <w:szCs w:val="20"/>
          <w:lang w:val="en-US"/>
        </w:rPr>
        <w:t>We conducted a similar rearrangement of the compiled herbivory rate data. For quantification of timed herbivory of newly emerged leaves (ranging in length from 2 to 5 weeks), we standardized measurements to proportion herbivory per month via a linear adjustment (assuming no change in herbivory rate within the first five weeks of leaf emergence). For quantification of timed herbivory of mature leaves (ranging in length from 2 weeks to 4.5 years), we standardized measurements to proportion herbivory per year via a similar linear adjustment. For each of those data types, plus opportunistic measurement of leaf herbivory at a single time point, we weighted observations according to the number of plant species for which each herbivory value represented. Per-year weighted mean values were then calculate</w:t>
      </w:r>
      <w:r w:rsidR="001746DB">
        <w:rPr>
          <w:rFonts w:ascii="Arial" w:hAnsi="Arial" w:cs="Arial"/>
          <w:sz w:val="20"/>
          <w:szCs w:val="20"/>
          <w:lang w:val="en-US"/>
        </w:rPr>
        <w:t>d as before</w:t>
      </w:r>
      <w:r>
        <w:rPr>
          <w:rFonts w:ascii="Arial" w:hAnsi="Arial" w:cs="Arial"/>
          <w:sz w:val="20"/>
          <w:szCs w:val="20"/>
          <w:lang w:val="en-US"/>
        </w:rPr>
        <w:t>.</w:t>
      </w:r>
    </w:p>
    <w:p w14:paraId="7223C6F3" w14:textId="77777777" w:rsidR="00157D97" w:rsidRDefault="00157D97" w:rsidP="007063F8">
      <w:pPr>
        <w:spacing w:line="480" w:lineRule="auto"/>
        <w:rPr>
          <w:rFonts w:ascii="Arial" w:hAnsi="Arial" w:cs="Arial"/>
          <w:sz w:val="20"/>
          <w:szCs w:val="20"/>
          <w:lang w:val="en-US"/>
        </w:rPr>
      </w:pPr>
    </w:p>
    <w:p w14:paraId="13A2F1F8" w14:textId="2CF424CC" w:rsidR="00157D97" w:rsidRPr="001F720A" w:rsidRDefault="001746DB" w:rsidP="007063F8">
      <w:pPr>
        <w:spacing w:line="480" w:lineRule="auto"/>
        <w:rPr>
          <w:rFonts w:ascii="Arial" w:hAnsi="Arial" w:cs="Arial"/>
          <w:sz w:val="20"/>
          <w:szCs w:val="20"/>
          <w:lang w:val="en-US"/>
        </w:rPr>
      </w:pPr>
      <w:r>
        <w:rPr>
          <w:rFonts w:ascii="Arial" w:hAnsi="Arial" w:cs="Arial"/>
          <w:sz w:val="20"/>
          <w:szCs w:val="20"/>
          <w:lang w:val="en-US"/>
        </w:rPr>
        <w:t>Models were fitted predicting shift in each of decomposition and herbivory through time. As in our invertebrate diversity model, geographical location was omitted from our models such that they represent</w:t>
      </w:r>
      <w:r w:rsidR="001F720A">
        <w:rPr>
          <w:rFonts w:ascii="Arial" w:hAnsi="Arial" w:cs="Arial"/>
          <w:sz w:val="20"/>
          <w:szCs w:val="20"/>
          <w:lang w:val="en-US"/>
        </w:rPr>
        <w:t>ed</w:t>
      </w:r>
      <w:r>
        <w:rPr>
          <w:rFonts w:ascii="Arial" w:hAnsi="Arial" w:cs="Arial"/>
          <w:sz w:val="20"/>
          <w:szCs w:val="20"/>
          <w:lang w:val="en-US"/>
        </w:rPr>
        <w:t xml:space="preserve"> broad trends in tropical rate. </w:t>
      </w:r>
      <w:r w:rsidR="001F720A">
        <w:rPr>
          <w:rFonts w:ascii="Arial" w:hAnsi="Arial" w:cs="Arial"/>
          <w:sz w:val="20"/>
          <w:szCs w:val="20"/>
          <w:lang w:val="en-US"/>
        </w:rPr>
        <w:t xml:space="preserve">We used a gaussian error family with no link function to predict invertebrate decomposition and a gamma error family with log link function to predict invertebrate herbivory. Both had continuous autocorrelation structures fitted to account for temporal autocorrelation in the respective residuals, and data points in both were weighted as per their previously described respective methods. The decomposition model contained only fixed parameters, whereas the herbivory model contained a single random intercept allowing for unexplained differences between the three categories of herbivory data. Fixed parameters were selected from the following combinations, each representing a biological hypothesis: time alone (long-term shift in rate but no fluctuation with ENSO), time and annual ONI maximum (long-term shift with </w:t>
      </w:r>
      <w:r w:rsidR="001F720A" w:rsidRPr="00984C82">
        <w:rPr>
          <w:rFonts w:ascii="Arial" w:hAnsi="Arial" w:cs="Arial"/>
          <w:sz w:val="20"/>
          <w:szCs w:val="20"/>
          <w:lang w:val="en-US"/>
        </w:rPr>
        <w:t>El Niño</w:t>
      </w:r>
      <w:r w:rsidR="001F720A">
        <w:rPr>
          <w:rFonts w:ascii="Arial" w:hAnsi="Arial" w:cs="Arial"/>
          <w:sz w:val="20"/>
          <w:szCs w:val="20"/>
          <w:lang w:val="en-US"/>
        </w:rPr>
        <w:t xml:space="preserve">-driven fluctuation), time interacting with annual ONI maximum (long-term shift in </w:t>
      </w:r>
      <w:r w:rsidR="001F720A" w:rsidRPr="00984C82">
        <w:rPr>
          <w:rFonts w:ascii="Arial" w:hAnsi="Arial" w:cs="Arial"/>
          <w:sz w:val="20"/>
          <w:szCs w:val="20"/>
          <w:lang w:val="en-US"/>
        </w:rPr>
        <w:t>El Niño</w:t>
      </w:r>
      <w:r w:rsidR="001F720A">
        <w:rPr>
          <w:rFonts w:ascii="Arial" w:hAnsi="Arial" w:cs="Arial"/>
          <w:sz w:val="20"/>
          <w:szCs w:val="20"/>
          <w:lang w:val="en-US"/>
        </w:rPr>
        <w:t xml:space="preserve">-driven fluctuation), </w:t>
      </w:r>
      <w:r w:rsidR="001F720A">
        <w:rPr>
          <w:rFonts w:ascii="Arial" w:hAnsi="Arial" w:cs="Arial"/>
          <w:sz w:val="20"/>
          <w:szCs w:val="20"/>
          <w:lang w:val="en-US"/>
        </w:rPr>
        <w:lastRenderedPageBreak/>
        <w:t>time and annual ONI minimum (long-term shift with La</w:t>
      </w:r>
      <w:r w:rsidR="001F720A" w:rsidRPr="00984C82">
        <w:rPr>
          <w:rFonts w:ascii="Arial" w:hAnsi="Arial" w:cs="Arial"/>
          <w:sz w:val="20"/>
          <w:szCs w:val="20"/>
          <w:lang w:val="en-US"/>
        </w:rPr>
        <w:t xml:space="preserve"> Niñ</w:t>
      </w:r>
      <w:r w:rsidR="001F720A">
        <w:rPr>
          <w:rFonts w:ascii="Arial" w:hAnsi="Arial" w:cs="Arial"/>
          <w:sz w:val="20"/>
          <w:szCs w:val="20"/>
          <w:lang w:val="en-US"/>
        </w:rPr>
        <w:t>a-driven fluctuation), time interacting with annual ONI minimum (long-term shift in La</w:t>
      </w:r>
      <w:r w:rsidR="001F720A" w:rsidRPr="00984C82">
        <w:rPr>
          <w:rFonts w:ascii="Arial" w:hAnsi="Arial" w:cs="Arial"/>
          <w:sz w:val="20"/>
          <w:szCs w:val="20"/>
          <w:lang w:val="en-US"/>
        </w:rPr>
        <w:t xml:space="preserve"> Niñ</w:t>
      </w:r>
      <w:r w:rsidR="001F720A">
        <w:rPr>
          <w:rFonts w:ascii="Arial" w:hAnsi="Arial" w:cs="Arial"/>
          <w:sz w:val="20"/>
          <w:szCs w:val="20"/>
          <w:lang w:val="en-US"/>
        </w:rPr>
        <w:t>a-driven fluctuation), time after year 2000 (long-term shift but only starting from the turn of the millennium), time and annual ONI maximum (long-term shift since 2000 with El</w:t>
      </w:r>
      <w:r w:rsidR="001F720A" w:rsidRPr="00984C82">
        <w:rPr>
          <w:rFonts w:ascii="Arial" w:hAnsi="Arial" w:cs="Arial"/>
          <w:sz w:val="20"/>
          <w:szCs w:val="20"/>
          <w:lang w:val="en-US"/>
        </w:rPr>
        <w:t xml:space="preserve"> Niñ</w:t>
      </w:r>
      <w:r w:rsidR="001F720A">
        <w:rPr>
          <w:rFonts w:ascii="Arial" w:hAnsi="Arial" w:cs="Arial"/>
          <w:sz w:val="20"/>
          <w:szCs w:val="20"/>
          <w:lang w:val="en-US"/>
        </w:rPr>
        <w:t xml:space="preserve">o-driven fluctuation), time after year 2000 interacting with annual ONI maximum (long-term shift in </w:t>
      </w:r>
      <w:r w:rsidR="001F720A" w:rsidRPr="00984C82">
        <w:rPr>
          <w:rFonts w:ascii="Arial" w:hAnsi="Arial" w:cs="Arial"/>
          <w:sz w:val="20"/>
          <w:szCs w:val="20"/>
          <w:lang w:val="en-US"/>
        </w:rPr>
        <w:t>El Niño</w:t>
      </w:r>
      <w:r w:rsidR="001F720A">
        <w:rPr>
          <w:rFonts w:ascii="Arial" w:hAnsi="Arial" w:cs="Arial"/>
          <w:sz w:val="20"/>
          <w:szCs w:val="20"/>
          <w:lang w:val="en-US"/>
        </w:rPr>
        <w:t>-driven fluctuation since 2000), time and annual ONI minimum (long-term shift since 2000 with La</w:t>
      </w:r>
      <w:r w:rsidR="001F720A" w:rsidRPr="00984C82">
        <w:rPr>
          <w:rFonts w:ascii="Arial" w:hAnsi="Arial" w:cs="Arial"/>
          <w:sz w:val="20"/>
          <w:szCs w:val="20"/>
          <w:lang w:val="en-US"/>
        </w:rPr>
        <w:t xml:space="preserve"> Niñ</w:t>
      </w:r>
      <w:r w:rsidR="001F720A">
        <w:rPr>
          <w:rFonts w:ascii="Arial" w:hAnsi="Arial" w:cs="Arial"/>
          <w:sz w:val="20"/>
          <w:szCs w:val="20"/>
          <w:lang w:val="en-US"/>
        </w:rPr>
        <w:t>a-driven fluctuation), and time interacting with annual ONI minimum (long-term shift in La</w:t>
      </w:r>
      <w:r w:rsidR="001F720A" w:rsidRPr="00984C82">
        <w:rPr>
          <w:rFonts w:ascii="Arial" w:hAnsi="Arial" w:cs="Arial"/>
          <w:sz w:val="20"/>
          <w:szCs w:val="20"/>
          <w:lang w:val="en-US"/>
        </w:rPr>
        <w:t xml:space="preserve"> Niñ</w:t>
      </w:r>
      <w:r w:rsidR="001F720A">
        <w:rPr>
          <w:rFonts w:ascii="Arial" w:hAnsi="Arial" w:cs="Arial"/>
          <w:sz w:val="20"/>
          <w:szCs w:val="20"/>
          <w:lang w:val="en-US"/>
        </w:rPr>
        <w:t xml:space="preserve">a-driven fluctuation since 2000). As before, time was centered on the year 2000. Weighted Spearman’s rank correlation between annual data points and the predicted generalized diversities of each of the nine studied invertebrate orders were calculated using the </w:t>
      </w:r>
      <w:proofErr w:type="spellStart"/>
      <w:r w:rsidR="001F720A">
        <w:rPr>
          <w:rFonts w:ascii="Arial" w:hAnsi="Arial" w:cs="Arial"/>
          <w:i/>
          <w:iCs/>
          <w:sz w:val="20"/>
          <w:szCs w:val="20"/>
          <w:lang w:val="en-US"/>
        </w:rPr>
        <w:t>wCorr</w:t>
      </w:r>
      <w:proofErr w:type="spellEnd"/>
      <w:r w:rsidR="001F720A">
        <w:rPr>
          <w:rFonts w:ascii="Arial" w:hAnsi="Arial" w:cs="Arial"/>
          <w:sz w:val="20"/>
          <w:szCs w:val="20"/>
          <w:lang w:val="en-US"/>
        </w:rPr>
        <w:t xml:space="preserve"> package</w:t>
      </w:r>
      <w:r w:rsidR="00B77CA4">
        <w:rPr>
          <w:rFonts w:ascii="Arial" w:hAnsi="Arial" w:cs="Arial"/>
          <w:sz w:val="20"/>
          <w:szCs w:val="20"/>
          <w:lang w:val="en-US"/>
        </w:rPr>
        <w:fldChar w:fldCharType="begin"/>
      </w:r>
      <w:r w:rsidR="00E92A52">
        <w:rPr>
          <w:rFonts w:ascii="Arial" w:hAnsi="Arial" w:cs="Arial"/>
          <w:sz w:val="20"/>
          <w:szCs w:val="20"/>
          <w:lang w:val="en-US"/>
        </w:rPr>
        <w:instrText xml:space="preserve"> ADDIN ZOTERO_ITEM CSL_CITATION {"citationID":"Fa8wDAEy","properties":{"formattedCitation":"\\super 24\\nosupersub{}","plainCitation":"24","noteIndex":0},"citationItems":[{"id":1262,"uris":["http://zotero.org/users/local/e9sA6OhB/items/N72TQ4S4"],"itemData":{"id":1262,"type":"software","title":"wCorr: Weighted Correlations","URL":"https://CRAN.R-project.org/package=wCorr","author":[{"family":"Bailey","given":"P."},{"family":"Emad","given":"A."}],"issued":{"date-parts":[["2023"]]}}}],"schema":"https://github.com/citation-style-language/schema/raw/master/csl-citation.json"} </w:instrText>
      </w:r>
      <w:r w:rsidR="00B77CA4">
        <w:rPr>
          <w:rFonts w:ascii="Arial" w:hAnsi="Arial" w:cs="Arial"/>
          <w:sz w:val="20"/>
          <w:szCs w:val="20"/>
          <w:lang w:val="en-US"/>
        </w:rPr>
        <w:fldChar w:fldCharType="separate"/>
      </w:r>
      <w:r w:rsidR="00E92A52" w:rsidRPr="00E92A52">
        <w:rPr>
          <w:rFonts w:ascii="Arial" w:hAnsi="Arial" w:cs="Arial"/>
          <w:sz w:val="20"/>
          <w:vertAlign w:val="superscript"/>
          <w:lang w:val="en-GB"/>
        </w:rPr>
        <w:t>24</w:t>
      </w:r>
      <w:r w:rsidR="00B77CA4">
        <w:rPr>
          <w:rFonts w:ascii="Arial" w:hAnsi="Arial" w:cs="Arial"/>
          <w:sz w:val="20"/>
          <w:szCs w:val="20"/>
          <w:lang w:val="en-US"/>
        </w:rPr>
        <w:fldChar w:fldCharType="end"/>
      </w:r>
      <w:r w:rsidR="001F720A">
        <w:rPr>
          <w:rFonts w:ascii="Arial" w:hAnsi="Arial" w:cs="Arial"/>
          <w:sz w:val="20"/>
          <w:szCs w:val="20"/>
          <w:lang w:val="en-US"/>
        </w:rPr>
        <w:t>.</w:t>
      </w:r>
    </w:p>
    <w:p w14:paraId="1C35F837" w14:textId="77777777" w:rsidR="008A102B" w:rsidRPr="00984C82" w:rsidRDefault="008A102B" w:rsidP="007063F8">
      <w:pPr>
        <w:spacing w:line="480" w:lineRule="auto"/>
        <w:rPr>
          <w:rFonts w:ascii="Arial" w:hAnsi="Arial" w:cs="Arial"/>
          <w:sz w:val="20"/>
          <w:szCs w:val="20"/>
          <w:lang w:val="en-US"/>
        </w:rPr>
      </w:pPr>
    </w:p>
    <w:p w14:paraId="1505D306" w14:textId="4DCDEC15" w:rsidR="008A102B" w:rsidRPr="00984C82" w:rsidRDefault="008A102B" w:rsidP="007063F8">
      <w:pPr>
        <w:spacing w:line="480" w:lineRule="auto"/>
        <w:rPr>
          <w:rFonts w:ascii="Arial" w:hAnsi="Arial" w:cs="Arial"/>
          <w:b/>
          <w:bCs/>
          <w:sz w:val="20"/>
          <w:szCs w:val="20"/>
          <w:lang w:val="en-US"/>
        </w:rPr>
      </w:pPr>
      <w:r w:rsidRPr="00984C82">
        <w:rPr>
          <w:rFonts w:ascii="Arial" w:hAnsi="Arial" w:cs="Arial"/>
          <w:b/>
          <w:bCs/>
          <w:sz w:val="20"/>
          <w:szCs w:val="20"/>
          <w:lang w:val="en-US"/>
        </w:rPr>
        <w:t>REFERENCES</w:t>
      </w:r>
    </w:p>
    <w:p w14:paraId="04AF59DE" w14:textId="77777777" w:rsidR="008A102B" w:rsidRPr="00984C82" w:rsidRDefault="008A102B" w:rsidP="007063F8">
      <w:pPr>
        <w:spacing w:line="480" w:lineRule="auto"/>
        <w:rPr>
          <w:rFonts w:ascii="Arial" w:hAnsi="Arial" w:cs="Arial"/>
          <w:b/>
          <w:bCs/>
          <w:sz w:val="20"/>
          <w:szCs w:val="20"/>
          <w:lang w:val="en-US"/>
        </w:rPr>
      </w:pPr>
    </w:p>
    <w:p w14:paraId="08BFF205" w14:textId="77777777" w:rsidR="00E92A52" w:rsidRPr="00E92A52" w:rsidRDefault="008A102B" w:rsidP="007063F8">
      <w:pPr>
        <w:pStyle w:val="Bibliography"/>
        <w:rPr>
          <w:rFonts w:ascii="Arial" w:hAnsi="Arial" w:cs="Arial"/>
          <w:sz w:val="20"/>
          <w:lang w:val="en-GB"/>
        </w:rPr>
      </w:pPr>
      <w:r w:rsidRPr="00984C82">
        <w:rPr>
          <w:rFonts w:ascii="Arial" w:hAnsi="Arial" w:cs="Arial"/>
          <w:b/>
          <w:bCs/>
          <w:sz w:val="20"/>
          <w:szCs w:val="20"/>
          <w:lang w:val="en-US"/>
        </w:rPr>
        <w:fldChar w:fldCharType="begin"/>
      </w:r>
      <w:r w:rsidR="00E92A52">
        <w:rPr>
          <w:rFonts w:ascii="Arial" w:hAnsi="Arial" w:cs="Arial"/>
          <w:b/>
          <w:bCs/>
          <w:sz w:val="20"/>
          <w:szCs w:val="20"/>
          <w:lang w:val="en-US"/>
        </w:rPr>
        <w:instrText xml:space="preserve"> ADDIN ZOTERO_BIBL {"uncited":[],"omitted":[],"custom":[]} CSL_BIBLIOGRAPHY </w:instrText>
      </w:r>
      <w:r w:rsidRPr="00984C82">
        <w:rPr>
          <w:rFonts w:ascii="Arial" w:hAnsi="Arial" w:cs="Arial"/>
          <w:b/>
          <w:bCs/>
          <w:sz w:val="20"/>
          <w:szCs w:val="20"/>
          <w:lang w:val="en-US"/>
        </w:rPr>
        <w:fldChar w:fldCharType="separate"/>
      </w:r>
      <w:r w:rsidR="00E92A52" w:rsidRPr="00E92A52">
        <w:rPr>
          <w:rFonts w:ascii="Arial" w:hAnsi="Arial" w:cs="Arial"/>
          <w:sz w:val="20"/>
          <w:lang w:val="en-GB"/>
        </w:rPr>
        <w:t>1.</w:t>
      </w:r>
      <w:r w:rsidR="00E92A52" w:rsidRPr="00E92A52">
        <w:rPr>
          <w:rFonts w:ascii="Arial" w:hAnsi="Arial" w:cs="Arial"/>
          <w:sz w:val="20"/>
          <w:lang w:val="en-GB"/>
        </w:rPr>
        <w:tab/>
        <w:t xml:space="preserve">van Klink, R. </w:t>
      </w:r>
      <w:r w:rsidR="00E92A52" w:rsidRPr="00E92A52">
        <w:rPr>
          <w:rFonts w:ascii="Arial" w:hAnsi="Arial" w:cs="Arial"/>
          <w:i/>
          <w:iCs/>
          <w:sz w:val="20"/>
          <w:lang w:val="en-GB"/>
        </w:rPr>
        <w:t>et al.</w:t>
      </w:r>
      <w:r w:rsidR="00E92A52" w:rsidRPr="00E92A52">
        <w:rPr>
          <w:rFonts w:ascii="Arial" w:hAnsi="Arial" w:cs="Arial"/>
          <w:sz w:val="20"/>
          <w:lang w:val="en-GB"/>
        </w:rPr>
        <w:t xml:space="preserve"> Meta-analysis reveals declines in terrestrial but increases in freshwater insect abundances. </w:t>
      </w:r>
      <w:r w:rsidR="00E92A52" w:rsidRPr="00E92A52">
        <w:rPr>
          <w:rFonts w:ascii="Arial" w:hAnsi="Arial" w:cs="Arial"/>
          <w:i/>
          <w:iCs/>
          <w:sz w:val="20"/>
          <w:lang w:val="en-GB"/>
        </w:rPr>
        <w:t>Science</w:t>
      </w:r>
      <w:r w:rsidR="00E92A52" w:rsidRPr="00E92A52">
        <w:rPr>
          <w:rFonts w:ascii="Arial" w:hAnsi="Arial" w:cs="Arial"/>
          <w:sz w:val="20"/>
          <w:lang w:val="en-GB"/>
        </w:rPr>
        <w:t xml:space="preserve"> </w:t>
      </w:r>
      <w:r w:rsidR="00E92A52" w:rsidRPr="00E92A52">
        <w:rPr>
          <w:rFonts w:ascii="Arial" w:hAnsi="Arial" w:cs="Arial"/>
          <w:b/>
          <w:bCs/>
          <w:sz w:val="20"/>
          <w:lang w:val="en-GB"/>
        </w:rPr>
        <w:t>368</w:t>
      </w:r>
      <w:r w:rsidR="00E92A52" w:rsidRPr="00E92A52">
        <w:rPr>
          <w:rFonts w:ascii="Arial" w:hAnsi="Arial" w:cs="Arial"/>
          <w:sz w:val="20"/>
          <w:lang w:val="en-GB"/>
        </w:rPr>
        <w:t>, 417–420 (2020).</w:t>
      </w:r>
    </w:p>
    <w:p w14:paraId="46B47229"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2.</w:t>
      </w:r>
      <w:r w:rsidRPr="00E92A52">
        <w:rPr>
          <w:rFonts w:ascii="Arial" w:hAnsi="Arial" w:cs="Arial"/>
          <w:sz w:val="20"/>
          <w:lang w:val="en-GB"/>
        </w:rPr>
        <w:tab/>
        <w:t xml:space="preserve">Schowalter, T. D., Pandey, M., Presley, S. J., Willig, M. R. &amp; Zimmerman, J. K. Arthropods are not declining but are responsive to disturbance in the Luquillo Experimental Forest, Puerto Rico. </w:t>
      </w:r>
      <w:r w:rsidRPr="00E92A52">
        <w:rPr>
          <w:rFonts w:ascii="Arial" w:hAnsi="Arial" w:cs="Arial"/>
          <w:i/>
          <w:iCs/>
          <w:sz w:val="20"/>
          <w:lang w:val="en-GB"/>
        </w:rPr>
        <w:t>Proc. Natl. Acad. Sci.</w:t>
      </w:r>
      <w:r w:rsidRPr="00E92A52">
        <w:rPr>
          <w:rFonts w:ascii="Arial" w:hAnsi="Arial" w:cs="Arial"/>
          <w:sz w:val="20"/>
          <w:lang w:val="en-GB"/>
        </w:rPr>
        <w:t xml:space="preserve"> </w:t>
      </w:r>
      <w:r w:rsidRPr="00E92A52">
        <w:rPr>
          <w:rFonts w:ascii="Arial" w:hAnsi="Arial" w:cs="Arial"/>
          <w:b/>
          <w:bCs/>
          <w:sz w:val="20"/>
          <w:lang w:val="en-GB"/>
        </w:rPr>
        <w:t>118</w:t>
      </w:r>
      <w:r w:rsidRPr="00E92A52">
        <w:rPr>
          <w:rFonts w:ascii="Arial" w:hAnsi="Arial" w:cs="Arial"/>
          <w:sz w:val="20"/>
          <w:lang w:val="en-GB"/>
        </w:rPr>
        <w:t>, e2002556117 (2021).</w:t>
      </w:r>
    </w:p>
    <w:p w14:paraId="138C63E7"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3.</w:t>
      </w:r>
      <w:r w:rsidRPr="00E92A52">
        <w:rPr>
          <w:rFonts w:ascii="Arial" w:hAnsi="Arial" w:cs="Arial"/>
          <w:sz w:val="20"/>
          <w:lang w:val="en-GB"/>
        </w:rPr>
        <w:tab/>
        <w:t xml:space="preserve">Roubik, D. W. Ups and downs in pollinator populations: When is there a decline? </w:t>
      </w:r>
      <w:r w:rsidRPr="00E92A52">
        <w:rPr>
          <w:rFonts w:ascii="Arial" w:hAnsi="Arial" w:cs="Arial"/>
          <w:i/>
          <w:iCs/>
          <w:sz w:val="20"/>
          <w:lang w:val="en-GB"/>
        </w:rPr>
        <w:t>Conserv. Ecol.</w:t>
      </w:r>
      <w:r w:rsidRPr="00E92A52">
        <w:rPr>
          <w:rFonts w:ascii="Arial" w:hAnsi="Arial" w:cs="Arial"/>
          <w:sz w:val="20"/>
          <w:lang w:val="en-GB"/>
        </w:rPr>
        <w:t xml:space="preserve"> </w:t>
      </w:r>
      <w:r w:rsidRPr="00E92A52">
        <w:rPr>
          <w:rFonts w:ascii="Arial" w:hAnsi="Arial" w:cs="Arial"/>
          <w:b/>
          <w:bCs/>
          <w:sz w:val="20"/>
          <w:lang w:val="en-GB"/>
        </w:rPr>
        <w:t>5</w:t>
      </w:r>
      <w:r w:rsidRPr="00E92A52">
        <w:rPr>
          <w:rFonts w:ascii="Arial" w:hAnsi="Arial" w:cs="Arial"/>
          <w:sz w:val="20"/>
          <w:lang w:val="en-GB"/>
        </w:rPr>
        <w:t>, (2001).</w:t>
      </w:r>
    </w:p>
    <w:p w14:paraId="0BE15E5A" w14:textId="27D250C8"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4.</w:t>
      </w:r>
      <w:r w:rsidRPr="00E92A52">
        <w:rPr>
          <w:rFonts w:ascii="Arial" w:hAnsi="Arial" w:cs="Arial"/>
          <w:sz w:val="20"/>
          <w:lang w:val="en-GB"/>
        </w:rPr>
        <w:tab/>
        <w:t xml:space="preserve">Richardson, B. A. The </w:t>
      </w:r>
      <w:r w:rsidR="0044352E">
        <w:rPr>
          <w:rFonts w:ascii="Arial" w:hAnsi="Arial" w:cs="Arial"/>
          <w:sz w:val="20"/>
          <w:lang w:val="en-GB"/>
        </w:rPr>
        <w:t>b</w:t>
      </w:r>
      <w:r w:rsidRPr="00E92A52">
        <w:rPr>
          <w:rFonts w:ascii="Arial" w:hAnsi="Arial" w:cs="Arial"/>
          <w:sz w:val="20"/>
          <w:lang w:val="en-GB"/>
        </w:rPr>
        <w:t xml:space="preserve">romeliad </w:t>
      </w:r>
      <w:r w:rsidR="0044352E">
        <w:rPr>
          <w:rFonts w:ascii="Arial" w:hAnsi="Arial" w:cs="Arial"/>
          <w:sz w:val="20"/>
          <w:lang w:val="en-GB"/>
        </w:rPr>
        <w:t>m</w:t>
      </w:r>
      <w:r w:rsidRPr="00E92A52">
        <w:rPr>
          <w:rFonts w:ascii="Arial" w:hAnsi="Arial" w:cs="Arial"/>
          <w:sz w:val="20"/>
          <w:lang w:val="en-GB"/>
        </w:rPr>
        <w:t xml:space="preserve">icrocosm and the </w:t>
      </w:r>
      <w:r w:rsidR="0044352E">
        <w:rPr>
          <w:rFonts w:ascii="Arial" w:hAnsi="Arial" w:cs="Arial"/>
          <w:sz w:val="20"/>
          <w:lang w:val="en-GB"/>
        </w:rPr>
        <w:t>a</w:t>
      </w:r>
      <w:r w:rsidRPr="00E92A52">
        <w:rPr>
          <w:rFonts w:ascii="Arial" w:hAnsi="Arial" w:cs="Arial"/>
          <w:sz w:val="20"/>
          <w:lang w:val="en-GB"/>
        </w:rPr>
        <w:t xml:space="preserve">ssessment of </w:t>
      </w:r>
      <w:r w:rsidR="0044352E">
        <w:rPr>
          <w:rFonts w:ascii="Arial" w:hAnsi="Arial" w:cs="Arial"/>
          <w:sz w:val="20"/>
          <w:lang w:val="en-GB"/>
        </w:rPr>
        <w:t>f</w:t>
      </w:r>
      <w:r w:rsidRPr="00E92A52">
        <w:rPr>
          <w:rFonts w:ascii="Arial" w:hAnsi="Arial" w:cs="Arial"/>
          <w:sz w:val="20"/>
          <w:lang w:val="en-GB"/>
        </w:rPr>
        <w:t xml:space="preserve">aunal </w:t>
      </w:r>
      <w:r w:rsidR="0044352E">
        <w:rPr>
          <w:rFonts w:ascii="Arial" w:hAnsi="Arial" w:cs="Arial"/>
          <w:sz w:val="20"/>
          <w:lang w:val="en-GB"/>
        </w:rPr>
        <w:t>d</w:t>
      </w:r>
      <w:r w:rsidRPr="00E92A52">
        <w:rPr>
          <w:rFonts w:ascii="Arial" w:hAnsi="Arial" w:cs="Arial"/>
          <w:sz w:val="20"/>
          <w:lang w:val="en-GB"/>
        </w:rPr>
        <w:t xml:space="preserve">iversity in a </w:t>
      </w:r>
      <w:r w:rsidR="0044352E">
        <w:rPr>
          <w:rFonts w:ascii="Arial" w:hAnsi="Arial" w:cs="Arial"/>
          <w:sz w:val="20"/>
          <w:lang w:val="en-GB"/>
        </w:rPr>
        <w:t>n</w:t>
      </w:r>
      <w:r w:rsidRPr="00E92A52">
        <w:rPr>
          <w:rFonts w:ascii="Arial" w:hAnsi="Arial" w:cs="Arial"/>
          <w:sz w:val="20"/>
          <w:lang w:val="en-GB"/>
        </w:rPr>
        <w:t xml:space="preserve">eotropical </w:t>
      </w:r>
      <w:r w:rsidR="0044352E">
        <w:rPr>
          <w:rFonts w:ascii="Arial" w:hAnsi="Arial" w:cs="Arial"/>
          <w:sz w:val="20"/>
          <w:lang w:val="en-GB"/>
        </w:rPr>
        <w:t>f</w:t>
      </w:r>
      <w:r w:rsidRPr="00E92A52">
        <w:rPr>
          <w:rFonts w:ascii="Arial" w:hAnsi="Arial" w:cs="Arial"/>
          <w:sz w:val="20"/>
          <w:lang w:val="en-GB"/>
        </w:rPr>
        <w:t xml:space="preserve">orest. </w:t>
      </w:r>
      <w:r w:rsidRPr="00E92A52">
        <w:rPr>
          <w:rFonts w:ascii="Arial" w:hAnsi="Arial" w:cs="Arial"/>
          <w:i/>
          <w:iCs/>
          <w:sz w:val="20"/>
          <w:lang w:val="en-GB"/>
        </w:rPr>
        <w:t>Biotropica</w:t>
      </w:r>
      <w:r w:rsidRPr="00E92A52">
        <w:rPr>
          <w:rFonts w:ascii="Arial" w:hAnsi="Arial" w:cs="Arial"/>
          <w:sz w:val="20"/>
          <w:lang w:val="en-GB"/>
        </w:rPr>
        <w:t xml:space="preserve"> </w:t>
      </w:r>
      <w:r w:rsidRPr="00E92A52">
        <w:rPr>
          <w:rFonts w:ascii="Arial" w:hAnsi="Arial" w:cs="Arial"/>
          <w:b/>
          <w:bCs/>
          <w:sz w:val="20"/>
          <w:lang w:val="en-GB"/>
        </w:rPr>
        <w:t>31</w:t>
      </w:r>
      <w:r w:rsidRPr="00E92A52">
        <w:rPr>
          <w:rFonts w:ascii="Arial" w:hAnsi="Arial" w:cs="Arial"/>
          <w:sz w:val="20"/>
          <w:lang w:val="en-GB"/>
        </w:rPr>
        <w:t>, 321–336 (1999).</w:t>
      </w:r>
    </w:p>
    <w:p w14:paraId="5FED5678"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5.</w:t>
      </w:r>
      <w:r w:rsidRPr="00E92A52">
        <w:rPr>
          <w:rFonts w:ascii="Arial" w:hAnsi="Arial" w:cs="Arial"/>
          <w:sz w:val="20"/>
          <w:lang w:val="en-GB"/>
        </w:rPr>
        <w:tab/>
        <w:t>Willig, M. R. &amp; Bloch, C. P. El Verde Grid long-term invertebrate data: Luquillo Long Term Ecological Research Site Database: Data Set 107. (2016).</w:t>
      </w:r>
    </w:p>
    <w:p w14:paraId="2F1B2724"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6.</w:t>
      </w:r>
      <w:r w:rsidRPr="00E92A52">
        <w:rPr>
          <w:rFonts w:ascii="Arial" w:hAnsi="Arial" w:cs="Arial"/>
          <w:sz w:val="20"/>
          <w:lang w:val="en-GB"/>
        </w:rPr>
        <w:tab/>
        <w:t xml:space="preserve">Schowalter, T. D. &amp; Ganio, L. M. Invertebrate communities in a tropical rain forest canopy in Puerto Rico following Hurricane Hugo. </w:t>
      </w:r>
      <w:r w:rsidRPr="00E92A52">
        <w:rPr>
          <w:rFonts w:ascii="Arial" w:hAnsi="Arial" w:cs="Arial"/>
          <w:i/>
          <w:iCs/>
          <w:sz w:val="20"/>
          <w:lang w:val="en-GB"/>
        </w:rPr>
        <w:t>Ecol. Entomol.</w:t>
      </w:r>
      <w:r w:rsidRPr="00E92A52">
        <w:rPr>
          <w:rFonts w:ascii="Arial" w:hAnsi="Arial" w:cs="Arial"/>
          <w:sz w:val="20"/>
          <w:lang w:val="en-GB"/>
        </w:rPr>
        <w:t xml:space="preserve"> </w:t>
      </w:r>
      <w:r w:rsidRPr="00E92A52">
        <w:rPr>
          <w:rFonts w:ascii="Arial" w:hAnsi="Arial" w:cs="Arial"/>
          <w:b/>
          <w:bCs/>
          <w:sz w:val="20"/>
          <w:lang w:val="en-GB"/>
        </w:rPr>
        <w:t>24</w:t>
      </w:r>
      <w:r w:rsidRPr="00E92A52">
        <w:rPr>
          <w:rFonts w:ascii="Arial" w:hAnsi="Arial" w:cs="Arial"/>
          <w:sz w:val="20"/>
          <w:lang w:val="en-GB"/>
        </w:rPr>
        <w:t>, 191–201 (2001).</w:t>
      </w:r>
    </w:p>
    <w:p w14:paraId="3FB958FC"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7.</w:t>
      </w:r>
      <w:r w:rsidRPr="00E92A52">
        <w:rPr>
          <w:rFonts w:ascii="Arial" w:hAnsi="Arial" w:cs="Arial"/>
          <w:sz w:val="20"/>
          <w:lang w:val="en-GB"/>
        </w:rPr>
        <w:tab/>
        <w:t xml:space="preserve">Dornelas, M. </w:t>
      </w:r>
      <w:r w:rsidRPr="00E92A52">
        <w:rPr>
          <w:rFonts w:ascii="Arial" w:hAnsi="Arial" w:cs="Arial"/>
          <w:i/>
          <w:iCs/>
          <w:sz w:val="20"/>
          <w:lang w:val="en-GB"/>
        </w:rPr>
        <w:t>et al.</w:t>
      </w:r>
      <w:r w:rsidRPr="00E92A52">
        <w:rPr>
          <w:rFonts w:ascii="Arial" w:hAnsi="Arial" w:cs="Arial"/>
          <w:sz w:val="20"/>
          <w:lang w:val="en-GB"/>
        </w:rPr>
        <w:t xml:space="preserve"> BioTIME: A database of biodiversity time series for the Anthropocene. </w:t>
      </w:r>
      <w:r w:rsidRPr="00E92A52">
        <w:rPr>
          <w:rFonts w:ascii="Arial" w:hAnsi="Arial" w:cs="Arial"/>
          <w:i/>
          <w:iCs/>
          <w:sz w:val="20"/>
          <w:lang w:val="en-GB"/>
        </w:rPr>
        <w:t>Glob. Ecol. Biogeogr.</w:t>
      </w:r>
      <w:r w:rsidRPr="00E92A52">
        <w:rPr>
          <w:rFonts w:ascii="Arial" w:hAnsi="Arial" w:cs="Arial"/>
          <w:sz w:val="20"/>
          <w:lang w:val="en-GB"/>
        </w:rPr>
        <w:t xml:space="preserve"> </w:t>
      </w:r>
      <w:r w:rsidRPr="00E92A52">
        <w:rPr>
          <w:rFonts w:ascii="Arial" w:hAnsi="Arial" w:cs="Arial"/>
          <w:b/>
          <w:bCs/>
          <w:sz w:val="20"/>
          <w:lang w:val="en-GB"/>
        </w:rPr>
        <w:t>27</w:t>
      </w:r>
      <w:r w:rsidRPr="00E92A52">
        <w:rPr>
          <w:rFonts w:ascii="Arial" w:hAnsi="Arial" w:cs="Arial"/>
          <w:sz w:val="20"/>
          <w:lang w:val="en-GB"/>
        </w:rPr>
        <w:t>, 760–786 (2018).</w:t>
      </w:r>
    </w:p>
    <w:p w14:paraId="44978B45"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8.</w:t>
      </w:r>
      <w:r w:rsidRPr="00E92A52">
        <w:rPr>
          <w:rFonts w:ascii="Arial" w:hAnsi="Arial" w:cs="Arial"/>
          <w:sz w:val="20"/>
          <w:lang w:val="en-GB"/>
        </w:rPr>
        <w:tab/>
        <w:t xml:space="preserve">Bonebrake, T. C. </w:t>
      </w:r>
      <w:r w:rsidRPr="00E92A52">
        <w:rPr>
          <w:rFonts w:ascii="Arial" w:hAnsi="Arial" w:cs="Arial"/>
          <w:i/>
          <w:iCs/>
          <w:sz w:val="20"/>
          <w:lang w:val="en-GB"/>
        </w:rPr>
        <w:t>et al.</w:t>
      </w:r>
      <w:r w:rsidRPr="00E92A52">
        <w:rPr>
          <w:rFonts w:ascii="Arial" w:hAnsi="Arial" w:cs="Arial"/>
          <w:sz w:val="20"/>
          <w:lang w:val="en-GB"/>
        </w:rPr>
        <w:t xml:space="preserve"> Warming threat compounds habitat degradation impacts on a tropical butterfly community in Vietnam. </w:t>
      </w:r>
      <w:r w:rsidRPr="00E92A52">
        <w:rPr>
          <w:rFonts w:ascii="Arial" w:hAnsi="Arial" w:cs="Arial"/>
          <w:i/>
          <w:iCs/>
          <w:sz w:val="20"/>
          <w:lang w:val="en-GB"/>
        </w:rPr>
        <w:t>Glob. Ecol. Conserv.</w:t>
      </w:r>
      <w:r w:rsidRPr="00E92A52">
        <w:rPr>
          <w:rFonts w:ascii="Arial" w:hAnsi="Arial" w:cs="Arial"/>
          <w:sz w:val="20"/>
          <w:lang w:val="en-GB"/>
        </w:rPr>
        <w:t xml:space="preserve"> </w:t>
      </w:r>
      <w:r w:rsidRPr="00E92A52">
        <w:rPr>
          <w:rFonts w:ascii="Arial" w:hAnsi="Arial" w:cs="Arial"/>
          <w:b/>
          <w:bCs/>
          <w:sz w:val="20"/>
          <w:lang w:val="en-GB"/>
        </w:rPr>
        <w:t>8</w:t>
      </w:r>
      <w:r w:rsidRPr="00E92A52">
        <w:rPr>
          <w:rFonts w:ascii="Arial" w:hAnsi="Arial" w:cs="Arial"/>
          <w:sz w:val="20"/>
          <w:lang w:val="en-GB"/>
        </w:rPr>
        <w:t>, 203–211 (2016).</w:t>
      </w:r>
    </w:p>
    <w:p w14:paraId="04C6BA1A"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lastRenderedPageBreak/>
        <w:t>9.</w:t>
      </w:r>
      <w:r w:rsidRPr="00E92A52">
        <w:rPr>
          <w:rFonts w:ascii="Arial" w:hAnsi="Arial" w:cs="Arial"/>
          <w:sz w:val="20"/>
          <w:lang w:val="en-GB"/>
        </w:rPr>
        <w:tab/>
        <w:t xml:space="preserve">Chen, I.-C. </w:t>
      </w:r>
      <w:r w:rsidRPr="00E92A52">
        <w:rPr>
          <w:rFonts w:ascii="Arial" w:hAnsi="Arial" w:cs="Arial"/>
          <w:i/>
          <w:iCs/>
          <w:sz w:val="20"/>
          <w:lang w:val="en-GB"/>
        </w:rPr>
        <w:t>et al.</w:t>
      </w:r>
      <w:r w:rsidRPr="00E92A52">
        <w:rPr>
          <w:rFonts w:ascii="Arial" w:hAnsi="Arial" w:cs="Arial"/>
          <w:sz w:val="20"/>
          <w:lang w:val="en-GB"/>
        </w:rPr>
        <w:t xml:space="preserve"> Elevation increases in moth assemblages over 42 years on a tropical mountain. </w:t>
      </w:r>
      <w:r w:rsidRPr="00E92A52">
        <w:rPr>
          <w:rFonts w:ascii="Arial" w:hAnsi="Arial" w:cs="Arial"/>
          <w:i/>
          <w:iCs/>
          <w:sz w:val="20"/>
          <w:lang w:val="en-GB"/>
        </w:rPr>
        <w:t>Proc. Natl. Acad. Sci.</w:t>
      </w:r>
      <w:r w:rsidRPr="00E92A52">
        <w:rPr>
          <w:rFonts w:ascii="Arial" w:hAnsi="Arial" w:cs="Arial"/>
          <w:sz w:val="20"/>
          <w:lang w:val="en-GB"/>
        </w:rPr>
        <w:t xml:space="preserve"> </w:t>
      </w:r>
      <w:r w:rsidRPr="00E92A52">
        <w:rPr>
          <w:rFonts w:ascii="Arial" w:hAnsi="Arial" w:cs="Arial"/>
          <w:b/>
          <w:bCs/>
          <w:sz w:val="20"/>
          <w:lang w:val="en-GB"/>
        </w:rPr>
        <w:t>106</w:t>
      </w:r>
      <w:r w:rsidRPr="00E92A52">
        <w:rPr>
          <w:rFonts w:ascii="Arial" w:hAnsi="Arial" w:cs="Arial"/>
          <w:sz w:val="20"/>
          <w:lang w:val="en-GB"/>
        </w:rPr>
        <w:t>, 1479–1483 (2009).</w:t>
      </w:r>
    </w:p>
    <w:p w14:paraId="56DE175D"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10.</w:t>
      </w:r>
      <w:r w:rsidRPr="00E92A52">
        <w:rPr>
          <w:rFonts w:ascii="Arial" w:hAnsi="Arial" w:cs="Arial"/>
          <w:sz w:val="20"/>
          <w:lang w:val="en-GB"/>
        </w:rPr>
        <w:tab/>
        <w:t xml:space="preserve">Opito, E. A. </w:t>
      </w:r>
      <w:r w:rsidRPr="00E92A52">
        <w:rPr>
          <w:rFonts w:ascii="Arial" w:hAnsi="Arial" w:cs="Arial"/>
          <w:i/>
          <w:iCs/>
          <w:sz w:val="20"/>
          <w:lang w:val="en-GB"/>
        </w:rPr>
        <w:t>et al.</w:t>
      </w:r>
      <w:r w:rsidRPr="00E92A52">
        <w:rPr>
          <w:rFonts w:ascii="Arial" w:hAnsi="Arial" w:cs="Arial"/>
          <w:sz w:val="20"/>
          <w:lang w:val="en-GB"/>
        </w:rPr>
        <w:t xml:space="preserve"> 30 years brings changes to the arthropod community of Kibale National Park, Uganda. </w:t>
      </w:r>
      <w:r w:rsidRPr="00E92A52">
        <w:rPr>
          <w:rFonts w:ascii="Arial" w:hAnsi="Arial" w:cs="Arial"/>
          <w:i/>
          <w:iCs/>
          <w:sz w:val="20"/>
          <w:lang w:val="en-GB"/>
        </w:rPr>
        <w:t>Biotropica</w:t>
      </w:r>
      <w:r w:rsidRPr="00E92A52">
        <w:rPr>
          <w:rFonts w:ascii="Arial" w:hAnsi="Arial" w:cs="Arial"/>
          <w:sz w:val="20"/>
          <w:lang w:val="en-GB"/>
        </w:rPr>
        <w:t xml:space="preserve"> </w:t>
      </w:r>
      <w:r w:rsidRPr="00E92A52">
        <w:rPr>
          <w:rFonts w:ascii="Arial" w:hAnsi="Arial" w:cs="Arial"/>
          <w:b/>
          <w:bCs/>
          <w:sz w:val="20"/>
          <w:lang w:val="en-GB"/>
        </w:rPr>
        <w:t>55</w:t>
      </w:r>
      <w:r w:rsidRPr="00E92A52">
        <w:rPr>
          <w:rFonts w:ascii="Arial" w:hAnsi="Arial" w:cs="Arial"/>
          <w:sz w:val="20"/>
          <w:lang w:val="en-GB"/>
        </w:rPr>
        <w:t>, 529–539 (2023).</w:t>
      </w:r>
    </w:p>
    <w:p w14:paraId="2133332A"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11.</w:t>
      </w:r>
      <w:r w:rsidRPr="00E92A52">
        <w:rPr>
          <w:rFonts w:ascii="Arial" w:hAnsi="Arial" w:cs="Arial"/>
          <w:sz w:val="20"/>
          <w:lang w:val="en-GB"/>
        </w:rPr>
        <w:tab/>
        <w:t xml:space="preserve">Basset, Y. </w:t>
      </w:r>
      <w:r w:rsidRPr="00E92A52">
        <w:rPr>
          <w:rFonts w:ascii="Arial" w:hAnsi="Arial" w:cs="Arial"/>
          <w:i/>
          <w:iCs/>
          <w:sz w:val="20"/>
          <w:lang w:val="en-GB"/>
        </w:rPr>
        <w:t>et al.</w:t>
      </w:r>
      <w:r w:rsidRPr="00E92A52">
        <w:rPr>
          <w:rFonts w:ascii="Arial" w:hAnsi="Arial" w:cs="Arial"/>
          <w:sz w:val="20"/>
          <w:lang w:val="en-GB"/>
        </w:rPr>
        <w:t xml:space="preserve"> Abundance, occurrence and time series: long-term monitoring of social insects in a tropical rainforest. </w:t>
      </w:r>
      <w:r w:rsidRPr="00E92A52">
        <w:rPr>
          <w:rFonts w:ascii="Arial" w:hAnsi="Arial" w:cs="Arial"/>
          <w:i/>
          <w:iCs/>
          <w:sz w:val="20"/>
          <w:lang w:val="en-GB"/>
        </w:rPr>
        <w:t>Ecol. Indic.</w:t>
      </w:r>
      <w:r w:rsidRPr="00E92A52">
        <w:rPr>
          <w:rFonts w:ascii="Arial" w:hAnsi="Arial" w:cs="Arial"/>
          <w:sz w:val="20"/>
          <w:lang w:val="en-GB"/>
        </w:rPr>
        <w:t xml:space="preserve"> </w:t>
      </w:r>
      <w:r w:rsidRPr="00E92A52">
        <w:rPr>
          <w:rFonts w:ascii="Arial" w:hAnsi="Arial" w:cs="Arial"/>
          <w:b/>
          <w:bCs/>
          <w:sz w:val="20"/>
          <w:lang w:val="en-GB"/>
        </w:rPr>
        <w:t>150</w:t>
      </w:r>
      <w:r w:rsidRPr="00E92A52">
        <w:rPr>
          <w:rFonts w:ascii="Arial" w:hAnsi="Arial" w:cs="Arial"/>
          <w:sz w:val="20"/>
          <w:lang w:val="en-GB"/>
        </w:rPr>
        <w:t>, 110243 (2023).</w:t>
      </w:r>
    </w:p>
    <w:p w14:paraId="443E86B5"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12.</w:t>
      </w:r>
      <w:r w:rsidRPr="00E92A52">
        <w:rPr>
          <w:rFonts w:ascii="Arial" w:hAnsi="Arial" w:cs="Arial"/>
          <w:sz w:val="20"/>
          <w:lang w:val="en-GB"/>
        </w:rPr>
        <w:tab/>
        <w:t xml:space="preserve">Wagner, D. L., Fox, R., Salcido, D. M. &amp; Dyer, L. A. A window to the world of global insect declines: Moth biodiversity trends are complex and heterogeneous. </w:t>
      </w:r>
      <w:r w:rsidRPr="00E92A52">
        <w:rPr>
          <w:rFonts w:ascii="Arial" w:hAnsi="Arial" w:cs="Arial"/>
          <w:i/>
          <w:iCs/>
          <w:sz w:val="20"/>
          <w:lang w:val="en-GB"/>
        </w:rPr>
        <w:t>Proc. Natl. Acad. Sci.</w:t>
      </w:r>
      <w:r w:rsidRPr="00E92A52">
        <w:rPr>
          <w:rFonts w:ascii="Arial" w:hAnsi="Arial" w:cs="Arial"/>
          <w:sz w:val="20"/>
          <w:lang w:val="en-GB"/>
        </w:rPr>
        <w:t xml:space="preserve"> </w:t>
      </w:r>
      <w:r w:rsidRPr="00E92A52">
        <w:rPr>
          <w:rFonts w:ascii="Arial" w:hAnsi="Arial" w:cs="Arial"/>
          <w:b/>
          <w:bCs/>
          <w:sz w:val="20"/>
          <w:lang w:val="en-GB"/>
        </w:rPr>
        <w:t>118</w:t>
      </w:r>
      <w:r w:rsidRPr="00E92A52">
        <w:rPr>
          <w:rFonts w:ascii="Arial" w:hAnsi="Arial" w:cs="Arial"/>
          <w:sz w:val="20"/>
          <w:lang w:val="en-GB"/>
        </w:rPr>
        <w:t>, e2002549117 (2021).</w:t>
      </w:r>
    </w:p>
    <w:p w14:paraId="2DC2AD4A" w14:textId="50FC8F0C"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13.</w:t>
      </w:r>
      <w:r w:rsidRPr="00E92A52">
        <w:rPr>
          <w:rFonts w:ascii="Arial" w:hAnsi="Arial" w:cs="Arial"/>
          <w:sz w:val="20"/>
          <w:lang w:val="en-GB"/>
        </w:rPr>
        <w:tab/>
        <w:t xml:space="preserve">Huang, B. </w:t>
      </w:r>
      <w:r w:rsidRPr="00E92A52">
        <w:rPr>
          <w:rFonts w:ascii="Arial" w:hAnsi="Arial" w:cs="Arial"/>
          <w:i/>
          <w:iCs/>
          <w:sz w:val="20"/>
          <w:lang w:val="en-GB"/>
        </w:rPr>
        <w:t>et al.</w:t>
      </w:r>
      <w:r w:rsidRPr="00E92A52">
        <w:rPr>
          <w:rFonts w:ascii="Arial" w:hAnsi="Arial" w:cs="Arial"/>
          <w:sz w:val="20"/>
          <w:lang w:val="en-GB"/>
        </w:rPr>
        <w:t xml:space="preserve"> Extended Reconstructed Sea Surface Temperature, Version 5 (ERSSTv5): Upgrades, </w:t>
      </w:r>
      <w:r w:rsidR="0044352E">
        <w:rPr>
          <w:rFonts w:ascii="Arial" w:hAnsi="Arial" w:cs="Arial"/>
          <w:sz w:val="20"/>
          <w:lang w:val="en-GB"/>
        </w:rPr>
        <w:t>v</w:t>
      </w:r>
      <w:r w:rsidRPr="00E92A52">
        <w:rPr>
          <w:rFonts w:ascii="Arial" w:hAnsi="Arial" w:cs="Arial"/>
          <w:sz w:val="20"/>
          <w:lang w:val="en-GB"/>
        </w:rPr>
        <w:t xml:space="preserve">alidations, and </w:t>
      </w:r>
      <w:r w:rsidR="0044352E">
        <w:rPr>
          <w:rFonts w:ascii="Arial" w:hAnsi="Arial" w:cs="Arial"/>
          <w:sz w:val="20"/>
          <w:lang w:val="en-GB"/>
        </w:rPr>
        <w:t>i</w:t>
      </w:r>
      <w:r w:rsidRPr="00E92A52">
        <w:rPr>
          <w:rFonts w:ascii="Arial" w:hAnsi="Arial" w:cs="Arial"/>
          <w:sz w:val="20"/>
          <w:lang w:val="en-GB"/>
        </w:rPr>
        <w:t xml:space="preserve">ntercomparisons. </w:t>
      </w:r>
      <w:r w:rsidRPr="00E92A52">
        <w:rPr>
          <w:rFonts w:ascii="Arial" w:hAnsi="Arial" w:cs="Arial"/>
          <w:i/>
          <w:iCs/>
          <w:sz w:val="20"/>
          <w:lang w:val="en-GB"/>
        </w:rPr>
        <w:t>J. Clim.</w:t>
      </w:r>
      <w:r w:rsidRPr="00E92A52">
        <w:rPr>
          <w:rFonts w:ascii="Arial" w:hAnsi="Arial" w:cs="Arial"/>
          <w:sz w:val="20"/>
          <w:lang w:val="en-GB"/>
        </w:rPr>
        <w:t xml:space="preserve"> </w:t>
      </w:r>
      <w:r w:rsidRPr="00E92A52">
        <w:rPr>
          <w:rFonts w:ascii="Arial" w:hAnsi="Arial" w:cs="Arial"/>
          <w:b/>
          <w:bCs/>
          <w:sz w:val="20"/>
          <w:lang w:val="en-GB"/>
        </w:rPr>
        <w:t>30</w:t>
      </w:r>
      <w:r w:rsidRPr="00E92A52">
        <w:rPr>
          <w:rFonts w:ascii="Arial" w:hAnsi="Arial" w:cs="Arial"/>
          <w:sz w:val="20"/>
          <w:lang w:val="en-GB"/>
        </w:rPr>
        <w:t>, 8179–8205 (2017).</w:t>
      </w:r>
    </w:p>
    <w:p w14:paraId="207EBA10" w14:textId="35325E0E"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14.</w:t>
      </w:r>
      <w:r w:rsidRPr="00E92A52">
        <w:rPr>
          <w:rFonts w:ascii="Arial" w:hAnsi="Arial" w:cs="Arial"/>
          <w:sz w:val="20"/>
          <w:lang w:val="en-GB"/>
        </w:rPr>
        <w:tab/>
        <w:t xml:space="preserve">Coley, P. D. &amp; Barone, J. A. Herbivory and </w:t>
      </w:r>
      <w:r w:rsidR="0044352E">
        <w:rPr>
          <w:rFonts w:ascii="Arial" w:hAnsi="Arial" w:cs="Arial"/>
          <w:sz w:val="20"/>
          <w:lang w:val="en-GB"/>
        </w:rPr>
        <w:t>p</w:t>
      </w:r>
      <w:r w:rsidRPr="00E92A52">
        <w:rPr>
          <w:rFonts w:ascii="Arial" w:hAnsi="Arial" w:cs="Arial"/>
          <w:sz w:val="20"/>
          <w:lang w:val="en-GB"/>
        </w:rPr>
        <w:t xml:space="preserve">lant </w:t>
      </w:r>
      <w:proofErr w:type="spellStart"/>
      <w:r w:rsidR="0044352E">
        <w:rPr>
          <w:rFonts w:ascii="Arial" w:hAnsi="Arial" w:cs="Arial"/>
          <w:sz w:val="20"/>
          <w:lang w:val="en-GB"/>
        </w:rPr>
        <w:t>d</w:t>
      </w:r>
      <w:r w:rsidRPr="00E92A52">
        <w:rPr>
          <w:rFonts w:ascii="Arial" w:hAnsi="Arial" w:cs="Arial"/>
          <w:sz w:val="20"/>
          <w:lang w:val="en-GB"/>
        </w:rPr>
        <w:t>efenses</w:t>
      </w:r>
      <w:proofErr w:type="spellEnd"/>
      <w:r w:rsidRPr="00E92A52">
        <w:rPr>
          <w:rFonts w:ascii="Arial" w:hAnsi="Arial" w:cs="Arial"/>
          <w:sz w:val="20"/>
          <w:lang w:val="en-GB"/>
        </w:rPr>
        <w:t xml:space="preserve"> in </w:t>
      </w:r>
      <w:r w:rsidR="0044352E">
        <w:rPr>
          <w:rFonts w:ascii="Arial" w:hAnsi="Arial" w:cs="Arial"/>
          <w:sz w:val="20"/>
          <w:lang w:val="en-GB"/>
        </w:rPr>
        <w:t>t</w:t>
      </w:r>
      <w:r w:rsidRPr="00E92A52">
        <w:rPr>
          <w:rFonts w:ascii="Arial" w:hAnsi="Arial" w:cs="Arial"/>
          <w:sz w:val="20"/>
          <w:lang w:val="en-GB"/>
        </w:rPr>
        <w:t xml:space="preserve">ropical </w:t>
      </w:r>
      <w:r w:rsidR="0044352E">
        <w:rPr>
          <w:rFonts w:ascii="Arial" w:hAnsi="Arial" w:cs="Arial"/>
          <w:sz w:val="20"/>
          <w:lang w:val="en-GB"/>
        </w:rPr>
        <w:t>f</w:t>
      </w:r>
      <w:r w:rsidRPr="00E92A52">
        <w:rPr>
          <w:rFonts w:ascii="Arial" w:hAnsi="Arial" w:cs="Arial"/>
          <w:sz w:val="20"/>
          <w:lang w:val="en-GB"/>
        </w:rPr>
        <w:t xml:space="preserve">orests. </w:t>
      </w:r>
      <w:r w:rsidRPr="00E92A52">
        <w:rPr>
          <w:rFonts w:ascii="Arial" w:hAnsi="Arial" w:cs="Arial"/>
          <w:i/>
          <w:iCs/>
          <w:sz w:val="20"/>
          <w:lang w:val="en-GB"/>
        </w:rPr>
        <w:t>Annu. Rev. Ecol. Syst.</w:t>
      </w:r>
      <w:r w:rsidRPr="00E92A52">
        <w:rPr>
          <w:rFonts w:ascii="Arial" w:hAnsi="Arial" w:cs="Arial"/>
          <w:sz w:val="20"/>
          <w:lang w:val="en-GB"/>
        </w:rPr>
        <w:t xml:space="preserve"> </w:t>
      </w:r>
      <w:r w:rsidRPr="00E92A52">
        <w:rPr>
          <w:rFonts w:ascii="Arial" w:hAnsi="Arial" w:cs="Arial"/>
          <w:b/>
          <w:bCs/>
          <w:sz w:val="20"/>
          <w:lang w:val="en-GB"/>
        </w:rPr>
        <w:t>27</w:t>
      </w:r>
      <w:r w:rsidRPr="00E92A52">
        <w:rPr>
          <w:rFonts w:ascii="Arial" w:hAnsi="Arial" w:cs="Arial"/>
          <w:sz w:val="20"/>
          <w:lang w:val="en-GB"/>
        </w:rPr>
        <w:t>, 305–335 (1996).</w:t>
      </w:r>
    </w:p>
    <w:p w14:paraId="38B4CAE9" w14:textId="6BF76A9E"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15.</w:t>
      </w:r>
      <w:r w:rsidRPr="00E92A52">
        <w:rPr>
          <w:rFonts w:ascii="Arial" w:hAnsi="Arial" w:cs="Arial"/>
          <w:sz w:val="20"/>
          <w:lang w:val="en-GB"/>
        </w:rPr>
        <w:tab/>
        <w:t xml:space="preserve">R Core Team. R: A </w:t>
      </w:r>
      <w:r w:rsidR="0044352E">
        <w:rPr>
          <w:rFonts w:ascii="Arial" w:hAnsi="Arial" w:cs="Arial"/>
          <w:sz w:val="20"/>
          <w:lang w:val="en-GB"/>
        </w:rPr>
        <w:t>l</w:t>
      </w:r>
      <w:r w:rsidRPr="00E92A52">
        <w:rPr>
          <w:rFonts w:ascii="Arial" w:hAnsi="Arial" w:cs="Arial"/>
          <w:sz w:val="20"/>
          <w:lang w:val="en-GB"/>
        </w:rPr>
        <w:t xml:space="preserve">anguage and </w:t>
      </w:r>
      <w:r w:rsidR="0044352E">
        <w:rPr>
          <w:rFonts w:ascii="Arial" w:hAnsi="Arial" w:cs="Arial"/>
          <w:sz w:val="20"/>
          <w:lang w:val="en-GB"/>
        </w:rPr>
        <w:t>e</w:t>
      </w:r>
      <w:r w:rsidRPr="00E92A52">
        <w:rPr>
          <w:rFonts w:ascii="Arial" w:hAnsi="Arial" w:cs="Arial"/>
          <w:sz w:val="20"/>
          <w:lang w:val="en-GB"/>
        </w:rPr>
        <w:t xml:space="preserve">nvironment for </w:t>
      </w:r>
      <w:r w:rsidR="0044352E">
        <w:rPr>
          <w:rFonts w:ascii="Arial" w:hAnsi="Arial" w:cs="Arial"/>
          <w:sz w:val="20"/>
          <w:lang w:val="en-GB"/>
        </w:rPr>
        <w:t>s</w:t>
      </w:r>
      <w:r w:rsidRPr="00E92A52">
        <w:rPr>
          <w:rFonts w:ascii="Arial" w:hAnsi="Arial" w:cs="Arial"/>
          <w:sz w:val="20"/>
          <w:lang w:val="en-GB"/>
        </w:rPr>
        <w:t xml:space="preserve">tatistical </w:t>
      </w:r>
      <w:r w:rsidR="0044352E">
        <w:rPr>
          <w:rFonts w:ascii="Arial" w:hAnsi="Arial" w:cs="Arial"/>
          <w:sz w:val="20"/>
          <w:lang w:val="en-GB"/>
        </w:rPr>
        <w:t>c</w:t>
      </w:r>
      <w:r w:rsidRPr="00E92A52">
        <w:rPr>
          <w:rFonts w:ascii="Arial" w:hAnsi="Arial" w:cs="Arial"/>
          <w:sz w:val="20"/>
          <w:lang w:val="en-GB"/>
        </w:rPr>
        <w:t>omputing. (2023).</w:t>
      </w:r>
    </w:p>
    <w:p w14:paraId="0AD910FC" w14:textId="7EF07CD9"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16.</w:t>
      </w:r>
      <w:r w:rsidRPr="00E92A52">
        <w:rPr>
          <w:rFonts w:ascii="Arial" w:hAnsi="Arial" w:cs="Arial"/>
          <w:sz w:val="20"/>
          <w:lang w:val="en-GB"/>
        </w:rPr>
        <w:tab/>
        <w:t xml:space="preserve">Wood, S. N. Fast </w:t>
      </w:r>
      <w:r w:rsidR="0044352E">
        <w:rPr>
          <w:rFonts w:ascii="Arial" w:hAnsi="Arial" w:cs="Arial"/>
          <w:sz w:val="20"/>
          <w:lang w:val="en-GB"/>
        </w:rPr>
        <w:t>s</w:t>
      </w:r>
      <w:r w:rsidRPr="00E92A52">
        <w:rPr>
          <w:rFonts w:ascii="Arial" w:hAnsi="Arial" w:cs="Arial"/>
          <w:sz w:val="20"/>
          <w:lang w:val="en-GB"/>
        </w:rPr>
        <w:t xml:space="preserve">table </w:t>
      </w:r>
      <w:r w:rsidR="0044352E">
        <w:rPr>
          <w:rFonts w:ascii="Arial" w:hAnsi="Arial" w:cs="Arial"/>
          <w:sz w:val="20"/>
          <w:lang w:val="en-GB"/>
        </w:rPr>
        <w:t>r</w:t>
      </w:r>
      <w:r w:rsidRPr="00E92A52">
        <w:rPr>
          <w:rFonts w:ascii="Arial" w:hAnsi="Arial" w:cs="Arial"/>
          <w:sz w:val="20"/>
          <w:lang w:val="en-GB"/>
        </w:rPr>
        <w:t xml:space="preserve">estricted </w:t>
      </w:r>
      <w:r w:rsidR="0044352E">
        <w:rPr>
          <w:rFonts w:ascii="Arial" w:hAnsi="Arial" w:cs="Arial"/>
          <w:sz w:val="20"/>
          <w:lang w:val="en-GB"/>
        </w:rPr>
        <w:t>m</w:t>
      </w:r>
      <w:r w:rsidRPr="00E92A52">
        <w:rPr>
          <w:rFonts w:ascii="Arial" w:hAnsi="Arial" w:cs="Arial"/>
          <w:sz w:val="20"/>
          <w:lang w:val="en-GB"/>
        </w:rPr>
        <w:t xml:space="preserve">aximum </w:t>
      </w:r>
      <w:r w:rsidR="0044352E">
        <w:rPr>
          <w:rFonts w:ascii="Arial" w:hAnsi="Arial" w:cs="Arial"/>
          <w:sz w:val="20"/>
          <w:lang w:val="en-GB"/>
        </w:rPr>
        <w:t>l</w:t>
      </w:r>
      <w:r w:rsidRPr="00E92A52">
        <w:rPr>
          <w:rFonts w:ascii="Arial" w:hAnsi="Arial" w:cs="Arial"/>
          <w:sz w:val="20"/>
          <w:lang w:val="en-GB"/>
        </w:rPr>
        <w:t xml:space="preserve">ikelihood and </w:t>
      </w:r>
      <w:r w:rsidR="0044352E">
        <w:rPr>
          <w:rFonts w:ascii="Arial" w:hAnsi="Arial" w:cs="Arial"/>
          <w:sz w:val="20"/>
          <w:lang w:val="en-GB"/>
        </w:rPr>
        <w:t>m</w:t>
      </w:r>
      <w:r w:rsidRPr="00E92A52">
        <w:rPr>
          <w:rFonts w:ascii="Arial" w:hAnsi="Arial" w:cs="Arial"/>
          <w:sz w:val="20"/>
          <w:lang w:val="en-GB"/>
        </w:rPr>
        <w:t xml:space="preserve">arginal </w:t>
      </w:r>
      <w:r w:rsidR="0044352E">
        <w:rPr>
          <w:rFonts w:ascii="Arial" w:hAnsi="Arial" w:cs="Arial"/>
          <w:sz w:val="20"/>
          <w:lang w:val="en-GB"/>
        </w:rPr>
        <w:t>l</w:t>
      </w:r>
      <w:r w:rsidRPr="00E92A52">
        <w:rPr>
          <w:rFonts w:ascii="Arial" w:hAnsi="Arial" w:cs="Arial"/>
          <w:sz w:val="20"/>
          <w:lang w:val="en-GB"/>
        </w:rPr>
        <w:t xml:space="preserve">ikelihood </w:t>
      </w:r>
      <w:r w:rsidR="0044352E">
        <w:rPr>
          <w:rFonts w:ascii="Arial" w:hAnsi="Arial" w:cs="Arial"/>
          <w:sz w:val="20"/>
          <w:lang w:val="en-GB"/>
        </w:rPr>
        <w:t>e</w:t>
      </w:r>
      <w:r w:rsidRPr="00E92A52">
        <w:rPr>
          <w:rFonts w:ascii="Arial" w:hAnsi="Arial" w:cs="Arial"/>
          <w:sz w:val="20"/>
          <w:lang w:val="en-GB"/>
        </w:rPr>
        <w:t xml:space="preserve">stimation of </w:t>
      </w:r>
      <w:r w:rsidR="0044352E">
        <w:rPr>
          <w:rFonts w:ascii="Arial" w:hAnsi="Arial" w:cs="Arial"/>
          <w:sz w:val="20"/>
          <w:lang w:val="en-GB"/>
        </w:rPr>
        <w:t>s</w:t>
      </w:r>
      <w:r w:rsidRPr="00E92A52">
        <w:rPr>
          <w:rFonts w:ascii="Arial" w:hAnsi="Arial" w:cs="Arial"/>
          <w:sz w:val="20"/>
          <w:lang w:val="en-GB"/>
        </w:rPr>
        <w:t xml:space="preserve">emiparametric </w:t>
      </w:r>
      <w:r w:rsidR="0044352E">
        <w:rPr>
          <w:rFonts w:ascii="Arial" w:hAnsi="Arial" w:cs="Arial"/>
          <w:sz w:val="20"/>
          <w:lang w:val="en-GB"/>
        </w:rPr>
        <w:t>g</w:t>
      </w:r>
      <w:r w:rsidRPr="00E92A52">
        <w:rPr>
          <w:rFonts w:ascii="Arial" w:hAnsi="Arial" w:cs="Arial"/>
          <w:sz w:val="20"/>
          <w:lang w:val="en-GB"/>
        </w:rPr>
        <w:t xml:space="preserve">eneralized </w:t>
      </w:r>
      <w:r w:rsidR="0044352E">
        <w:rPr>
          <w:rFonts w:ascii="Arial" w:hAnsi="Arial" w:cs="Arial"/>
          <w:sz w:val="20"/>
          <w:lang w:val="en-GB"/>
        </w:rPr>
        <w:t>l</w:t>
      </w:r>
      <w:r w:rsidRPr="00E92A52">
        <w:rPr>
          <w:rFonts w:ascii="Arial" w:hAnsi="Arial" w:cs="Arial"/>
          <w:sz w:val="20"/>
          <w:lang w:val="en-GB"/>
        </w:rPr>
        <w:t xml:space="preserve">inear </w:t>
      </w:r>
      <w:r w:rsidR="0044352E">
        <w:rPr>
          <w:rFonts w:ascii="Arial" w:hAnsi="Arial" w:cs="Arial"/>
          <w:sz w:val="20"/>
          <w:lang w:val="en-GB"/>
        </w:rPr>
        <w:t>m</w:t>
      </w:r>
      <w:r w:rsidRPr="00E92A52">
        <w:rPr>
          <w:rFonts w:ascii="Arial" w:hAnsi="Arial" w:cs="Arial"/>
          <w:sz w:val="20"/>
          <w:lang w:val="en-GB"/>
        </w:rPr>
        <w:t xml:space="preserve">odels. </w:t>
      </w:r>
      <w:r w:rsidRPr="00E92A52">
        <w:rPr>
          <w:rFonts w:ascii="Arial" w:hAnsi="Arial" w:cs="Arial"/>
          <w:i/>
          <w:iCs/>
          <w:sz w:val="20"/>
          <w:lang w:val="en-GB"/>
        </w:rPr>
        <w:t>J. R. Stat. Soc. Ser. B Stat. Methodol.</w:t>
      </w:r>
      <w:r w:rsidRPr="00E92A52">
        <w:rPr>
          <w:rFonts w:ascii="Arial" w:hAnsi="Arial" w:cs="Arial"/>
          <w:sz w:val="20"/>
          <w:lang w:val="en-GB"/>
        </w:rPr>
        <w:t xml:space="preserve"> </w:t>
      </w:r>
      <w:r w:rsidRPr="00E92A52">
        <w:rPr>
          <w:rFonts w:ascii="Arial" w:hAnsi="Arial" w:cs="Arial"/>
          <w:b/>
          <w:bCs/>
          <w:sz w:val="20"/>
          <w:lang w:val="en-GB"/>
        </w:rPr>
        <w:t>73</w:t>
      </w:r>
      <w:r w:rsidRPr="00E92A52">
        <w:rPr>
          <w:rFonts w:ascii="Arial" w:hAnsi="Arial" w:cs="Arial"/>
          <w:sz w:val="20"/>
          <w:lang w:val="en-GB"/>
        </w:rPr>
        <w:t>, 3–36 (2011).</w:t>
      </w:r>
    </w:p>
    <w:p w14:paraId="446D39D6" w14:textId="0B936C7A"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17.</w:t>
      </w:r>
      <w:r w:rsidRPr="00E92A52">
        <w:rPr>
          <w:rFonts w:ascii="Arial" w:hAnsi="Arial" w:cs="Arial"/>
          <w:sz w:val="20"/>
          <w:lang w:val="en-GB"/>
        </w:rPr>
        <w:tab/>
        <w:t xml:space="preserve">Wood, S. N. Stable and </w:t>
      </w:r>
      <w:r w:rsidR="0044352E">
        <w:rPr>
          <w:rFonts w:ascii="Arial" w:hAnsi="Arial" w:cs="Arial"/>
          <w:sz w:val="20"/>
          <w:lang w:val="en-GB"/>
        </w:rPr>
        <w:t>e</w:t>
      </w:r>
      <w:r w:rsidRPr="00E92A52">
        <w:rPr>
          <w:rFonts w:ascii="Arial" w:hAnsi="Arial" w:cs="Arial"/>
          <w:sz w:val="20"/>
          <w:lang w:val="en-GB"/>
        </w:rPr>
        <w:t xml:space="preserve">fficient </w:t>
      </w:r>
      <w:r w:rsidR="0044352E">
        <w:rPr>
          <w:rFonts w:ascii="Arial" w:hAnsi="Arial" w:cs="Arial"/>
          <w:sz w:val="20"/>
          <w:lang w:val="en-GB"/>
        </w:rPr>
        <w:t>m</w:t>
      </w:r>
      <w:r w:rsidRPr="00E92A52">
        <w:rPr>
          <w:rFonts w:ascii="Arial" w:hAnsi="Arial" w:cs="Arial"/>
          <w:sz w:val="20"/>
          <w:lang w:val="en-GB"/>
        </w:rPr>
        <w:t xml:space="preserve">ultiple </w:t>
      </w:r>
      <w:r w:rsidR="0044352E">
        <w:rPr>
          <w:rFonts w:ascii="Arial" w:hAnsi="Arial" w:cs="Arial"/>
          <w:sz w:val="20"/>
          <w:lang w:val="en-GB"/>
        </w:rPr>
        <w:t>s</w:t>
      </w:r>
      <w:r w:rsidRPr="00E92A52">
        <w:rPr>
          <w:rFonts w:ascii="Arial" w:hAnsi="Arial" w:cs="Arial"/>
          <w:sz w:val="20"/>
          <w:lang w:val="en-GB"/>
        </w:rPr>
        <w:t xml:space="preserve">moothing </w:t>
      </w:r>
      <w:r w:rsidR="0044352E">
        <w:rPr>
          <w:rFonts w:ascii="Arial" w:hAnsi="Arial" w:cs="Arial"/>
          <w:sz w:val="20"/>
          <w:lang w:val="en-GB"/>
        </w:rPr>
        <w:t>p</w:t>
      </w:r>
      <w:r w:rsidRPr="00E92A52">
        <w:rPr>
          <w:rFonts w:ascii="Arial" w:hAnsi="Arial" w:cs="Arial"/>
          <w:sz w:val="20"/>
          <w:lang w:val="en-GB"/>
        </w:rPr>
        <w:t xml:space="preserve">arameter </w:t>
      </w:r>
      <w:r w:rsidR="0044352E">
        <w:rPr>
          <w:rFonts w:ascii="Arial" w:hAnsi="Arial" w:cs="Arial"/>
          <w:sz w:val="20"/>
          <w:lang w:val="en-GB"/>
        </w:rPr>
        <w:t>e</w:t>
      </w:r>
      <w:r w:rsidRPr="00E92A52">
        <w:rPr>
          <w:rFonts w:ascii="Arial" w:hAnsi="Arial" w:cs="Arial"/>
          <w:sz w:val="20"/>
          <w:lang w:val="en-GB"/>
        </w:rPr>
        <w:t xml:space="preserve">stimation for </w:t>
      </w:r>
      <w:r w:rsidR="0044352E">
        <w:rPr>
          <w:rFonts w:ascii="Arial" w:hAnsi="Arial" w:cs="Arial"/>
          <w:sz w:val="20"/>
          <w:lang w:val="en-GB"/>
        </w:rPr>
        <w:t>g</w:t>
      </w:r>
      <w:r w:rsidRPr="00E92A52">
        <w:rPr>
          <w:rFonts w:ascii="Arial" w:hAnsi="Arial" w:cs="Arial"/>
          <w:sz w:val="20"/>
          <w:lang w:val="en-GB"/>
        </w:rPr>
        <w:t xml:space="preserve">eneralized </w:t>
      </w:r>
      <w:r w:rsidR="0044352E">
        <w:rPr>
          <w:rFonts w:ascii="Arial" w:hAnsi="Arial" w:cs="Arial"/>
          <w:sz w:val="20"/>
          <w:lang w:val="en-GB"/>
        </w:rPr>
        <w:t>a</w:t>
      </w:r>
      <w:r w:rsidRPr="00E92A52">
        <w:rPr>
          <w:rFonts w:ascii="Arial" w:hAnsi="Arial" w:cs="Arial"/>
          <w:sz w:val="20"/>
          <w:lang w:val="en-GB"/>
        </w:rPr>
        <w:t xml:space="preserve">dditive </w:t>
      </w:r>
      <w:r w:rsidR="0044352E">
        <w:rPr>
          <w:rFonts w:ascii="Arial" w:hAnsi="Arial" w:cs="Arial"/>
          <w:sz w:val="20"/>
          <w:lang w:val="en-GB"/>
        </w:rPr>
        <w:t>m</w:t>
      </w:r>
      <w:r w:rsidRPr="00E92A52">
        <w:rPr>
          <w:rFonts w:ascii="Arial" w:hAnsi="Arial" w:cs="Arial"/>
          <w:sz w:val="20"/>
          <w:lang w:val="en-GB"/>
        </w:rPr>
        <w:t xml:space="preserve">odels. </w:t>
      </w:r>
      <w:r w:rsidRPr="00E92A52">
        <w:rPr>
          <w:rFonts w:ascii="Arial" w:hAnsi="Arial" w:cs="Arial"/>
          <w:i/>
          <w:iCs/>
          <w:sz w:val="20"/>
          <w:lang w:val="en-GB"/>
        </w:rPr>
        <w:t>J. Am. Stat. Assoc.</w:t>
      </w:r>
      <w:r w:rsidRPr="00E92A52">
        <w:rPr>
          <w:rFonts w:ascii="Arial" w:hAnsi="Arial" w:cs="Arial"/>
          <w:sz w:val="20"/>
          <w:lang w:val="en-GB"/>
        </w:rPr>
        <w:t xml:space="preserve"> </w:t>
      </w:r>
      <w:r w:rsidRPr="00E92A52">
        <w:rPr>
          <w:rFonts w:ascii="Arial" w:hAnsi="Arial" w:cs="Arial"/>
          <w:b/>
          <w:bCs/>
          <w:sz w:val="20"/>
          <w:lang w:val="en-GB"/>
        </w:rPr>
        <w:t>99</w:t>
      </w:r>
      <w:r w:rsidRPr="00E92A52">
        <w:rPr>
          <w:rFonts w:ascii="Arial" w:hAnsi="Arial" w:cs="Arial"/>
          <w:sz w:val="20"/>
          <w:lang w:val="en-GB"/>
        </w:rPr>
        <w:t>, 673–686 (2004).</w:t>
      </w:r>
    </w:p>
    <w:p w14:paraId="2D50999D" w14:textId="292F0F68"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18.</w:t>
      </w:r>
      <w:r w:rsidRPr="00E92A52">
        <w:rPr>
          <w:rFonts w:ascii="Arial" w:hAnsi="Arial" w:cs="Arial"/>
          <w:sz w:val="20"/>
          <w:lang w:val="en-GB"/>
        </w:rPr>
        <w:tab/>
        <w:t xml:space="preserve">Wood, S. N., Pya, N. &amp; Säfken, B. Smoothing </w:t>
      </w:r>
      <w:r w:rsidR="0044352E">
        <w:rPr>
          <w:rFonts w:ascii="Arial" w:hAnsi="Arial" w:cs="Arial"/>
          <w:sz w:val="20"/>
          <w:lang w:val="en-GB"/>
        </w:rPr>
        <w:t>p</w:t>
      </w:r>
      <w:r w:rsidRPr="00E92A52">
        <w:rPr>
          <w:rFonts w:ascii="Arial" w:hAnsi="Arial" w:cs="Arial"/>
          <w:sz w:val="20"/>
          <w:lang w:val="en-GB"/>
        </w:rPr>
        <w:t xml:space="preserve">arameter and </w:t>
      </w:r>
      <w:r w:rsidR="0044352E">
        <w:rPr>
          <w:rFonts w:ascii="Arial" w:hAnsi="Arial" w:cs="Arial"/>
          <w:sz w:val="20"/>
          <w:lang w:val="en-GB"/>
        </w:rPr>
        <w:t>m</w:t>
      </w:r>
      <w:r w:rsidRPr="00E92A52">
        <w:rPr>
          <w:rFonts w:ascii="Arial" w:hAnsi="Arial" w:cs="Arial"/>
          <w:sz w:val="20"/>
          <w:lang w:val="en-GB"/>
        </w:rPr>
        <w:t>odel</w:t>
      </w:r>
      <w:r w:rsidR="0044352E">
        <w:rPr>
          <w:rFonts w:ascii="Arial" w:hAnsi="Arial" w:cs="Arial"/>
          <w:sz w:val="20"/>
          <w:lang w:val="en-GB"/>
        </w:rPr>
        <w:t xml:space="preserve"> s</w:t>
      </w:r>
      <w:r w:rsidRPr="00E92A52">
        <w:rPr>
          <w:rFonts w:ascii="Arial" w:hAnsi="Arial" w:cs="Arial"/>
          <w:sz w:val="20"/>
          <w:lang w:val="en-GB"/>
        </w:rPr>
        <w:t xml:space="preserve">election for </w:t>
      </w:r>
      <w:r w:rsidR="0044352E">
        <w:rPr>
          <w:rFonts w:ascii="Arial" w:hAnsi="Arial" w:cs="Arial"/>
          <w:sz w:val="20"/>
          <w:lang w:val="en-GB"/>
        </w:rPr>
        <w:t>g</w:t>
      </w:r>
      <w:r w:rsidRPr="00E92A52">
        <w:rPr>
          <w:rFonts w:ascii="Arial" w:hAnsi="Arial" w:cs="Arial"/>
          <w:sz w:val="20"/>
          <w:lang w:val="en-GB"/>
        </w:rPr>
        <w:t xml:space="preserve">eneral </w:t>
      </w:r>
      <w:r w:rsidR="0044352E">
        <w:rPr>
          <w:rFonts w:ascii="Arial" w:hAnsi="Arial" w:cs="Arial"/>
          <w:sz w:val="20"/>
          <w:lang w:val="en-GB"/>
        </w:rPr>
        <w:t>s</w:t>
      </w:r>
      <w:r w:rsidRPr="00E92A52">
        <w:rPr>
          <w:rFonts w:ascii="Arial" w:hAnsi="Arial" w:cs="Arial"/>
          <w:sz w:val="20"/>
          <w:lang w:val="en-GB"/>
        </w:rPr>
        <w:t xml:space="preserve">mooth </w:t>
      </w:r>
      <w:r w:rsidR="0044352E">
        <w:rPr>
          <w:rFonts w:ascii="Arial" w:hAnsi="Arial" w:cs="Arial"/>
          <w:sz w:val="20"/>
          <w:lang w:val="en-GB"/>
        </w:rPr>
        <w:t>m</w:t>
      </w:r>
      <w:r w:rsidRPr="00E92A52">
        <w:rPr>
          <w:rFonts w:ascii="Arial" w:hAnsi="Arial" w:cs="Arial"/>
          <w:sz w:val="20"/>
          <w:lang w:val="en-GB"/>
        </w:rPr>
        <w:t xml:space="preserve">odels. </w:t>
      </w:r>
      <w:r w:rsidRPr="00E92A52">
        <w:rPr>
          <w:rFonts w:ascii="Arial" w:hAnsi="Arial" w:cs="Arial"/>
          <w:i/>
          <w:iCs/>
          <w:sz w:val="20"/>
          <w:lang w:val="en-GB"/>
        </w:rPr>
        <w:t>J. Am. Stat. Assoc.</w:t>
      </w:r>
      <w:r w:rsidRPr="00E92A52">
        <w:rPr>
          <w:rFonts w:ascii="Arial" w:hAnsi="Arial" w:cs="Arial"/>
          <w:sz w:val="20"/>
          <w:lang w:val="en-GB"/>
        </w:rPr>
        <w:t xml:space="preserve"> </w:t>
      </w:r>
      <w:r w:rsidRPr="00E92A52">
        <w:rPr>
          <w:rFonts w:ascii="Arial" w:hAnsi="Arial" w:cs="Arial"/>
          <w:b/>
          <w:bCs/>
          <w:sz w:val="20"/>
          <w:lang w:val="en-GB"/>
        </w:rPr>
        <w:t>111</w:t>
      </w:r>
      <w:r w:rsidRPr="00E92A52">
        <w:rPr>
          <w:rFonts w:ascii="Arial" w:hAnsi="Arial" w:cs="Arial"/>
          <w:sz w:val="20"/>
          <w:lang w:val="en-GB"/>
        </w:rPr>
        <w:t>, 1548–1563 (2016).</w:t>
      </w:r>
    </w:p>
    <w:p w14:paraId="0821F1D5"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19.</w:t>
      </w:r>
      <w:r w:rsidRPr="00E92A52">
        <w:rPr>
          <w:rFonts w:ascii="Arial" w:hAnsi="Arial" w:cs="Arial"/>
          <w:sz w:val="20"/>
          <w:lang w:val="en-GB"/>
        </w:rPr>
        <w:tab/>
        <w:t xml:space="preserve">Dunn, P. K. &amp; Smyth, G. K. Series evaluation of Tweedie exponential dispersion model densities. </w:t>
      </w:r>
      <w:r w:rsidRPr="00E92A52">
        <w:rPr>
          <w:rFonts w:ascii="Arial" w:hAnsi="Arial" w:cs="Arial"/>
          <w:i/>
          <w:iCs/>
          <w:sz w:val="20"/>
          <w:lang w:val="en-GB"/>
        </w:rPr>
        <w:t>Stat. Comput.</w:t>
      </w:r>
      <w:r w:rsidRPr="00E92A52">
        <w:rPr>
          <w:rFonts w:ascii="Arial" w:hAnsi="Arial" w:cs="Arial"/>
          <w:sz w:val="20"/>
          <w:lang w:val="en-GB"/>
        </w:rPr>
        <w:t xml:space="preserve"> </w:t>
      </w:r>
      <w:r w:rsidRPr="00E92A52">
        <w:rPr>
          <w:rFonts w:ascii="Arial" w:hAnsi="Arial" w:cs="Arial"/>
          <w:b/>
          <w:bCs/>
          <w:sz w:val="20"/>
          <w:lang w:val="en-GB"/>
        </w:rPr>
        <w:t>15</w:t>
      </w:r>
      <w:r w:rsidRPr="00E92A52">
        <w:rPr>
          <w:rFonts w:ascii="Arial" w:hAnsi="Arial" w:cs="Arial"/>
          <w:sz w:val="20"/>
          <w:lang w:val="en-GB"/>
        </w:rPr>
        <w:t>, 267–280 (2005).</w:t>
      </w:r>
    </w:p>
    <w:p w14:paraId="19472B08" w14:textId="12567E98"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20.</w:t>
      </w:r>
      <w:r w:rsidRPr="00E92A52">
        <w:rPr>
          <w:rFonts w:ascii="Arial" w:hAnsi="Arial" w:cs="Arial"/>
          <w:sz w:val="20"/>
          <w:lang w:val="en-GB"/>
        </w:rPr>
        <w:tab/>
        <w:t xml:space="preserve">G. E. P. Box, Jenkins, G. M. &amp; Reinsel, G. C. </w:t>
      </w:r>
      <w:r w:rsidRPr="00E92A52">
        <w:rPr>
          <w:rFonts w:ascii="Arial" w:hAnsi="Arial" w:cs="Arial"/>
          <w:i/>
          <w:iCs/>
          <w:sz w:val="20"/>
          <w:lang w:val="en-GB"/>
        </w:rPr>
        <w:t xml:space="preserve">Time </w:t>
      </w:r>
      <w:r w:rsidR="0044352E">
        <w:rPr>
          <w:rFonts w:ascii="Arial" w:hAnsi="Arial" w:cs="Arial"/>
          <w:i/>
          <w:iCs/>
          <w:sz w:val="20"/>
          <w:lang w:val="en-GB"/>
        </w:rPr>
        <w:t>s</w:t>
      </w:r>
      <w:r w:rsidRPr="00E92A52">
        <w:rPr>
          <w:rFonts w:ascii="Arial" w:hAnsi="Arial" w:cs="Arial"/>
          <w:i/>
          <w:iCs/>
          <w:sz w:val="20"/>
          <w:lang w:val="en-GB"/>
        </w:rPr>
        <w:t xml:space="preserve">eries </w:t>
      </w:r>
      <w:r w:rsidR="0044352E">
        <w:rPr>
          <w:rFonts w:ascii="Arial" w:hAnsi="Arial" w:cs="Arial"/>
          <w:i/>
          <w:iCs/>
          <w:sz w:val="20"/>
          <w:lang w:val="en-GB"/>
        </w:rPr>
        <w:t>a</w:t>
      </w:r>
      <w:r w:rsidRPr="00E92A52">
        <w:rPr>
          <w:rFonts w:ascii="Arial" w:hAnsi="Arial" w:cs="Arial"/>
          <w:i/>
          <w:iCs/>
          <w:sz w:val="20"/>
          <w:lang w:val="en-GB"/>
        </w:rPr>
        <w:t xml:space="preserve">nalysis: Forecasting and </w:t>
      </w:r>
      <w:r w:rsidR="0044352E">
        <w:rPr>
          <w:rFonts w:ascii="Arial" w:hAnsi="Arial" w:cs="Arial"/>
          <w:i/>
          <w:iCs/>
          <w:sz w:val="20"/>
          <w:lang w:val="en-GB"/>
        </w:rPr>
        <w:t>c</w:t>
      </w:r>
      <w:r w:rsidRPr="00E92A52">
        <w:rPr>
          <w:rFonts w:ascii="Arial" w:hAnsi="Arial" w:cs="Arial"/>
          <w:i/>
          <w:iCs/>
          <w:sz w:val="20"/>
          <w:lang w:val="en-GB"/>
        </w:rPr>
        <w:t>ontrol</w:t>
      </w:r>
      <w:r w:rsidRPr="00E92A52">
        <w:rPr>
          <w:rFonts w:ascii="Arial" w:hAnsi="Arial" w:cs="Arial"/>
          <w:sz w:val="20"/>
          <w:lang w:val="en-GB"/>
        </w:rPr>
        <w:t>. (Holden-Day, 1994).</w:t>
      </w:r>
    </w:p>
    <w:p w14:paraId="5A4AA3A7" w14:textId="5C6AAD1D"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21.</w:t>
      </w:r>
      <w:r w:rsidRPr="00E92A52">
        <w:rPr>
          <w:rFonts w:ascii="Arial" w:hAnsi="Arial" w:cs="Arial"/>
          <w:sz w:val="20"/>
          <w:lang w:val="en-GB"/>
        </w:rPr>
        <w:tab/>
        <w:t xml:space="preserve">Jones, R. H. </w:t>
      </w:r>
      <w:r w:rsidRPr="00E92A52">
        <w:rPr>
          <w:rFonts w:ascii="Arial" w:hAnsi="Arial" w:cs="Arial"/>
          <w:i/>
          <w:iCs/>
          <w:sz w:val="20"/>
          <w:lang w:val="en-GB"/>
        </w:rPr>
        <w:t xml:space="preserve">Longitudinal </w:t>
      </w:r>
      <w:r w:rsidR="0044352E">
        <w:rPr>
          <w:rFonts w:ascii="Arial" w:hAnsi="Arial" w:cs="Arial"/>
          <w:i/>
          <w:iCs/>
          <w:sz w:val="20"/>
          <w:lang w:val="en-GB"/>
        </w:rPr>
        <w:t>d</w:t>
      </w:r>
      <w:r w:rsidRPr="00E92A52">
        <w:rPr>
          <w:rFonts w:ascii="Arial" w:hAnsi="Arial" w:cs="Arial"/>
          <w:i/>
          <w:iCs/>
          <w:sz w:val="20"/>
          <w:lang w:val="en-GB"/>
        </w:rPr>
        <w:t xml:space="preserve">ata with </w:t>
      </w:r>
      <w:r w:rsidR="0044352E">
        <w:rPr>
          <w:rFonts w:ascii="Arial" w:hAnsi="Arial" w:cs="Arial"/>
          <w:i/>
          <w:iCs/>
          <w:sz w:val="20"/>
          <w:lang w:val="en-GB"/>
        </w:rPr>
        <w:t>s</w:t>
      </w:r>
      <w:r w:rsidRPr="00E92A52">
        <w:rPr>
          <w:rFonts w:ascii="Arial" w:hAnsi="Arial" w:cs="Arial"/>
          <w:i/>
          <w:iCs/>
          <w:sz w:val="20"/>
          <w:lang w:val="en-GB"/>
        </w:rPr>
        <w:t xml:space="preserve">erial </w:t>
      </w:r>
      <w:r w:rsidR="0044352E">
        <w:rPr>
          <w:rFonts w:ascii="Arial" w:hAnsi="Arial" w:cs="Arial"/>
          <w:i/>
          <w:iCs/>
          <w:sz w:val="20"/>
          <w:lang w:val="en-GB"/>
        </w:rPr>
        <w:t>c</w:t>
      </w:r>
      <w:r w:rsidRPr="00E92A52">
        <w:rPr>
          <w:rFonts w:ascii="Arial" w:hAnsi="Arial" w:cs="Arial"/>
          <w:i/>
          <w:iCs/>
          <w:sz w:val="20"/>
          <w:lang w:val="en-GB"/>
        </w:rPr>
        <w:t xml:space="preserve">orrelation: A </w:t>
      </w:r>
      <w:r w:rsidR="0044352E">
        <w:rPr>
          <w:rFonts w:ascii="Arial" w:hAnsi="Arial" w:cs="Arial"/>
          <w:i/>
          <w:iCs/>
          <w:sz w:val="20"/>
          <w:lang w:val="en-GB"/>
        </w:rPr>
        <w:t>s</w:t>
      </w:r>
      <w:r w:rsidRPr="00E92A52">
        <w:rPr>
          <w:rFonts w:ascii="Arial" w:hAnsi="Arial" w:cs="Arial"/>
          <w:i/>
          <w:iCs/>
          <w:sz w:val="20"/>
          <w:lang w:val="en-GB"/>
        </w:rPr>
        <w:t>tate-</w:t>
      </w:r>
      <w:r w:rsidR="0044352E">
        <w:rPr>
          <w:rFonts w:ascii="Arial" w:hAnsi="Arial" w:cs="Arial"/>
          <w:i/>
          <w:iCs/>
          <w:sz w:val="20"/>
          <w:lang w:val="en-GB"/>
        </w:rPr>
        <w:t>s</w:t>
      </w:r>
      <w:r w:rsidRPr="00E92A52">
        <w:rPr>
          <w:rFonts w:ascii="Arial" w:hAnsi="Arial" w:cs="Arial"/>
          <w:i/>
          <w:iCs/>
          <w:sz w:val="20"/>
          <w:lang w:val="en-GB"/>
        </w:rPr>
        <w:t xml:space="preserve">pace </w:t>
      </w:r>
      <w:r w:rsidR="0044352E">
        <w:rPr>
          <w:rFonts w:ascii="Arial" w:hAnsi="Arial" w:cs="Arial"/>
          <w:i/>
          <w:iCs/>
          <w:sz w:val="20"/>
          <w:lang w:val="en-GB"/>
        </w:rPr>
        <w:t>a</w:t>
      </w:r>
      <w:r w:rsidRPr="00E92A52">
        <w:rPr>
          <w:rFonts w:ascii="Arial" w:hAnsi="Arial" w:cs="Arial"/>
          <w:i/>
          <w:iCs/>
          <w:sz w:val="20"/>
          <w:lang w:val="en-GB"/>
        </w:rPr>
        <w:t>pproach</w:t>
      </w:r>
      <w:r w:rsidRPr="00E92A52">
        <w:rPr>
          <w:rFonts w:ascii="Arial" w:hAnsi="Arial" w:cs="Arial"/>
          <w:sz w:val="20"/>
          <w:lang w:val="en-GB"/>
        </w:rPr>
        <w:t>. (Chapman and Hall, 1993).</w:t>
      </w:r>
    </w:p>
    <w:p w14:paraId="7C751E06" w14:textId="4B5DF87B"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22.</w:t>
      </w:r>
      <w:r w:rsidRPr="00E92A52">
        <w:rPr>
          <w:rFonts w:ascii="Arial" w:hAnsi="Arial" w:cs="Arial"/>
          <w:sz w:val="20"/>
          <w:lang w:val="en-GB"/>
        </w:rPr>
        <w:tab/>
        <w:t xml:space="preserve">Olson, J. S. Energy </w:t>
      </w:r>
      <w:r w:rsidR="0044352E">
        <w:rPr>
          <w:rFonts w:ascii="Arial" w:hAnsi="Arial" w:cs="Arial"/>
          <w:sz w:val="20"/>
          <w:lang w:val="en-GB"/>
        </w:rPr>
        <w:t>s</w:t>
      </w:r>
      <w:r w:rsidRPr="00E92A52">
        <w:rPr>
          <w:rFonts w:ascii="Arial" w:hAnsi="Arial" w:cs="Arial"/>
          <w:sz w:val="20"/>
          <w:lang w:val="en-GB"/>
        </w:rPr>
        <w:t xml:space="preserve">torage and the </w:t>
      </w:r>
      <w:r w:rsidR="0044352E">
        <w:rPr>
          <w:rFonts w:ascii="Arial" w:hAnsi="Arial" w:cs="Arial"/>
          <w:sz w:val="20"/>
          <w:lang w:val="en-GB"/>
        </w:rPr>
        <w:t>b</w:t>
      </w:r>
      <w:r w:rsidRPr="00E92A52">
        <w:rPr>
          <w:rFonts w:ascii="Arial" w:hAnsi="Arial" w:cs="Arial"/>
          <w:sz w:val="20"/>
          <w:lang w:val="en-GB"/>
        </w:rPr>
        <w:t xml:space="preserve">alance of </w:t>
      </w:r>
      <w:r w:rsidR="0044352E">
        <w:rPr>
          <w:rFonts w:ascii="Arial" w:hAnsi="Arial" w:cs="Arial"/>
          <w:sz w:val="20"/>
          <w:lang w:val="en-GB"/>
        </w:rPr>
        <w:t>p</w:t>
      </w:r>
      <w:r w:rsidRPr="00E92A52">
        <w:rPr>
          <w:rFonts w:ascii="Arial" w:hAnsi="Arial" w:cs="Arial"/>
          <w:sz w:val="20"/>
          <w:lang w:val="en-GB"/>
        </w:rPr>
        <w:t xml:space="preserve">roducers and </w:t>
      </w:r>
      <w:r w:rsidR="0044352E">
        <w:rPr>
          <w:rFonts w:ascii="Arial" w:hAnsi="Arial" w:cs="Arial"/>
          <w:sz w:val="20"/>
          <w:lang w:val="en-GB"/>
        </w:rPr>
        <w:t>d</w:t>
      </w:r>
      <w:r w:rsidRPr="00E92A52">
        <w:rPr>
          <w:rFonts w:ascii="Arial" w:hAnsi="Arial" w:cs="Arial"/>
          <w:sz w:val="20"/>
          <w:lang w:val="en-GB"/>
        </w:rPr>
        <w:t xml:space="preserve">ecomposers in </w:t>
      </w:r>
      <w:r w:rsidR="0044352E">
        <w:rPr>
          <w:rFonts w:ascii="Arial" w:hAnsi="Arial" w:cs="Arial"/>
          <w:sz w:val="20"/>
          <w:lang w:val="en-GB"/>
        </w:rPr>
        <w:t>e</w:t>
      </w:r>
      <w:r w:rsidRPr="00E92A52">
        <w:rPr>
          <w:rFonts w:ascii="Arial" w:hAnsi="Arial" w:cs="Arial"/>
          <w:sz w:val="20"/>
          <w:lang w:val="en-GB"/>
        </w:rPr>
        <w:t xml:space="preserve">cological </w:t>
      </w:r>
      <w:r w:rsidR="0044352E">
        <w:rPr>
          <w:rFonts w:ascii="Arial" w:hAnsi="Arial" w:cs="Arial"/>
          <w:sz w:val="20"/>
          <w:lang w:val="en-GB"/>
        </w:rPr>
        <w:t>s</w:t>
      </w:r>
      <w:r w:rsidRPr="00E92A52">
        <w:rPr>
          <w:rFonts w:ascii="Arial" w:hAnsi="Arial" w:cs="Arial"/>
          <w:sz w:val="20"/>
          <w:lang w:val="en-GB"/>
        </w:rPr>
        <w:t xml:space="preserve">ystems. </w:t>
      </w:r>
      <w:r w:rsidRPr="00E92A52">
        <w:rPr>
          <w:rFonts w:ascii="Arial" w:hAnsi="Arial" w:cs="Arial"/>
          <w:i/>
          <w:iCs/>
          <w:sz w:val="20"/>
          <w:lang w:val="en-GB"/>
        </w:rPr>
        <w:t>Ecology</w:t>
      </w:r>
      <w:r w:rsidRPr="00E92A52">
        <w:rPr>
          <w:rFonts w:ascii="Arial" w:hAnsi="Arial" w:cs="Arial"/>
          <w:sz w:val="20"/>
          <w:lang w:val="en-GB"/>
        </w:rPr>
        <w:t xml:space="preserve"> </w:t>
      </w:r>
      <w:r w:rsidRPr="00E92A52">
        <w:rPr>
          <w:rFonts w:ascii="Arial" w:hAnsi="Arial" w:cs="Arial"/>
          <w:b/>
          <w:bCs/>
          <w:sz w:val="20"/>
          <w:lang w:val="en-GB"/>
        </w:rPr>
        <w:t>44</w:t>
      </w:r>
      <w:r w:rsidRPr="00E92A52">
        <w:rPr>
          <w:rFonts w:ascii="Arial" w:hAnsi="Arial" w:cs="Arial"/>
          <w:sz w:val="20"/>
          <w:lang w:val="en-GB"/>
        </w:rPr>
        <w:t>, 322–331 (1963).</w:t>
      </w:r>
    </w:p>
    <w:p w14:paraId="340DBCA6" w14:textId="77777777"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lastRenderedPageBreak/>
        <w:t>23.</w:t>
      </w:r>
      <w:r w:rsidRPr="00E92A52">
        <w:rPr>
          <w:rFonts w:ascii="Arial" w:hAnsi="Arial" w:cs="Arial"/>
          <w:sz w:val="20"/>
          <w:lang w:val="en-GB"/>
        </w:rPr>
        <w:tab/>
        <w:t xml:space="preserve">van Groenigen, K. J., Osenberg, C. W. &amp; Hungate, B. A. Increased soil emissions of potent greenhouse gases under increased atmospheric CO2. </w:t>
      </w:r>
      <w:r w:rsidRPr="00E92A52">
        <w:rPr>
          <w:rFonts w:ascii="Arial" w:hAnsi="Arial" w:cs="Arial"/>
          <w:i/>
          <w:iCs/>
          <w:sz w:val="20"/>
          <w:lang w:val="en-GB"/>
        </w:rPr>
        <w:t>Nature</w:t>
      </w:r>
      <w:r w:rsidRPr="00E92A52">
        <w:rPr>
          <w:rFonts w:ascii="Arial" w:hAnsi="Arial" w:cs="Arial"/>
          <w:sz w:val="20"/>
          <w:lang w:val="en-GB"/>
        </w:rPr>
        <w:t xml:space="preserve"> </w:t>
      </w:r>
      <w:r w:rsidRPr="00E92A52">
        <w:rPr>
          <w:rFonts w:ascii="Arial" w:hAnsi="Arial" w:cs="Arial"/>
          <w:b/>
          <w:bCs/>
          <w:sz w:val="20"/>
          <w:lang w:val="en-GB"/>
        </w:rPr>
        <w:t>475</w:t>
      </w:r>
      <w:r w:rsidRPr="00E92A52">
        <w:rPr>
          <w:rFonts w:ascii="Arial" w:hAnsi="Arial" w:cs="Arial"/>
          <w:sz w:val="20"/>
          <w:lang w:val="en-GB"/>
        </w:rPr>
        <w:t>, 214–216 (2011).</w:t>
      </w:r>
    </w:p>
    <w:p w14:paraId="0E0AF883" w14:textId="3204A436" w:rsidR="00E92A52" w:rsidRPr="00E92A52" w:rsidRDefault="00E92A52" w:rsidP="007063F8">
      <w:pPr>
        <w:pStyle w:val="Bibliography"/>
        <w:rPr>
          <w:rFonts w:ascii="Arial" w:hAnsi="Arial" w:cs="Arial"/>
          <w:sz w:val="20"/>
          <w:lang w:val="en-GB"/>
        </w:rPr>
      </w:pPr>
      <w:r w:rsidRPr="00E92A52">
        <w:rPr>
          <w:rFonts w:ascii="Arial" w:hAnsi="Arial" w:cs="Arial"/>
          <w:sz w:val="20"/>
          <w:lang w:val="en-GB"/>
        </w:rPr>
        <w:t>24.</w:t>
      </w:r>
      <w:r w:rsidRPr="00E92A52">
        <w:rPr>
          <w:rFonts w:ascii="Arial" w:hAnsi="Arial" w:cs="Arial"/>
          <w:sz w:val="20"/>
          <w:lang w:val="en-GB"/>
        </w:rPr>
        <w:tab/>
        <w:t xml:space="preserve">Bailey, P. &amp; Emad, A. </w:t>
      </w:r>
      <w:proofErr w:type="spellStart"/>
      <w:r w:rsidRPr="00E92A52">
        <w:rPr>
          <w:rFonts w:ascii="Arial" w:hAnsi="Arial" w:cs="Arial"/>
          <w:sz w:val="20"/>
          <w:lang w:val="en-GB"/>
        </w:rPr>
        <w:t>wCorr</w:t>
      </w:r>
      <w:proofErr w:type="spellEnd"/>
      <w:r w:rsidRPr="00E92A52">
        <w:rPr>
          <w:rFonts w:ascii="Arial" w:hAnsi="Arial" w:cs="Arial"/>
          <w:sz w:val="20"/>
          <w:lang w:val="en-GB"/>
        </w:rPr>
        <w:t xml:space="preserve">: Weighted </w:t>
      </w:r>
      <w:r w:rsidR="0044352E">
        <w:rPr>
          <w:rFonts w:ascii="Arial" w:hAnsi="Arial" w:cs="Arial"/>
          <w:sz w:val="20"/>
          <w:lang w:val="en-GB"/>
        </w:rPr>
        <w:t>c</w:t>
      </w:r>
      <w:r w:rsidRPr="00E92A52">
        <w:rPr>
          <w:rFonts w:ascii="Arial" w:hAnsi="Arial" w:cs="Arial"/>
          <w:sz w:val="20"/>
          <w:lang w:val="en-GB"/>
        </w:rPr>
        <w:t>orrelations. (2023).</w:t>
      </w:r>
    </w:p>
    <w:p w14:paraId="5957FAE1" w14:textId="689168D2" w:rsidR="008A102B" w:rsidRPr="00984C82" w:rsidRDefault="008A102B" w:rsidP="007063F8">
      <w:pPr>
        <w:spacing w:line="480" w:lineRule="auto"/>
        <w:rPr>
          <w:rFonts w:ascii="Arial" w:hAnsi="Arial" w:cs="Arial"/>
          <w:b/>
          <w:bCs/>
          <w:sz w:val="20"/>
          <w:szCs w:val="20"/>
          <w:lang w:val="en-US"/>
        </w:rPr>
      </w:pPr>
      <w:r w:rsidRPr="00984C82">
        <w:rPr>
          <w:rFonts w:ascii="Arial" w:hAnsi="Arial" w:cs="Arial"/>
          <w:b/>
          <w:bCs/>
          <w:sz w:val="20"/>
          <w:szCs w:val="20"/>
          <w:lang w:val="en-US"/>
        </w:rPr>
        <w:fldChar w:fldCharType="end"/>
      </w:r>
    </w:p>
    <w:sectPr w:rsidR="008A102B" w:rsidRPr="00984C82" w:rsidSect="007063F8">
      <w:footerReference w:type="even" r:id="rId7"/>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2665C" w14:textId="77777777" w:rsidR="003F6524" w:rsidRDefault="003F6524" w:rsidP="007063F8">
      <w:r>
        <w:separator/>
      </w:r>
    </w:p>
  </w:endnote>
  <w:endnote w:type="continuationSeparator" w:id="0">
    <w:p w14:paraId="018923D8" w14:textId="77777777" w:rsidR="003F6524" w:rsidRDefault="003F6524" w:rsidP="0070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9817479"/>
      <w:docPartObj>
        <w:docPartGallery w:val="Page Numbers (Bottom of Page)"/>
        <w:docPartUnique/>
      </w:docPartObj>
    </w:sdtPr>
    <w:sdtContent>
      <w:p w14:paraId="3B842665" w14:textId="41BCE6FB" w:rsidR="007063F8" w:rsidRDefault="007063F8" w:rsidP="00721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C80567" w14:textId="77777777" w:rsidR="007063F8" w:rsidRDefault="007063F8" w:rsidP="00706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0950366"/>
      <w:docPartObj>
        <w:docPartGallery w:val="Page Numbers (Bottom of Page)"/>
        <w:docPartUnique/>
      </w:docPartObj>
    </w:sdtPr>
    <w:sdtContent>
      <w:p w14:paraId="3B50AE2F" w14:textId="7BD9667D" w:rsidR="007063F8" w:rsidRDefault="007063F8" w:rsidP="00721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42A8BF" w14:textId="77777777" w:rsidR="007063F8" w:rsidRDefault="007063F8" w:rsidP="007063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BF586" w14:textId="77777777" w:rsidR="003F6524" w:rsidRDefault="003F6524" w:rsidP="007063F8">
      <w:r>
        <w:separator/>
      </w:r>
    </w:p>
  </w:footnote>
  <w:footnote w:type="continuationSeparator" w:id="0">
    <w:p w14:paraId="6786DCAB" w14:textId="77777777" w:rsidR="003F6524" w:rsidRDefault="003F6524" w:rsidP="00706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73EAE"/>
    <w:multiLevelType w:val="hybridMultilevel"/>
    <w:tmpl w:val="B2D4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C5EB6"/>
    <w:multiLevelType w:val="hybridMultilevel"/>
    <w:tmpl w:val="7776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D09C6"/>
    <w:multiLevelType w:val="hybridMultilevel"/>
    <w:tmpl w:val="3ECA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3086C"/>
    <w:multiLevelType w:val="hybridMultilevel"/>
    <w:tmpl w:val="9ADEA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515B77"/>
    <w:multiLevelType w:val="hybridMultilevel"/>
    <w:tmpl w:val="5908D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F1BDC"/>
    <w:multiLevelType w:val="hybridMultilevel"/>
    <w:tmpl w:val="104C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D868FC"/>
    <w:multiLevelType w:val="hybridMultilevel"/>
    <w:tmpl w:val="9F145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498158">
    <w:abstractNumId w:val="4"/>
  </w:num>
  <w:num w:numId="2" w16cid:durableId="1097213451">
    <w:abstractNumId w:val="0"/>
  </w:num>
  <w:num w:numId="3" w16cid:durableId="677539301">
    <w:abstractNumId w:val="1"/>
  </w:num>
  <w:num w:numId="4" w16cid:durableId="1898666272">
    <w:abstractNumId w:val="5"/>
  </w:num>
  <w:num w:numId="5" w16cid:durableId="1365860670">
    <w:abstractNumId w:val="3"/>
  </w:num>
  <w:num w:numId="6" w16cid:durableId="105470337">
    <w:abstractNumId w:val="6"/>
  </w:num>
  <w:num w:numId="7" w16cid:durableId="731319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AC"/>
    <w:rsid w:val="00157D97"/>
    <w:rsid w:val="0017015F"/>
    <w:rsid w:val="001746DB"/>
    <w:rsid w:val="001E76DC"/>
    <w:rsid w:val="001F720A"/>
    <w:rsid w:val="002A1066"/>
    <w:rsid w:val="002E5BD9"/>
    <w:rsid w:val="003F6524"/>
    <w:rsid w:val="00427419"/>
    <w:rsid w:val="0044352E"/>
    <w:rsid w:val="0045476D"/>
    <w:rsid w:val="0054204B"/>
    <w:rsid w:val="0055504B"/>
    <w:rsid w:val="005C1082"/>
    <w:rsid w:val="00700DAC"/>
    <w:rsid w:val="007063F8"/>
    <w:rsid w:val="00747BE0"/>
    <w:rsid w:val="00806526"/>
    <w:rsid w:val="008A102B"/>
    <w:rsid w:val="00975A74"/>
    <w:rsid w:val="00984C82"/>
    <w:rsid w:val="009E2F73"/>
    <w:rsid w:val="00AA0CCE"/>
    <w:rsid w:val="00B77CA4"/>
    <w:rsid w:val="00C20996"/>
    <w:rsid w:val="00C81DDC"/>
    <w:rsid w:val="00CB5BFF"/>
    <w:rsid w:val="00CC0AB8"/>
    <w:rsid w:val="00D207FD"/>
    <w:rsid w:val="00E92A52"/>
    <w:rsid w:val="00EC1C53"/>
    <w:rsid w:val="00F343BF"/>
    <w:rsid w:val="00F46D06"/>
    <w:rsid w:val="00FD4202"/>
    <w:rsid w:val="00FF38F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823"/>
  <w15:chartTrackingRefBased/>
  <w15:docId w15:val="{49BB6A0C-C51F-7E42-86CC-B00D95F3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DA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00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D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D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D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D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DAC"/>
    <w:rPr>
      <w:rFonts w:eastAsiaTheme="majorEastAsia" w:cstheme="majorBidi"/>
      <w:color w:val="272727" w:themeColor="text1" w:themeTint="D8"/>
    </w:rPr>
  </w:style>
  <w:style w:type="paragraph" w:styleId="Title">
    <w:name w:val="Title"/>
    <w:basedOn w:val="Normal"/>
    <w:next w:val="Normal"/>
    <w:link w:val="TitleChar"/>
    <w:uiPriority w:val="10"/>
    <w:qFormat/>
    <w:rsid w:val="00700D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DAC"/>
    <w:pPr>
      <w:spacing w:before="160"/>
      <w:jc w:val="center"/>
    </w:pPr>
    <w:rPr>
      <w:i/>
      <w:iCs/>
      <w:color w:val="404040" w:themeColor="text1" w:themeTint="BF"/>
    </w:rPr>
  </w:style>
  <w:style w:type="character" w:customStyle="1" w:styleId="QuoteChar">
    <w:name w:val="Quote Char"/>
    <w:basedOn w:val="DefaultParagraphFont"/>
    <w:link w:val="Quote"/>
    <w:uiPriority w:val="29"/>
    <w:rsid w:val="00700DAC"/>
    <w:rPr>
      <w:i/>
      <w:iCs/>
      <w:color w:val="404040" w:themeColor="text1" w:themeTint="BF"/>
    </w:rPr>
  </w:style>
  <w:style w:type="paragraph" w:styleId="ListParagraph">
    <w:name w:val="List Paragraph"/>
    <w:basedOn w:val="Normal"/>
    <w:uiPriority w:val="34"/>
    <w:qFormat/>
    <w:rsid w:val="00700DAC"/>
    <w:pPr>
      <w:ind w:left="720"/>
      <w:contextualSpacing/>
    </w:pPr>
  </w:style>
  <w:style w:type="character" w:styleId="IntenseEmphasis">
    <w:name w:val="Intense Emphasis"/>
    <w:basedOn w:val="DefaultParagraphFont"/>
    <w:uiPriority w:val="21"/>
    <w:qFormat/>
    <w:rsid w:val="00700DAC"/>
    <w:rPr>
      <w:i/>
      <w:iCs/>
      <w:color w:val="0F4761" w:themeColor="accent1" w:themeShade="BF"/>
    </w:rPr>
  </w:style>
  <w:style w:type="paragraph" w:styleId="IntenseQuote">
    <w:name w:val="Intense Quote"/>
    <w:basedOn w:val="Normal"/>
    <w:next w:val="Normal"/>
    <w:link w:val="IntenseQuoteChar"/>
    <w:uiPriority w:val="30"/>
    <w:qFormat/>
    <w:rsid w:val="00700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DAC"/>
    <w:rPr>
      <w:i/>
      <w:iCs/>
      <w:color w:val="0F4761" w:themeColor="accent1" w:themeShade="BF"/>
    </w:rPr>
  </w:style>
  <w:style w:type="character" w:styleId="IntenseReference">
    <w:name w:val="Intense Reference"/>
    <w:basedOn w:val="DefaultParagraphFont"/>
    <w:uiPriority w:val="32"/>
    <w:qFormat/>
    <w:rsid w:val="00700DAC"/>
    <w:rPr>
      <w:b/>
      <w:bCs/>
      <w:smallCaps/>
      <w:color w:val="0F4761" w:themeColor="accent1" w:themeShade="BF"/>
      <w:spacing w:val="5"/>
    </w:rPr>
  </w:style>
  <w:style w:type="paragraph" w:styleId="Bibliography">
    <w:name w:val="Bibliography"/>
    <w:basedOn w:val="Normal"/>
    <w:next w:val="Normal"/>
    <w:uiPriority w:val="37"/>
    <w:unhideWhenUsed/>
    <w:rsid w:val="008A102B"/>
    <w:pPr>
      <w:tabs>
        <w:tab w:val="left" w:pos="380"/>
        <w:tab w:val="left" w:pos="500"/>
      </w:tabs>
      <w:spacing w:line="480" w:lineRule="auto"/>
      <w:ind w:left="384" w:hanging="384"/>
    </w:pPr>
  </w:style>
  <w:style w:type="paragraph" w:styleId="Revision">
    <w:name w:val="Revision"/>
    <w:hidden/>
    <w:uiPriority w:val="99"/>
    <w:semiHidden/>
    <w:rsid w:val="00C81DDC"/>
    <w:pPr>
      <w:spacing w:after="0" w:line="240" w:lineRule="auto"/>
    </w:pPr>
    <w:rPr>
      <w:rFonts w:ascii="Times New Roman" w:eastAsia="Times New Roman" w:hAnsi="Times New Roman" w:cs="Times New Roman"/>
      <w:kern w:val="0"/>
      <w14:ligatures w14:val="none"/>
    </w:rPr>
  </w:style>
  <w:style w:type="character" w:styleId="LineNumber">
    <w:name w:val="line number"/>
    <w:basedOn w:val="DefaultParagraphFont"/>
    <w:uiPriority w:val="99"/>
    <w:semiHidden/>
    <w:unhideWhenUsed/>
    <w:rsid w:val="007063F8"/>
  </w:style>
  <w:style w:type="paragraph" w:styleId="Footer">
    <w:name w:val="footer"/>
    <w:basedOn w:val="Normal"/>
    <w:link w:val="FooterChar"/>
    <w:uiPriority w:val="99"/>
    <w:unhideWhenUsed/>
    <w:rsid w:val="007063F8"/>
    <w:pPr>
      <w:tabs>
        <w:tab w:val="center" w:pos="4513"/>
        <w:tab w:val="right" w:pos="9026"/>
      </w:tabs>
    </w:pPr>
  </w:style>
  <w:style w:type="character" w:customStyle="1" w:styleId="FooterChar">
    <w:name w:val="Footer Char"/>
    <w:basedOn w:val="DefaultParagraphFont"/>
    <w:link w:val="Footer"/>
    <w:uiPriority w:val="99"/>
    <w:rsid w:val="007063F8"/>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0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12105</Words>
  <Characters>69004</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Christian Sharp</dc:creator>
  <cp:keywords/>
  <dc:description/>
  <cp:lastModifiedBy>Adam Christian Sharp</cp:lastModifiedBy>
  <cp:revision>6</cp:revision>
  <dcterms:created xsi:type="dcterms:W3CDTF">2024-09-13T03:45:00Z</dcterms:created>
  <dcterms:modified xsi:type="dcterms:W3CDTF">2024-09-13T03:54:00Z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id="VuW7nvea"/&gt;&lt;style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