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381E" w:rsidRPr="00781193" w:rsidRDefault="0087381E" w:rsidP="0087381E">
      <w:pPr>
        <w:spacing w:before="240"/>
        <w:rPr>
          <w:rFonts w:ascii="Times New Roman" w:hAnsi="Times New Roman" w:cs="Times New Roman"/>
          <w:b/>
          <w:bCs/>
          <w:szCs w:val="24"/>
        </w:rPr>
      </w:pPr>
      <w:r>
        <w:rPr>
          <w:rFonts w:ascii="Times New Roman" w:hAnsi="Times New Roman" w:cs="Times New Roman"/>
          <w:b/>
          <w:bCs/>
          <w:szCs w:val="24"/>
        </w:rPr>
        <w:t xml:space="preserve">Table </w:t>
      </w:r>
      <w:r w:rsidR="00A245E2">
        <w:rPr>
          <w:rFonts w:ascii="Times New Roman" w:hAnsi="Times New Roman" w:cs="Times New Roman"/>
          <w:b/>
          <w:bCs/>
          <w:szCs w:val="24"/>
        </w:rPr>
        <w:t>S</w:t>
      </w:r>
      <w:r>
        <w:rPr>
          <w:rFonts w:ascii="Times New Roman" w:hAnsi="Times New Roman" w:cs="Times New Roman"/>
          <w:b/>
          <w:bCs/>
          <w:szCs w:val="24"/>
        </w:rPr>
        <w:t>1:</w:t>
      </w:r>
      <w:r w:rsidRPr="00781193">
        <w:rPr>
          <w:rFonts w:ascii="Times New Roman" w:hAnsi="Times New Roman" w:cs="Times New Roman"/>
          <w:bCs/>
          <w:szCs w:val="24"/>
        </w:rPr>
        <w:t xml:space="preserve"> Mechani</w:t>
      </w:r>
      <w:r w:rsidR="00E4549C">
        <w:rPr>
          <w:rFonts w:ascii="Times New Roman" w:hAnsi="Times New Roman" w:cs="Times New Roman"/>
          <w:bCs/>
          <w:szCs w:val="24"/>
        </w:rPr>
        <w:t>sm of action of some of the T2D</w:t>
      </w:r>
      <w:r w:rsidRPr="00781193">
        <w:rPr>
          <w:rFonts w:ascii="Times New Roman" w:hAnsi="Times New Roman" w:cs="Times New Roman"/>
          <w:bCs/>
          <w:szCs w:val="24"/>
        </w:rPr>
        <w:t xml:space="preserve"> prescribed drugs and their structural similarities with other prescribed drugs.</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611"/>
        <w:gridCol w:w="1238"/>
        <w:gridCol w:w="2145"/>
        <w:gridCol w:w="4022"/>
      </w:tblGrid>
      <w:tr w:rsidR="0087381E" w:rsidRPr="005C1BBB" w:rsidTr="006F4573">
        <w:trPr>
          <w:trHeight w:val="330"/>
        </w:trPr>
        <w:tc>
          <w:tcPr>
            <w:tcW w:w="823"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E4549C" w:rsidP="000B4FBA">
            <w:pPr>
              <w:spacing w:after="0" w:line="240" w:lineRule="auto"/>
              <w:jc w:val="center"/>
              <w:rPr>
                <w:rFonts w:ascii="Times New Roman" w:eastAsia="Times New Roman" w:hAnsi="Times New Roman" w:cs="Times New Roman"/>
                <w:b/>
                <w:bCs/>
                <w:color w:val="000000"/>
                <w:szCs w:val="24"/>
                <w:lang w:eastAsia="en-IN"/>
              </w:rPr>
            </w:pPr>
            <w:r>
              <w:rPr>
                <w:rFonts w:ascii="Times New Roman" w:eastAsia="Times New Roman" w:hAnsi="Times New Roman" w:cs="Times New Roman"/>
                <w:b/>
                <w:bCs/>
                <w:color w:val="000000"/>
                <w:szCs w:val="24"/>
                <w:lang w:eastAsia="en-IN"/>
              </w:rPr>
              <w:t>Prescribed drugs for T2D</w:t>
            </w:r>
            <w:bookmarkStart w:id="0" w:name="_GoBack"/>
            <w:bookmarkEnd w:id="0"/>
          </w:p>
        </w:tc>
        <w:tc>
          <w:tcPr>
            <w:tcW w:w="652"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b/>
                <w:bCs/>
                <w:color w:val="000000"/>
                <w:szCs w:val="24"/>
                <w:lang w:eastAsia="en-IN"/>
              </w:rPr>
            </w:pPr>
            <w:r w:rsidRPr="005C1BBB">
              <w:rPr>
                <w:rFonts w:ascii="Times New Roman" w:eastAsia="Times New Roman" w:hAnsi="Times New Roman" w:cs="Times New Roman"/>
                <w:b/>
                <w:bCs/>
                <w:color w:val="000000"/>
                <w:szCs w:val="24"/>
                <w:lang w:eastAsia="en-IN"/>
              </w:rPr>
              <w:t>Similarity score</w:t>
            </w:r>
          </w:p>
        </w:tc>
        <w:tc>
          <w:tcPr>
            <w:tcW w:w="1133"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b/>
                <w:bCs/>
                <w:color w:val="000000"/>
                <w:szCs w:val="24"/>
                <w:lang w:eastAsia="en-IN"/>
              </w:rPr>
            </w:pPr>
            <w:r w:rsidRPr="005C1BBB">
              <w:rPr>
                <w:rFonts w:ascii="Times New Roman" w:eastAsia="Times New Roman" w:hAnsi="Times New Roman" w:cs="Times New Roman"/>
                <w:b/>
                <w:bCs/>
                <w:color w:val="000000"/>
                <w:szCs w:val="24"/>
                <w:lang w:eastAsia="en-IN"/>
              </w:rPr>
              <w:t>Structural similarity with other prescribed drugs</w:t>
            </w:r>
          </w:p>
        </w:tc>
        <w:tc>
          <w:tcPr>
            <w:tcW w:w="2392"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b/>
                <w:bCs/>
                <w:color w:val="000000"/>
                <w:szCs w:val="24"/>
                <w:lang w:eastAsia="en-IN"/>
              </w:rPr>
            </w:pPr>
            <w:r w:rsidRPr="005C1BBB">
              <w:rPr>
                <w:rFonts w:ascii="Times New Roman" w:eastAsia="Times New Roman" w:hAnsi="Times New Roman" w:cs="Times New Roman"/>
                <w:b/>
                <w:bCs/>
                <w:color w:val="000000"/>
                <w:szCs w:val="24"/>
                <w:lang w:eastAsia="en-IN"/>
              </w:rPr>
              <w:t>Known mechanism of action/ Target</w:t>
            </w:r>
          </w:p>
        </w:tc>
      </w:tr>
      <w:tr w:rsidR="0087381E" w:rsidRPr="005C1BBB" w:rsidTr="006F4573">
        <w:trPr>
          <w:trHeight w:val="300"/>
        </w:trPr>
        <w:tc>
          <w:tcPr>
            <w:tcW w:w="823" w:type="pct"/>
            <w:vMerge w:val="restar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proofErr w:type="spellStart"/>
            <w:r w:rsidRPr="005C1BBB">
              <w:rPr>
                <w:rFonts w:ascii="Times New Roman" w:eastAsia="Times New Roman" w:hAnsi="Times New Roman" w:cs="Times New Roman"/>
                <w:color w:val="000000"/>
                <w:lang w:eastAsia="en-IN"/>
              </w:rPr>
              <w:t>Empagliflozin</w:t>
            </w:r>
            <w:proofErr w:type="spellEnd"/>
          </w:p>
        </w:tc>
        <w:tc>
          <w:tcPr>
            <w:tcW w:w="652"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r w:rsidRPr="005C1BBB">
              <w:rPr>
                <w:rFonts w:ascii="Times New Roman" w:eastAsia="Times New Roman" w:hAnsi="Times New Roman" w:cs="Times New Roman"/>
                <w:color w:val="000000"/>
                <w:lang w:eastAsia="en-IN"/>
              </w:rPr>
              <w:t>1.0</w:t>
            </w:r>
          </w:p>
        </w:tc>
        <w:tc>
          <w:tcPr>
            <w:tcW w:w="1133"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proofErr w:type="spellStart"/>
            <w:r w:rsidRPr="005C1BBB">
              <w:rPr>
                <w:rFonts w:ascii="Times New Roman" w:eastAsia="Times New Roman" w:hAnsi="Times New Roman" w:cs="Times New Roman"/>
                <w:color w:val="000000"/>
                <w:lang w:eastAsia="en-IN"/>
              </w:rPr>
              <w:t>Empagliflozin</w:t>
            </w:r>
            <w:proofErr w:type="spellEnd"/>
          </w:p>
        </w:tc>
        <w:tc>
          <w:tcPr>
            <w:tcW w:w="2392" w:type="pct"/>
            <w:vMerge w:val="restar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r w:rsidRPr="005C1BBB">
              <w:rPr>
                <w:rFonts w:ascii="Times New Roman" w:eastAsia="Times New Roman" w:hAnsi="Times New Roman" w:cs="Times New Roman"/>
                <w:color w:val="000000"/>
                <w:lang w:eastAsia="en-IN"/>
              </w:rPr>
              <w:t xml:space="preserve">Sodium-glucose co-transporter-2 (SGLT-2) inhibitor </w:t>
            </w:r>
          </w:p>
          <w:p w:rsidR="0087381E" w:rsidRPr="005C1BBB" w:rsidRDefault="0087381E" w:rsidP="000B4FBA">
            <w:pPr>
              <w:spacing w:after="0" w:line="240" w:lineRule="auto"/>
              <w:jc w:val="center"/>
              <w:rPr>
                <w:rFonts w:ascii="Times New Roman" w:hAnsi="Times New Roman" w:cs="Times New Roman"/>
              </w:rPr>
            </w:pPr>
            <w:r w:rsidRPr="005C1BBB">
              <w:rPr>
                <w:rFonts w:ascii="Times New Roman" w:hAnsi="Times New Roman" w:cs="Times New Roman"/>
              </w:rPr>
              <w:fldChar w:fldCharType="begin"/>
            </w:r>
            <w:r w:rsidRPr="005C1BBB">
              <w:rPr>
                <w:rFonts w:ascii="Times New Roman" w:hAnsi="Times New Roman" w:cs="Times New Roman"/>
              </w:rPr>
              <w:instrText>ADDIN CSL_CITATION { "citationItems" : [ { "id" : "ITEM-1", "itemData" : { "DOI" : "10.1007/s11255-020-02520-z", "ISSN" : "15732584", "PMID" : "32524495", "abstract" : "Background: This meta-analysis was conducted to examine the pleiotropic effects of all available antidiabetic agents except insulin for type 2 diabetes on renal and cardiovascular outcomes. Methods: A systematic literature search was performed in PubMed, EMBASE, and Cochrane database to identify randomized-controlled trials which compared the effectiveness between all antidiabetic agents apart from insulin regarding all aspects of renal and cardiovascular outcomes. Random effect model was utilized to compute for hazard ratio. Results: Nineteen articles with 140,851 participants were included in this meta-analysis. When compared with placebo, SGLT-2 inhibitors, GLP-1 agonists, and DPP-4 inhibitors exhibited significantly lower hazard ratios of progression of albuminuria. SGLT-2 inhibitors and DPP-4 inhibitors showed a significantly higher hazard ratio of regression of albuminuria. Only SGLT-2 inhibitors illustrated significantly lower hazard ratios of doubling of serum creatinine and incidence of renal replacement therapy (RRT). A significantly lower hazard ratio of composite renal outcome was detected in both SGLT-2 inhibitors and GLP-1 agonists. A significantly lower hazard ratio of all-cause mortality was identified in SGLT-2 inhibitors and GLP-1 agonist. Furthermore, a significantly lower hazard ratio of cardiovascular mortality was found in both SGLT-2 inhibitors and GLP-1 agonists. Conclusion: Comparing across all antidiabetic agents apart from insulin, SGLT-2 inhibitors provided extensively renoprotective effects among diabetic patients as well as reduced hazard ratios of heart failure, cardiovascular mortality, and all-cause mortality. GLP-1 agonists yielded benefits regarding progression of albuminuria, composite renal outcome, and cardiovascular and all-cause mortalities. DPP-4 inhibitors offered only renal protection including progression and regression of albuminuria.", "author" : [ { "dropping-particle" : "", "family" : "Chewcharat", "given" : "Api", "non-dropping-particle" : "", "parse-names" : false, "suffix" : "" }, { "dropping-particle" : "", "family" : "Takkavatakarn", "given" : "Kullaya", "non-dropping-particle" : "", "parse-names" : false, "suffix" : "" }, { "dropping-particle" : "", "family" : "Isaranuwatchai", "given" : "Suramath", "non-dropping-particle" : "", "parse-names" : false, "suffix" : "" }, { "dropping-particle" : "", "family" : "Katavetin", "given" : "Pisut", "non-dropping-particle" : "", "parse-names" : false, "suffix" : "" }, { "dropping-particle" : "", "family" : "Praditpornsilpa", "given" : "Kearkiat", "non-dropping-particle" : "", "parse-names" : false, "suffix" : "" }, { "dropping-particle" : "", "family" : "Eiam-ong", "given" : "Somchai", "non-dropping-particle" : "", "parse-names" : false, "suffix" : "" }, { "dropping-particle" : "", "family" : "Susantitaphong", "given" : "Paweena", "non-dropping-particle" : "", "parse-names" : false, "suffix" : "" } ], "container-title" : "International Urology and Nephrology", "id" : "ITEM-1", "issue" : "9", "issued" : { "date-parts" : [ [ "2020" ] ] }, "page" : "1733-1745", "title" : "Pleiotropic effects of antidiabetic agents on renal and cardiovascular outcomes: a meta-analysis of randomized controlled trials", "type" : "article-journal", "volume" : "52" }, "uris" : [ "http://www.mendeley.com/documents/?uuid=769f1f92-9845-4e49-af6b-06aff02f7240" ] }, { "id" : "ITEM-2", "itemData" : { "DOI" : "10.1007/s00592-016-0892-7", "ISSN" : "14325233", "PMID" : "27488726", "abstract" : "Aims: EMPAREG OUTCOME study showed a reduction in cardiovascular events in patients treated with the sodium-glucose transporter 2 inhibitor (SGLT2i) empagliflozin, as compared to placebo. Other drugs of the same class are currently been investigated for cardiovascular outcomes. In the meanwhile, a re-analysis of data collected in available studies can add relevant insight. Methods: A MEDLINE search for SGLT-2 inhibitors (dapagliflozin, empagliflozin, canagliflozin, ipragliflozin, ertugliflozin, luseogliflozin) was performed, collecting all randomized trials up to November 16, 2015. All trials with a duration of treatment \u226512\u00a0weeks, enrolling patients with type 2 diabetes, comparing a SGLT2i with placebo or other comparators were included. The principal outcome was the effect of SGLT2i on all-cause and cardiovascular mortality. Secondary endpoints were myocardial infarction and stroke. Mantel\u2013Haenszel odds ratio with 95\u00a0% confidence interval (MH-OR) was calculated. Results: A total of 71 trials were included (31,199 and 16,088 patients in SGLT2i and comparator groups). Treatment with SGLT2i was associated with a significant reduction in all-cause mortality (MH-OR 0.70 [0.59\u20130.83], p\u00a0&lt;\u00a00.001), cardiovascular mortality (MH-OR 0.43 [0.36\u20130.53], p\u00a0&lt;\u00a00.001), and myocardial infarction (MH-OR 0.77 [0.63\u20130.94], p\u00a0&lt;\u00a00.01), but not stroke (MH-OR 1.09 [0.86\u20131.38], p\u00a0=\u00a00.50), with no apparent difference across molecules (after excluding cardiovascular outcome trials). Conclusions: Available data suggest that the beneficial action observed with empagliflozin on all-cause and cardiovascular mortality in EMPAREG OUTCOME study is a class effect. The present meta-analysis showed a significantly reduction in myocardial infarction, with no increased risk of stroke.", "author" : [ { "dropping-particle" : "", "family" : "Monami", "given" : "Matteo", "non-dropping-particle" : "", "parse-names" : false, "suffix" : "" }, { "dropping-particle" : "", "family" : "Dicembrini", "given" : "Ilaria", "non-dropping-particle" : "", "parse-names" : false, "suffix" : "" }, { "dropping-particle" : "", "family" : "Mannucci", "given" : "Edoardo", "non-dropping-particle" : "", "parse-names" : false, "suffix" : "" } ], "container-title" : "Acta Diabetologica", "id" : "ITEM-2", "issue" : "1", "issued" : { "date-parts" : [ [ "2017" ] ] }, "page" : "19-36", "title" : "Effects of SGLT-2 inhibitors on mortality and cardiovascular events: a comprehensive meta-analysis of randomized controlled trials", "type" : "article-journal", "volume" : "54" }, "uris" : [ "http://www.mendeley.com/documents/?uuid=a4cd1416-629c-44f6-8d5a-4c536a9121da" ] } ], "mendeley" : { "formattedCitation" : "(Chewcharat et al., 2020; Monami et al., 2017)", "plainTextFormattedCitation" : "(Chewcharat et al., 2020; Monami et al., 2017)", "previouslyFormattedCitation" : "(Chewcharat et al., 2020; Monami et al., 2017)" }, "properties" : { "noteIndex" : 0 }, "schema" : "https://github.com/citation-style-language/schema/raw/master/csl-citation.json" }</w:instrText>
            </w:r>
            <w:r w:rsidRPr="005C1BBB">
              <w:rPr>
                <w:rFonts w:ascii="Times New Roman" w:hAnsi="Times New Roman" w:cs="Times New Roman"/>
              </w:rPr>
              <w:fldChar w:fldCharType="separate"/>
            </w:r>
            <w:bookmarkStart w:id="1" w:name="__Fieldmark__160_770016373"/>
            <w:r w:rsidRPr="005C1BBB">
              <w:rPr>
                <w:rFonts w:ascii="Times New Roman" w:eastAsia="Times New Roman" w:hAnsi="Times New Roman" w:cs="Times New Roman"/>
                <w:color w:val="000000"/>
                <w:lang w:eastAsia="en-IN"/>
              </w:rPr>
              <w:t>(</w:t>
            </w:r>
            <w:bookmarkStart w:id="2" w:name="__Fieldmark__167_43424498"/>
            <w:r w:rsidRPr="005C1BBB">
              <w:rPr>
                <w:rFonts w:ascii="Times New Roman" w:eastAsia="Times New Roman" w:hAnsi="Times New Roman" w:cs="Times New Roman"/>
                <w:color w:val="000000"/>
                <w:lang w:eastAsia="en-IN"/>
              </w:rPr>
              <w:t>Chewcharat et al., 2020; Monami et al., 2017)</w:t>
            </w:r>
            <w:bookmarkEnd w:id="1"/>
            <w:bookmarkEnd w:id="2"/>
            <w:r w:rsidRPr="005C1BBB">
              <w:rPr>
                <w:rFonts w:ascii="Times New Roman" w:hAnsi="Times New Roman" w:cs="Times New Roman"/>
              </w:rPr>
              <w:fldChar w:fldCharType="end"/>
            </w:r>
          </w:p>
        </w:tc>
      </w:tr>
      <w:tr w:rsidR="0087381E" w:rsidRPr="005C1BBB" w:rsidTr="006F4573">
        <w:trPr>
          <w:trHeight w:val="300"/>
        </w:trPr>
        <w:tc>
          <w:tcPr>
            <w:tcW w:w="823" w:type="pct"/>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p>
        </w:tc>
        <w:tc>
          <w:tcPr>
            <w:tcW w:w="652"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0.9661</w:t>
            </w:r>
          </w:p>
        </w:tc>
        <w:tc>
          <w:tcPr>
            <w:tcW w:w="1133"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proofErr w:type="spellStart"/>
            <w:r w:rsidRPr="005C1BBB">
              <w:rPr>
                <w:rFonts w:ascii="Times New Roman" w:eastAsia="Times New Roman" w:hAnsi="Times New Roman" w:cs="Times New Roman"/>
                <w:color w:val="000000"/>
                <w:lang w:eastAsia="en-IN"/>
              </w:rPr>
              <w:t>Dapagliflozin</w:t>
            </w:r>
            <w:proofErr w:type="spellEnd"/>
          </w:p>
        </w:tc>
        <w:tc>
          <w:tcPr>
            <w:tcW w:w="2392" w:type="pct"/>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87381E" w:rsidRPr="005C1BBB" w:rsidRDefault="0087381E" w:rsidP="000B4FBA">
            <w:pPr>
              <w:spacing w:after="0" w:line="240" w:lineRule="auto"/>
              <w:rPr>
                <w:rFonts w:ascii="Times New Roman" w:eastAsia="Times New Roman" w:hAnsi="Times New Roman" w:cs="Times New Roman"/>
                <w:color w:val="000000"/>
                <w:lang w:eastAsia="en-IN"/>
              </w:rPr>
            </w:pPr>
          </w:p>
        </w:tc>
      </w:tr>
      <w:tr w:rsidR="0087381E" w:rsidRPr="005C1BBB" w:rsidTr="006F4573">
        <w:trPr>
          <w:trHeight w:val="300"/>
        </w:trPr>
        <w:tc>
          <w:tcPr>
            <w:tcW w:w="823" w:type="pct"/>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p>
        </w:tc>
        <w:tc>
          <w:tcPr>
            <w:tcW w:w="652"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0.8712</w:t>
            </w:r>
          </w:p>
        </w:tc>
        <w:tc>
          <w:tcPr>
            <w:tcW w:w="1133"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proofErr w:type="spellStart"/>
            <w:r w:rsidRPr="005C1BBB">
              <w:rPr>
                <w:rFonts w:ascii="Times New Roman" w:eastAsia="Times New Roman" w:hAnsi="Times New Roman" w:cs="Times New Roman"/>
                <w:color w:val="000000"/>
                <w:lang w:eastAsia="en-IN"/>
              </w:rPr>
              <w:t>Ertugliflozin</w:t>
            </w:r>
            <w:proofErr w:type="spellEnd"/>
          </w:p>
        </w:tc>
        <w:tc>
          <w:tcPr>
            <w:tcW w:w="2392" w:type="pct"/>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87381E" w:rsidRPr="005C1BBB" w:rsidRDefault="0087381E" w:rsidP="000B4FBA">
            <w:pPr>
              <w:spacing w:after="0" w:line="240" w:lineRule="auto"/>
              <w:rPr>
                <w:rFonts w:ascii="Times New Roman" w:eastAsia="Times New Roman" w:hAnsi="Times New Roman" w:cs="Times New Roman"/>
                <w:color w:val="000000"/>
                <w:lang w:eastAsia="en-IN"/>
              </w:rPr>
            </w:pPr>
          </w:p>
        </w:tc>
      </w:tr>
      <w:tr w:rsidR="0087381E" w:rsidRPr="005C1BBB" w:rsidTr="006F4573">
        <w:trPr>
          <w:trHeight w:val="300"/>
        </w:trPr>
        <w:tc>
          <w:tcPr>
            <w:tcW w:w="823" w:type="pct"/>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p>
        </w:tc>
        <w:tc>
          <w:tcPr>
            <w:tcW w:w="652"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0.8233</w:t>
            </w:r>
          </w:p>
        </w:tc>
        <w:tc>
          <w:tcPr>
            <w:tcW w:w="1133"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proofErr w:type="spellStart"/>
            <w:r w:rsidRPr="005C1BBB">
              <w:rPr>
                <w:rFonts w:ascii="Times New Roman" w:eastAsia="Times New Roman" w:hAnsi="Times New Roman" w:cs="Times New Roman"/>
                <w:color w:val="000000"/>
                <w:lang w:eastAsia="en-IN"/>
              </w:rPr>
              <w:t>Ipragliflozin</w:t>
            </w:r>
            <w:proofErr w:type="spellEnd"/>
          </w:p>
        </w:tc>
        <w:tc>
          <w:tcPr>
            <w:tcW w:w="2392" w:type="pct"/>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87381E" w:rsidRPr="005C1BBB" w:rsidRDefault="0087381E" w:rsidP="000B4FBA">
            <w:pPr>
              <w:spacing w:after="0" w:line="240" w:lineRule="auto"/>
              <w:rPr>
                <w:rFonts w:ascii="Times New Roman" w:eastAsia="Times New Roman" w:hAnsi="Times New Roman" w:cs="Times New Roman"/>
                <w:color w:val="000000"/>
                <w:lang w:eastAsia="en-IN"/>
              </w:rPr>
            </w:pPr>
          </w:p>
        </w:tc>
      </w:tr>
      <w:tr w:rsidR="0087381E" w:rsidRPr="005C1BBB" w:rsidTr="006F4573">
        <w:trPr>
          <w:trHeight w:val="300"/>
        </w:trPr>
        <w:tc>
          <w:tcPr>
            <w:tcW w:w="823" w:type="pct"/>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p>
        </w:tc>
        <w:tc>
          <w:tcPr>
            <w:tcW w:w="652"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0.8195</w:t>
            </w:r>
          </w:p>
        </w:tc>
        <w:tc>
          <w:tcPr>
            <w:tcW w:w="1133"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proofErr w:type="spellStart"/>
            <w:r w:rsidRPr="005C1BBB">
              <w:rPr>
                <w:rFonts w:ascii="Times New Roman" w:eastAsia="Times New Roman" w:hAnsi="Times New Roman" w:cs="Times New Roman"/>
                <w:color w:val="000000"/>
                <w:lang w:eastAsia="en-IN"/>
              </w:rPr>
              <w:t>Luseogliflozin</w:t>
            </w:r>
            <w:proofErr w:type="spellEnd"/>
          </w:p>
        </w:tc>
        <w:tc>
          <w:tcPr>
            <w:tcW w:w="2392" w:type="pct"/>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87381E" w:rsidRPr="005C1BBB" w:rsidRDefault="0087381E" w:rsidP="000B4FBA">
            <w:pPr>
              <w:spacing w:after="0" w:line="240" w:lineRule="auto"/>
              <w:rPr>
                <w:rFonts w:ascii="Times New Roman" w:eastAsia="Times New Roman" w:hAnsi="Times New Roman" w:cs="Times New Roman"/>
                <w:color w:val="000000"/>
                <w:lang w:eastAsia="en-IN"/>
              </w:rPr>
            </w:pPr>
          </w:p>
        </w:tc>
      </w:tr>
      <w:tr w:rsidR="0087381E" w:rsidRPr="005C1BBB" w:rsidTr="006F4573">
        <w:trPr>
          <w:trHeight w:val="300"/>
        </w:trPr>
        <w:tc>
          <w:tcPr>
            <w:tcW w:w="823" w:type="pct"/>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p>
        </w:tc>
        <w:tc>
          <w:tcPr>
            <w:tcW w:w="652"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0.7904</w:t>
            </w:r>
          </w:p>
        </w:tc>
        <w:tc>
          <w:tcPr>
            <w:tcW w:w="1133"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proofErr w:type="spellStart"/>
            <w:r w:rsidRPr="005C1BBB">
              <w:rPr>
                <w:rFonts w:ascii="Times New Roman" w:eastAsia="Times New Roman" w:hAnsi="Times New Roman" w:cs="Times New Roman"/>
                <w:color w:val="000000"/>
                <w:lang w:eastAsia="en-IN"/>
              </w:rPr>
              <w:t>Canagliflozin</w:t>
            </w:r>
            <w:proofErr w:type="spellEnd"/>
          </w:p>
        </w:tc>
        <w:tc>
          <w:tcPr>
            <w:tcW w:w="2392" w:type="pct"/>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87381E" w:rsidRPr="005C1BBB" w:rsidRDefault="0087381E" w:rsidP="000B4FBA">
            <w:pPr>
              <w:spacing w:after="0" w:line="240" w:lineRule="auto"/>
              <w:rPr>
                <w:rFonts w:ascii="Times New Roman" w:eastAsia="Times New Roman" w:hAnsi="Times New Roman" w:cs="Times New Roman"/>
                <w:color w:val="000000"/>
                <w:lang w:eastAsia="en-IN"/>
              </w:rPr>
            </w:pPr>
          </w:p>
        </w:tc>
      </w:tr>
      <w:tr w:rsidR="0087381E" w:rsidRPr="005C1BBB" w:rsidTr="006F4573">
        <w:trPr>
          <w:trHeight w:val="315"/>
        </w:trPr>
        <w:tc>
          <w:tcPr>
            <w:tcW w:w="823" w:type="pct"/>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p>
        </w:tc>
        <w:tc>
          <w:tcPr>
            <w:tcW w:w="652"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0.7536</w:t>
            </w:r>
          </w:p>
        </w:tc>
        <w:tc>
          <w:tcPr>
            <w:tcW w:w="1133"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proofErr w:type="spellStart"/>
            <w:r w:rsidRPr="005C1BBB">
              <w:rPr>
                <w:rFonts w:ascii="Times New Roman" w:eastAsia="Times New Roman" w:hAnsi="Times New Roman" w:cs="Times New Roman"/>
                <w:color w:val="000000"/>
                <w:lang w:eastAsia="en-IN"/>
              </w:rPr>
              <w:t>Tofogliflozin</w:t>
            </w:r>
            <w:proofErr w:type="spellEnd"/>
          </w:p>
        </w:tc>
        <w:tc>
          <w:tcPr>
            <w:tcW w:w="2392" w:type="pct"/>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87381E" w:rsidRPr="005C1BBB" w:rsidRDefault="0087381E" w:rsidP="000B4FBA">
            <w:pPr>
              <w:spacing w:after="0" w:line="240" w:lineRule="auto"/>
              <w:rPr>
                <w:rFonts w:ascii="Times New Roman" w:eastAsia="Times New Roman" w:hAnsi="Times New Roman" w:cs="Times New Roman"/>
                <w:color w:val="000000"/>
                <w:lang w:eastAsia="en-IN"/>
              </w:rPr>
            </w:pPr>
          </w:p>
        </w:tc>
      </w:tr>
      <w:tr w:rsidR="0087381E" w:rsidRPr="005C1BBB" w:rsidTr="006F4573">
        <w:trPr>
          <w:trHeight w:val="315"/>
        </w:trPr>
        <w:tc>
          <w:tcPr>
            <w:tcW w:w="823" w:type="pct"/>
            <w:vMerge w:val="restar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proofErr w:type="spellStart"/>
            <w:r w:rsidRPr="005C1BBB">
              <w:rPr>
                <w:rFonts w:ascii="Times New Roman" w:eastAsia="Times New Roman" w:hAnsi="Times New Roman" w:cs="Times New Roman"/>
                <w:color w:val="000000"/>
                <w:lang w:eastAsia="en-IN"/>
              </w:rPr>
              <w:t>Luseogliflozin</w:t>
            </w:r>
            <w:proofErr w:type="spellEnd"/>
          </w:p>
        </w:tc>
        <w:tc>
          <w:tcPr>
            <w:tcW w:w="652"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r w:rsidRPr="005C1BBB">
              <w:rPr>
                <w:rFonts w:ascii="Times New Roman" w:hAnsi="Times New Roman" w:cs="Times New Roman"/>
                <w:color w:val="000000"/>
              </w:rPr>
              <w:t>1.0</w:t>
            </w:r>
          </w:p>
        </w:tc>
        <w:tc>
          <w:tcPr>
            <w:tcW w:w="1133"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proofErr w:type="spellStart"/>
            <w:r w:rsidRPr="005C1BBB">
              <w:rPr>
                <w:rFonts w:ascii="Times New Roman" w:hAnsi="Times New Roman" w:cs="Times New Roman"/>
                <w:color w:val="000000"/>
              </w:rPr>
              <w:t>Luseogliflozin</w:t>
            </w:r>
            <w:proofErr w:type="spellEnd"/>
          </w:p>
        </w:tc>
        <w:tc>
          <w:tcPr>
            <w:tcW w:w="2392" w:type="pct"/>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87381E" w:rsidRPr="005C1BBB" w:rsidRDefault="0087381E" w:rsidP="000B4FBA">
            <w:pPr>
              <w:spacing w:after="0" w:line="240" w:lineRule="auto"/>
              <w:rPr>
                <w:rFonts w:ascii="Times New Roman" w:eastAsia="Times New Roman" w:hAnsi="Times New Roman" w:cs="Times New Roman"/>
                <w:color w:val="000000"/>
                <w:lang w:eastAsia="en-IN"/>
              </w:rPr>
            </w:pPr>
          </w:p>
        </w:tc>
      </w:tr>
      <w:tr w:rsidR="0087381E" w:rsidRPr="005C1BBB" w:rsidTr="006F4573">
        <w:trPr>
          <w:trHeight w:val="315"/>
        </w:trPr>
        <w:tc>
          <w:tcPr>
            <w:tcW w:w="823" w:type="pct"/>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p>
        </w:tc>
        <w:tc>
          <w:tcPr>
            <w:tcW w:w="652"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r>
              <w:rPr>
                <w:rFonts w:ascii="Times New Roman" w:hAnsi="Times New Roman" w:cs="Times New Roman"/>
                <w:color w:val="000000"/>
              </w:rPr>
              <w:t>0.8449</w:t>
            </w:r>
          </w:p>
        </w:tc>
        <w:tc>
          <w:tcPr>
            <w:tcW w:w="1133"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proofErr w:type="spellStart"/>
            <w:r w:rsidRPr="005C1BBB">
              <w:rPr>
                <w:rFonts w:ascii="Times New Roman" w:hAnsi="Times New Roman" w:cs="Times New Roman"/>
                <w:color w:val="000000"/>
              </w:rPr>
              <w:t>Dapagliflozin</w:t>
            </w:r>
            <w:proofErr w:type="spellEnd"/>
          </w:p>
        </w:tc>
        <w:tc>
          <w:tcPr>
            <w:tcW w:w="2392" w:type="pct"/>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87381E" w:rsidRPr="005C1BBB" w:rsidRDefault="0087381E" w:rsidP="000B4FBA">
            <w:pPr>
              <w:spacing w:after="0" w:line="240" w:lineRule="auto"/>
              <w:rPr>
                <w:rFonts w:ascii="Times New Roman" w:eastAsia="Times New Roman" w:hAnsi="Times New Roman" w:cs="Times New Roman"/>
                <w:color w:val="000000"/>
                <w:lang w:eastAsia="en-IN"/>
              </w:rPr>
            </w:pPr>
          </w:p>
        </w:tc>
      </w:tr>
      <w:tr w:rsidR="0087381E" w:rsidRPr="005C1BBB" w:rsidTr="006F4573">
        <w:trPr>
          <w:trHeight w:val="315"/>
        </w:trPr>
        <w:tc>
          <w:tcPr>
            <w:tcW w:w="823" w:type="pct"/>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p>
        </w:tc>
        <w:tc>
          <w:tcPr>
            <w:tcW w:w="652"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r>
              <w:rPr>
                <w:rFonts w:ascii="Times New Roman" w:hAnsi="Times New Roman" w:cs="Times New Roman"/>
                <w:color w:val="000000"/>
              </w:rPr>
              <w:t>0.8195</w:t>
            </w:r>
          </w:p>
        </w:tc>
        <w:tc>
          <w:tcPr>
            <w:tcW w:w="1133"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proofErr w:type="spellStart"/>
            <w:r w:rsidRPr="005C1BBB">
              <w:rPr>
                <w:rFonts w:ascii="Times New Roman" w:hAnsi="Times New Roman" w:cs="Times New Roman"/>
                <w:color w:val="000000"/>
              </w:rPr>
              <w:t>Empagliflozin</w:t>
            </w:r>
            <w:proofErr w:type="spellEnd"/>
          </w:p>
        </w:tc>
        <w:tc>
          <w:tcPr>
            <w:tcW w:w="2392" w:type="pct"/>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87381E" w:rsidRPr="005C1BBB" w:rsidRDefault="0087381E" w:rsidP="000B4FBA">
            <w:pPr>
              <w:spacing w:after="0" w:line="240" w:lineRule="auto"/>
              <w:rPr>
                <w:rFonts w:ascii="Times New Roman" w:eastAsia="Times New Roman" w:hAnsi="Times New Roman" w:cs="Times New Roman"/>
                <w:color w:val="000000"/>
                <w:lang w:eastAsia="en-IN"/>
              </w:rPr>
            </w:pPr>
          </w:p>
        </w:tc>
      </w:tr>
      <w:tr w:rsidR="0087381E" w:rsidRPr="005C1BBB" w:rsidTr="006F4573">
        <w:trPr>
          <w:trHeight w:val="315"/>
        </w:trPr>
        <w:tc>
          <w:tcPr>
            <w:tcW w:w="823" w:type="pct"/>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p>
        </w:tc>
        <w:tc>
          <w:tcPr>
            <w:tcW w:w="652"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r>
              <w:rPr>
                <w:rFonts w:ascii="Times New Roman" w:hAnsi="Times New Roman" w:cs="Times New Roman"/>
                <w:color w:val="000000"/>
              </w:rPr>
              <w:t>0.7778</w:t>
            </w:r>
          </w:p>
        </w:tc>
        <w:tc>
          <w:tcPr>
            <w:tcW w:w="1133"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proofErr w:type="spellStart"/>
            <w:r w:rsidRPr="005C1BBB">
              <w:rPr>
                <w:rFonts w:ascii="Times New Roman" w:hAnsi="Times New Roman" w:cs="Times New Roman"/>
                <w:color w:val="000000"/>
              </w:rPr>
              <w:t>Tofogliflozin</w:t>
            </w:r>
            <w:proofErr w:type="spellEnd"/>
          </w:p>
        </w:tc>
        <w:tc>
          <w:tcPr>
            <w:tcW w:w="2392" w:type="pct"/>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87381E" w:rsidRPr="005C1BBB" w:rsidRDefault="0087381E" w:rsidP="000B4FBA">
            <w:pPr>
              <w:spacing w:after="0" w:line="240" w:lineRule="auto"/>
              <w:rPr>
                <w:rFonts w:ascii="Times New Roman" w:eastAsia="Times New Roman" w:hAnsi="Times New Roman" w:cs="Times New Roman"/>
                <w:color w:val="000000"/>
                <w:lang w:eastAsia="en-IN"/>
              </w:rPr>
            </w:pPr>
          </w:p>
        </w:tc>
      </w:tr>
      <w:tr w:rsidR="0087381E" w:rsidRPr="005C1BBB" w:rsidTr="006F4573">
        <w:trPr>
          <w:trHeight w:val="315"/>
        </w:trPr>
        <w:tc>
          <w:tcPr>
            <w:tcW w:w="823" w:type="pct"/>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p>
        </w:tc>
        <w:tc>
          <w:tcPr>
            <w:tcW w:w="652"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r w:rsidRPr="005C1BBB">
              <w:rPr>
                <w:rFonts w:ascii="Times New Roman" w:hAnsi="Times New Roman" w:cs="Times New Roman"/>
                <w:color w:val="000000"/>
              </w:rPr>
              <w:t>0.775</w:t>
            </w:r>
            <w:r>
              <w:rPr>
                <w:rFonts w:ascii="Times New Roman" w:hAnsi="Times New Roman" w:cs="Times New Roman"/>
                <w:color w:val="000000"/>
              </w:rPr>
              <w:t>0</w:t>
            </w:r>
          </w:p>
        </w:tc>
        <w:tc>
          <w:tcPr>
            <w:tcW w:w="1133"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proofErr w:type="spellStart"/>
            <w:r w:rsidRPr="005C1BBB">
              <w:rPr>
                <w:rFonts w:ascii="Times New Roman" w:hAnsi="Times New Roman" w:cs="Times New Roman"/>
                <w:color w:val="000000"/>
              </w:rPr>
              <w:t>Ipragliflozin</w:t>
            </w:r>
            <w:proofErr w:type="spellEnd"/>
          </w:p>
        </w:tc>
        <w:tc>
          <w:tcPr>
            <w:tcW w:w="2392" w:type="pct"/>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87381E" w:rsidRPr="005C1BBB" w:rsidRDefault="0087381E" w:rsidP="000B4FBA">
            <w:pPr>
              <w:spacing w:after="0" w:line="240" w:lineRule="auto"/>
              <w:rPr>
                <w:rFonts w:ascii="Times New Roman" w:eastAsia="Times New Roman" w:hAnsi="Times New Roman" w:cs="Times New Roman"/>
                <w:color w:val="000000"/>
                <w:lang w:eastAsia="en-IN"/>
              </w:rPr>
            </w:pPr>
          </w:p>
        </w:tc>
      </w:tr>
      <w:tr w:rsidR="0087381E" w:rsidRPr="005C1BBB" w:rsidTr="006F4573">
        <w:trPr>
          <w:trHeight w:val="315"/>
        </w:trPr>
        <w:tc>
          <w:tcPr>
            <w:tcW w:w="823" w:type="pct"/>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p>
        </w:tc>
        <w:tc>
          <w:tcPr>
            <w:tcW w:w="652"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r>
              <w:rPr>
                <w:rFonts w:ascii="Times New Roman" w:hAnsi="Times New Roman" w:cs="Times New Roman"/>
                <w:color w:val="000000"/>
              </w:rPr>
              <w:t>0.7569</w:t>
            </w:r>
          </w:p>
        </w:tc>
        <w:tc>
          <w:tcPr>
            <w:tcW w:w="1133"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proofErr w:type="spellStart"/>
            <w:r w:rsidRPr="005C1BBB">
              <w:rPr>
                <w:rFonts w:ascii="Times New Roman" w:hAnsi="Times New Roman" w:cs="Times New Roman"/>
                <w:color w:val="000000"/>
              </w:rPr>
              <w:t>Ertugliflozin</w:t>
            </w:r>
            <w:proofErr w:type="spellEnd"/>
          </w:p>
        </w:tc>
        <w:tc>
          <w:tcPr>
            <w:tcW w:w="2392" w:type="pct"/>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87381E" w:rsidRPr="005C1BBB" w:rsidRDefault="0087381E" w:rsidP="000B4FBA">
            <w:pPr>
              <w:spacing w:after="0" w:line="240" w:lineRule="auto"/>
              <w:rPr>
                <w:rFonts w:ascii="Times New Roman" w:eastAsia="Times New Roman" w:hAnsi="Times New Roman" w:cs="Times New Roman"/>
                <w:color w:val="000000"/>
                <w:lang w:eastAsia="en-IN"/>
              </w:rPr>
            </w:pPr>
          </w:p>
        </w:tc>
      </w:tr>
      <w:tr w:rsidR="0087381E" w:rsidRPr="005C1BBB" w:rsidTr="006F4573">
        <w:trPr>
          <w:trHeight w:val="315"/>
        </w:trPr>
        <w:tc>
          <w:tcPr>
            <w:tcW w:w="823" w:type="pct"/>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p>
        </w:tc>
        <w:tc>
          <w:tcPr>
            <w:tcW w:w="652"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r>
              <w:rPr>
                <w:rFonts w:ascii="Times New Roman" w:hAnsi="Times New Roman" w:cs="Times New Roman"/>
                <w:color w:val="000000"/>
              </w:rPr>
              <w:t>0.7386</w:t>
            </w:r>
          </w:p>
        </w:tc>
        <w:tc>
          <w:tcPr>
            <w:tcW w:w="1133"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proofErr w:type="spellStart"/>
            <w:r w:rsidRPr="005C1BBB">
              <w:rPr>
                <w:rFonts w:ascii="Times New Roman" w:hAnsi="Times New Roman" w:cs="Times New Roman"/>
                <w:color w:val="000000"/>
              </w:rPr>
              <w:t>Canagliflozin</w:t>
            </w:r>
            <w:proofErr w:type="spellEnd"/>
          </w:p>
        </w:tc>
        <w:tc>
          <w:tcPr>
            <w:tcW w:w="2392" w:type="pct"/>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87381E" w:rsidRPr="005C1BBB" w:rsidRDefault="0087381E" w:rsidP="000B4FBA">
            <w:pPr>
              <w:spacing w:after="0" w:line="240" w:lineRule="auto"/>
              <w:rPr>
                <w:rFonts w:ascii="Times New Roman" w:eastAsia="Times New Roman" w:hAnsi="Times New Roman" w:cs="Times New Roman"/>
                <w:color w:val="000000"/>
                <w:lang w:eastAsia="en-IN"/>
              </w:rPr>
            </w:pPr>
          </w:p>
        </w:tc>
      </w:tr>
      <w:tr w:rsidR="0087381E" w:rsidRPr="005C1BBB" w:rsidTr="006F4573">
        <w:trPr>
          <w:trHeight w:val="300"/>
        </w:trPr>
        <w:tc>
          <w:tcPr>
            <w:tcW w:w="823" w:type="pct"/>
            <w:vMerge w:val="restar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r w:rsidRPr="005C1BBB">
              <w:rPr>
                <w:rFonts w:ascii="Times New Roman" w:eastAsia="Times New Roman" w:hAnsi="Times New Roman" w:cs="Times New Roman"/>
                <w:color w:val="000000"/>
                <w:lang w:eastAsia="en-IN"/>
              </w:rPr>
              <w:t>Prednisolone</w:t>
            </w:r>
          </w:p>
        </w:tc>
        <w:tc>
          <w:tcPr>
            <w:tcW w:w="652"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r w:rsidRPr="005C1BBB">
              <w:rPr>
                <w:rFonts w:ascii="Times New Roman" w:eastAsia="Times New Roman" w:hAnsi="Times New Roman" w:cs="Times New Roman"/>
                <w:color w:val="000000"/>
                <w:lang w:eastAsia="en-IN"/>
              </w:rPr>
              <w:t>1.0</w:t>
            </w:r>
          </w:p>
        </w:tc>
        <w:tc>
          <w:tcPr>
            <w:tcW w:w="1133"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r w:rsidRPr="005C1BBB">
              <w:rPr>
                <w:rFonts w:ascii="Times New Roman" w:eastAsia="Times New Roman" w:hAnsi="Times New Roman" w:cs="Times New Roman"/>
                <w:color w:val="000000"/>
                <w:lang w:eastAsia="en-IN"/>
              </w:rPr>
              <w:t>Prednisolone</w:t>
            </w:r>
          </w:p>
        </w:tc>
        <w:tc>
          <w:tcPr>
            <w:tcW w:w="2392" w:type="pct"/>
            <w:vMerge w:val="restar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r w:rsidRPr="005C1BBB">
              <w:rPr>
                <w:rFonts w:ascii="Times New Roman" w:eastAsia="Times New Roman" w:hAnsi="Times New Roman" w:cs="Times New Roman"/>
                <w:color w:val="000000"/>
                <w:lang w:eastAsia="en-IN"/>
              </w:rPr>
              <w:t xml:space="preserve">Glucocorticoid receptor agonist </w:t>
            </w:r>
          </w:p>
          <w:p w:rsidR="0087381E" w:rsidRPr="005C1BBB" w:rsidRDefault="0087381E" w:rsidP="000B4FBA">
            <w:pPr>
              <w:spacing w:after="0" w:line="240" w:lineRule="auto"/>
              <w:jc w:val="center"/>
              <w:rPr>
                <w:rFonts w:ascii="Times New Roman" w:hAnsi="Times New Roman" w:cs="Times New Roman"/>
              </w:rPr>
            </w:pPr>
            <w:r w:rsidRPr="005C1BBB">
              <w:rPr>
                <w:rFonts w:ascii="Times New Roman" w:hAnsi="Times New Roman" w:cs="Times New Roman"/>
              </w:rPr>
              <w:fldChar w:fldCharType="begin"/>
            </w:r>
            <w:r w:rsidRPr="005C1BBB">
              <w:rPr>
                <w:rFonts w:ascii="Times New Roman" w:hAnsi="Times New Roman" w:cs="Times New Roman"/>
              </w:rPr>
              <w:instrText>ADDIN CSL_CITATION { "citationItems" : [ { "id" : "ITEM-1", "itemData" : { "DOI" : "10.1007/BF00316481", "ISSN" : "00316970", "PMID" : "8513854", "abstract" : "The role of intestinal absorption in the differential availability of prednisone (PN) and prednisolone metasulfobenzoate (PO-MS), which might account for clinical resistance to PO-MS, has been studied by an infusion technique. In a randomized cross-over design trial, a solution in isotonic saline of PN or PO-MS (115 mg\u00b7l-1 was infused at 5 ml\u00b7min-1 for 2 h, into a 25 cm segment of jejunum in 8 healthy fasting subjects. The intestinal content was partly collected and the flow rate at the end of the test segment was determined by using a water movement marker (PEG 4000). Plasma, intestinal and urine concentrations of PN and PO were determined by liquid chromatography. From the data on PO, the active molecule, the systemic availability of PO-MS was significantly smaller than of PN, with the respective mean AUCs being 1.71 and 3.60 mg\u00b7h-1. The difference was associated with smaller mean Cmax, 0.20 vs 0.64 mg\u00b7l-1, higher mean tmax, 2.94 vs 2.06 h and lower mean ka, 0.98 vs 2.18 l/h after PO-MS. No significant difference was found in the half-life or renal clearance of the formulations tested. The mean MRT was significantly increased after PO-MS, 6.82 vs 5.30 h. The observed difference probably reflected a difference in intestinal absorption. The mean absorption in the test segment of PO-MS was significantly smaller at 17.4 vs 85.5% for PN. The ester form may be a limiting factor in the intestinal absorption of PO. Therefore, the choice of PN or PO-MS should follow the therapeutic indication, depending on whether a major systemic effect or a prolonged intestinal local effect is preferred. \u00a9 1993 Springer-Verlag.", "author" : [ { "dropping-particle" : "", "family" : "Rollin", "given" : "C.", "non-dropping-particle" : "", "parse-names" : false, "suffix" : "" }, { "dropping-particle" : "", "family" : "Chosidow", "given" : "O.", "non-dropping-particle" : "", "parse-names" : false, "suffix" : "" }, { "dropping-particle" : "", "family" : "Diquet", "given" : "B.", "non-dropping-particle" : "", "parse-names" : false, "suffix" : "" }, { "dropping-particle" : "", "family" : "Dutreuil", "given" : "C.", "non-dropping-particle" : "", "parse-names" : false, "suffix" : "" }, { "dropping-particle" : "", "family" : "Herson", "given" : "S.", "non-dropping-particle" : "", "parse-names" : false, "suffix" : "" }, { "dropping-particle" : "", "family" : "Revuz", "given" : "J.", "non-dropping-particle" : "", "parse-names" : false, "suffix" : "" }, { "dropping-particle" : "", "family" : "Delchier", "given" : "J. C.", "non-dropping-particle" : "", "parse-names" : false, "suffix" : "" } ], "container-title" : "European Journal of Clinical Pharmacology", "id" : "ITEM-1", "issue" : "4", "issued" : { "date-parts" : [ [ "1993" ] ] }, "page" : "395-399", "title" : "Comparative study of availability of prednisolone after intestinal infusion of prednisolone metasulfobenzoate and prednisone", "type" : "article-journal", "volume" : "44" }, "uris" : [ "http://www.mendeley.com/documents/?uuid=06523b3f-f883-4aff-9283-5c92a1b67f3c" ] } ], "mendeley" : { "formattedCitation" : "(Rollin et al., 1993)", "plainTextFormattedCitation" : "(Rollin et al., 1993)", "previouslyFormattedCitation" : "(Rollin et al., 1993)" }, "properties" : { "noteIndex" : 0 }, "schema" : "https://github.com/citation-style-language/schema/raw/master/csl-citation.json" }</w:instrText>
            </w:r>
            <w:r w:rsidRPr="005C1BBB">
              <w:rPr>
                <w:rFonts w:ascii="Times New Roman" w:hAnsi="Times New Roman" w:cs="Times New Roman"/>
              </w:rPr>
              <w:fldChar w:fldCharType="separate"/>
            </w:r>
            <w:bookmarkStart w:id="3" w:name="__Fieldmark__198_770016373"/>
            <w:r w:rsidRPr="005C1BBB">
              <w:rPr>
                <w:rFonts w:ascii="Times New Roman" w:eastAsia="Times New Roman" w:hAnsi="Times New Roman" w:cs="Times New Roman"/>
                <w:color w:val="000000"/>
                <w:lang w:eastAsia="en-IN"/>
              </w:rPr>
              <w:t>(</w:t>
            </w:r>
            <w:bookmarkStart w:id="4" w:name="__Fieldmark__204_43424498"/>
            <w:r w:rsidRPr="005C1BBB">
              <w:rPr>
                <w:rFonts w:ascii="Times New Roman" w:eastAsia="Times New Roman" w:hAnsi="Times New Roman" w:cs="Times New Roman"/>
                <w:color w:val="000000"/>
                <w:lang w:eastAsia="en-IN"/>
              </w:rPr>
              <w:t>Rollin et al., 1993)</w:t>
            </w:r>
            <w:bookmarkEnd w:id="3"/>
            <w:bookmarkEnd w:id="4"/>
            <w:r w:rsidRPr="005C1BBB">
              <w:rPr>
                <w:rFonts w:ascii="Times New Roman" w:hAnsi="Times New Roman" w:cs="Times New Roman"/>
              </w:rPr>
              <w:fldChar w:fldCharType="end"/>
            </w:r>
          </w:p>
        </w:tc>
      </w:tr>
      <w:tr w:rsidR="0087381E" w:rsidRPr="005C1BBB" w:rsidTr="006F4573">
        <w:trPr>
          <w:trHeight w:val="300"/>
        </w:trPr>
        <w:tc>
          <w:tcPr>
            <w:tcW w:w="823" w:type="pct"/>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p>
        </w:tc>
        <w:tc>
          <w:tcPr>
            <w:tcW w:w="652"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0.9897</w:t>
            </w:r>
          </w:p>
        </w:tc>
        <w:tc>
          <w:tcPr>
            <w:tcW w:w="1133"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r w:rsidRPr="005C1BBB">
              <w:rPr>
                <w:rFonts w:ascii="Times New Roman" w:eastAsia="Times New Roman" w:hAnsi="Times New Roman" w:cs="Times New Roman"/>
                <w:color w:val="000000"/>
                <w:lang w:eastAsia="en-IN"/>
              </w:rPr>
              <w:t>Methylprednisolone</w:t>
            </w:r>
          </w:p>
        </w:tc>
        <w:tc>
          <w:tcPr>
            <w:tcW w:w="2392" w:type="pct"/>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87381E" w:rsidRPr="005C1BBB" w:rsidRDefault="0087381E" w:rsidP="000B4FBA">
            <w:pPr>
              <w:spacing w:after="0" w:line="240" w:lineRule="auto"/>
              <w:rPr>
                <w:rFonts w:ascii="Times New Roman" w:eastAsia="Times New Roman" w:hAnsi="Times New Roman" w:cs="Times New Roman"/>
                <w:color w:val="000000"/>
                <w:lang w:eastAsia="en-IN"/>
              </w:rPr>
            </w:pPr>
          </w:p>
        </w:tc>
      </w:tr>
      <w:tr w:rsidR="0087381E" w:rsidRPr="005C1BBB" w:rsidTr="006F4573">
        <w:trPr>
          <w:trHeight w:val="300"/>
        </w:trPr>
        <w:tc>
          <w:tcPr>
            <w:tcW w:w="823" w:type="pct"/>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p>
        </w:tc>
        <w:tc>
          <w:tcPr>
            <w:tcW w:w="652"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0.9257</w:t>
            </w:r>
          </w:p>
        </w:tc>
        <w:tc>
          <w:tcPr>
            <w:tcW w:w="1133"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r w:rsidRPr="005C1BBB">
              <w:rPr>
                <w:rFonts w:ascii="Times New Roman" w:eastAsia="Times New Roman" w:hAnsi="Times New Roman" w:cs="Times New Roman"/>
                <w:color w:val="000000"/>
                <w:lang w:eastAsia="en-IN"/>
              </w:rPr>
              <w:t>Prednisone</w:t>
            </w:r>
          </w:p>
        </w:tc>
        <w:tc>
          <w:tcPr>
            <w:tcW w:w="2392" w:type="pct"/>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87381E" w:rsidRPr="005C1BBB" w:rsidRDefault="0087381E" w:rsidP="000B4FBA">
            <w:pPr>
              <w:spacing w:after="0" w:line="240" w:lineRule="auto"/>
              <w:rPr>
                <w:rFonts w:ascii="Times New Roman" w:eastAsia="Times New Roman" w:hAnsi="Times New Roman" w:cs="Times New Roman"/>
                <w:color w:val="000000"/>
                <w:lang w:eastAsia="en-IN"/>
              </w:rPr>
            </w:pPr>
          </w:p>
        </w:tc>
      </w:tr>
      <w:tr w:rsidR="0087381E" w:rsidRPr="005C1BBB" w:rsidTr="006F4573">
        <w:trPr>
          <w:trHeight w:val="300"/>
        </w:trPr>
        <w:tc>
          <w:tcPr>
            <w:tcW w:w="823" w:type="pct"/>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p>
        </w:tc>
        <w:tc>
          <w:tcPr>
            <w:tcW w:w="652"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0.7983</w:t>
            </w:r>
          </w:p>
        </w:tc>
        <w:tc>
          <w:tcPr>
            <w:tcW w:w="1133"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r w:rsidRPr="005C1BBB">
              <w:rPr>
                <w:rFonts w:ascii="Times New Roman" w:eastAsia="Times New Roman" w:hAnsi="Times New Roman" w:cs="Times New Roman"/>
                <w:color w:val="000000"/>
                <w:lang w:eastAsia="en-IN"/>
              </w:rPr>
              <w:t>Prednisolone sodium phosphate</w:t>
            </w:r>
          </w:p>
        </w:tc>
        <w:tc>
          <w:tcPr>
            <w:tcW w:w="2392" w:type="pct"/>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87381E" w:rsidRPr="005C1BBB" w:rsidRDefault="0087381E" w:rsidP="000B4FBA">
            <w:pPr>
              <w:spacing w:after="0" w:line="240" w:lineRule="auto"/>
              <w:rPr>
                <w:rFonts w:ascii="Times New Roman" w:eastAsia="Times New Roman" w:hAnsi="Times New Roman" w:cs="Times New Roman"/>
                <w:color w:val="000000"/>
                <w:lang w:eastAsia="en-IN"/>
              </w:rPr>
            </w:pPr>
          </w:p>
        </w:tc>
      </w:tr>
      <w:tr w:rsidR="0087381E" w:rsidRPr="005C1BBB" w:rsidTr="006F4573">
        <w:trPr>
          <w:trHeight w:val="289"/>
        </w:trPr>
        <w:tc>
          <w:tcPr>
            <w:tcW w:w="823" w:type="pct"/>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p>
        </w:tc>
        <w:tc>
          <w:tcPr>
            <w:tcW w:w="652"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0.7950</w:t>
            </w:r>
          </w:p>
        </w:tc>
        <w:tc>
          <w:tcPr>
            <w:tcW w:w="1133"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r w:rsidRPr="005C1BBB">
              <w:rPr>
                <w:rFonts w:ascii="Times New Roman" w:eastAsia="Times New Roman" w:hAnsi="Times New Roman" w:cs="Times New Roman"/>
                <w:color w:val="000000"/>
                <w:lang w:eastAsia="en-IN"/>
              </w:rPr>
              <w:t>Methylprednisolone succinate</w:t>
            </w:r>
          </w:p>
        </w:tc>
        <w:tc>
          <w:tcPr>
            <w:tcW w:w="2392" w:type="pct"/>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87381E" w:rsidRPr="005C1BBB" w:rsidRDefault="0087381E" w:rsidP="000B4FBA">
            <w:pPr>
              <w:spacing w:after="0" w:line="240" w:lineRule="auto"/>
              <w:rPr>
                <w:rFonts w:ascii="Times New Roman" w:eastAsia="Times New Roman" w:hAnsi="Times New Roman" w:cs="Times New Roman"/>
                <w:color w:val="000000"/>
                <w:lang w:eastAsia="en-IN"/>
              </w:rPr>
            </w:pPr>
          </w:p>
        </w:tc>
      </w:tr>
      <w:tr w:rsidR="0087381E" w:rsidRPr="005C1BBB" w:rsidTr="006F4573">
        <w:trPr>
          <w:trHeight w:val="289"/>
        </w:trPr>
        <w:tc>
          <w:tcPr>
            <w:tcW w:w="823" w:type="pct"/>
            <w:vMerge w:val="restar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r w:rsidRPr="005C1BBB">
              <w:rPr>
                <w:rFonts w:ascii="Times New Roman" w:eastAsia="Times New Roman" w:hAnsi="Times New Roman" w:cs="Times New Roman"/>
                <w:color w:val="000000"/>
                <w:lang w:eastAsia="en-IN"/>
              </w:rPr>
              <w:t>Glimepiride</w:t>
            </w:r>
          </w:p>
        </w:tc>
        <w:tc>
          <w:tcPr>
            <w:tcW w:w="652"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r w:rsidRPr="005C1BBB">
              <w:rPr>
                <w:rFonts w:ascii="Times New Roman" w:eastAsia="Times New Roman" w:hAnsi="Times New Roman" w:cs="Times New Roman"/>
                <w:color w:val="000000"/>
                <w:lang w:eastAsia="en-IN"/>
              </w:rPr>
              <w:t>1.0</w:t>
            </w:r>
          </w:p>
        </w:tc>
        <w:tc>
          <w:tcPr>
            <w:tcW w:w="1133"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r w:rsidRPr="005C1BBB">
              <w:rPr>
                <w:rFonts w:ascii="Times New Roman" w:eastAsia="Times New Roman" w:hAnsi="Times New Roman" w:cs="Times New Roman"/>
                <w:color w:val="000000"/>
                <w:lang w:eastAsia="en-IN"/>
              </w:rPr>
              <w:t>Glimepiride</w:t>
            </w:r>
          </w:p>
        </w:tc>
        <w:tc>
          <w:tcPr>
            <w:tcW w:w="2392" w:type="pct"/>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87381E" w:rsidRPr="005C1BBB" w:rsidRDefault="0087381E" w:rsidP="000B4FBA">
            <w:pPr>
              <w:spacing w:after="0" w:line="240" w:lineRule="auto"/>
              <w:rPr>
                <w:rFonts w:ascii="Times New Roman" w:eastAsia="Times New Roman" w:hAnsi="Times New Roman" w:cs="Times New Roman"/>
                <w:color w:val="000000"/>
                <w:lang w:eastAsia="en-IN"/>
              </w:rPr>
            </w:pPr>
            <w:r w:rsidRPr="005C1BBB">
              <w:rPr>
                <w:rFonts w:ascii="Times New Roman" w:eastAsia="Times New Roman" w:hAnsi="Times New Roman" w:cs="Times New Roman"/>
                <w:color w:val="000000"/>
                <w:lang w:eastAsia="en-IN"/>
              </w:rPr>
              <w:t>Lower blood glucose by increasing the secretion of insulin from pancreas and increasing the sensitivity of peripheral tissues to insulin</w:t>
            </w:r>
          </w:p>
        </w:tc>
      </w:tr>
      <w:tr w:rsidR="0087381E" w:rsidRPr="005C1BBB" w:rsidTr="006F4573">
        <w:trPr>
          <w:trHeight w:val="289"/>
        </w:trPr>
        <w:tc>
          <w:tcPr>
            <w:tcW w:w="823" w:type="pct"/>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p>
        </w:tc>
        <w:tc>
          <w:tcPr>
            <w:tcW w:w="652"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0.7291</w:t>
            </w:r>
          </w:p>
        </w:tc>
        <w:tc>
          <w:tcPr>
            <w:tcW w:w="1133"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proofErr w:type="spellStart"/>
            <w:r w:rsidRPr="005C1BBB">
              <w:rPr>
                <w:rFonts w:ascii="Times New Roman" w:eastAsia="Times New Roman" w:hAnsi="Times New Roman" w:cs="Times New Roman"/>
                <w:color w:val="000000"/>
                <w:lang w:eastAsia="en-IN"/>
              </w:rPr>
              <w:t>Glisoxepide</w:t>
            </w:r>
            <w:proofErr w:type="spellEnd"/>
          </w:p>
        </w:tc>
        <w:tc>
          <w:tcPr>
            <w:tcW w:w="2392" w:type="pct"/>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87381E" w:rsidRPr="005C1BBB" w:rsidRDefault="0087381E" w:rsidP="000B4FBA">
            <w:pPr>
              <w:spacing w:after="0" w:line="240" w:lineRule="auto"/>
              <w:rPr>
                <w:rFonts w:ascii="Times New Roman" w:eastAsia="Times New Roman" w:hAnsi="Times New Roman" w:cs="Times New Roman"/>
                <w:color w:val="000000"/>
                <w:lang w:eastAsia="en-IN"/>
              </w:rPr>
            </w:pPr>
            <w:r w:rsidRPr="005C1BBB">
              <w:rPr>
                <w:rFonts w:ascii="Times New Roman" w:eastAsia="Times New Roman" w:hAnsi="Times New Roman" w:cs="Times New Roman"/>
                <w:color w:val="000000"/>
                <w:lang w:eastAsia="en-IN"/>
              </w:rPr>
              <w:t xml:space="preserve">Specific inhibitor of the L- aspartate/L-glutamate </w:t>
            </w:r>
            <w:proofErr w:type="spellStart"/>
            <w:r w:rsidRPr="005C1BBB">
              <w:rPr>
                <w:rFonts w:ascii="Times New Roman" w:eastAsia="Times New Roman" w:hAnsi="Times New Roman" w:cs="Times New Roman"/>
                <w:color w:val="000000"/>
                <w:lang w:eastAsia="en-IN"/>
              </w:rPr>
              <w:t>antiport</w:t>
            </w:r>
            <w:proofErr w:type="spellEnd"/>
            <w:r w:rsidRPr="005C1BBB">
              <w:rPr>
                <w:rFonts w:ascii="Times New Roman" w:eastAsia="Times New Roman" w:hAnsi="Times New Roman" w:cs="Times New Roman"/>
                <w:color w:val="000000"/>
                <w:lang w:eastAsia="en-IN"/>
              </w:rPr>
              <w:t xml:space="preserve"> system</w:t>
            </w:r>
          </w:p>
        </w:tc>
      </w:tr>
      <w:tr w:rsidR="0087381E" w:rsidRPr="005C1BBB" w:rsidTr="006F4573">
        <w:trPr>
          <w:trHeight w:val="289"/>
        </w:trPr>
        <w:tc>
          <w:tcPr>
            <w:tcW w:w="823" w:type="pct"/>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p>
        </w:tc>
        <w:tc>
          <w:tcPr>
            <w:tcW w:w="652"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0.7087</w:t>
            </w:r>
          </w:p>
        </w:tc>
        <w:tc>
          <w:tcPr>
            <w:tcW w:w="1133"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proofErr w:type="spellStart"/>
            <w:r w:rsidRPr="005C1BBB">
              <w:rPr>
                <w:rFonts w:ascii="Times New Roman" w:eastAsia="Times New Roman" w:hAnsi="Times New Roman" w:cs="Times New Roman"/>
                <w:color w:val="000000"/>
                <w:lang w:eastAsia="en-IN"/>
              </w:rPr>
              <w:t>Gliquidone</w:t>
            </w:r>
            <w:proofErr w:type="spellEnd"/>
          </w:p>
        </w:tc>
        <w:tc>
          <w:tcPr>
            <w:tcW w:w="2392" w:type="pct"/>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87381E" w:rsidRPr="005C1BBB" w:rsidRDefault="0087381E" w:rsidP="000B4FBA">
            <w:pPr>
              <w:spacing w:after="0" w:line="240" w:lineRule="auto"/>
              <w:rPr>
                <w:rFonts w:ascii="Times New Roman" w:eastAsia="Times New Roman" w:hAnsi="Times New Roman" w:cs="Times New Roman"/>
                <w:color w:val="000000"/>
                <w:lang w:eastAsia="en-IN"/>
              </w:rPr>
            </w:pPr>
            <w:r w:rsidRPr="005C1BBB">
              <w:rPr>
                <w:rFonts w:ascii="Times New Roman" w:eastAsia="Times New Roman" w:hAnsi="Times New Roman" w:cs="Times New Roman"/>
                <w:color w:val="000000"/>
                <w:lang w:eastAsia="en-IN"/>
              </w:rPr>
              <w:t>ATP-dependent K+ (KATP) channel blocker</w:t>
            </w:r>
          </w:p>
        </w:tc>
      </w:tr>
      <w:tr w:rsidR="0087381E" w:rsidRPr="005C1BBB" w:rsidTr="006F4573">
        <w:trPr>
          <w:trHeight w:val="289"/>
        </w:trPr>
        <w:tc>
          <w:tcPr>
            <w:tcW w:w="823" w:type="pct"/>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p>
        </w:tc>
        <w:tc>
          <w:tcPr>
            <w:tcW w:w="652"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0.6996</w:t>
            </w:r>
          </w:p>
        </w:tc>
        <w:tc>
          <w:tcPr>
            <w:tcW w:w="1133"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r w:rsidRPr="005C1BBB">
              <w:rPr>
                <w:rFonts w:ascii="Times New Roman" w:eastAsia="Times New Roman" w:hAnsi="Times New Roman" w:cs="Times New Roman"/>
                <w:color w:val="000000"/>
                <w:lang w:eastAsia="en-IN"/>
              </w:rPr>
              <w:t>Glipizide</w:t>
            </w:r>
          </w:p>
        </w:tc>
        <w:tc>
          <w:tcPr>
            <w:tcW w:w="2392" w:type="pct"/>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87381E" w:rsidRPr="005C1BBB" w:rsidRDefault="0087381E" w:rsidP="000B4FBA">
            <w:pPr>
              <w:spacing w:after="0" w:line="240" w:lineRule="auto"/>
              <w:rPr>
                <w:rFonts w:ascii="Times New Roman" w:eastAsia="Times New Roman" w:hAnsi="Times New Roman" w:cs="Times New Roman"/>
                <w:color w:val="000000"/>
                <w:lang w:eastAsia="en-IN"/>
              </w:rPr>
            </w:pPr>
            <w:r w:rsidRPr="005C1BBB">
              <w:rPr>
                <w:rFonts w:ascii="Times New Roman" w:eastAsia="Times New Roman" w:hAnsi="Times New Roman" w:cs="Times New Roman"/>
                <w:color w:val="000000"/>
                <w:lang w:eastAsia="en-IN"/>
              </w:rPr>
              <w:t>Lower blood glucose by increasing the secretion of insulin from pancreas and increasing the sensitivity of peripheral tissues to insulin</w:t>
            </w:r>
          </w:p>
        </w:tc>
      </w:tr>
      <w:tr w:rsidR="0087381E" w:rsidRPr="005C1BBB" w:rsidTr="006F4573">
        <w:trPr>
          <w:trHeight w:val="289"/>
        </w:trPr>
        <w:tc>
          <w:tcPr>
            <w:tcW w:w="823" w:type="pct"/>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p>
        </w:tc>
        <w:tc>
          <w:tcPr>
            <w:tcW w:w="652"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0.6920</w:t>
            </w:r>
          </w:p>
        </w:tc>
        <w:tc>
          <w:tcPr>
            <w:tcW w:w="1133"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proofErr w:type="spellStart"/>
            <w:r w:rsidRPr="005C1BBB">
              <w:rPr>
                <w:rFonts w:ascii="Times New Roman" w:eastAsia="Times New Roman" w:hAnsi="Times New Roman" w:cs="Times New Roman"/>
                <w:color w:val="000000"/>
                <w:lang w:eastAsia="en-IN"/>
              </w:rPr>
              <w:t>Gliclazide</w:t>
            </w:r>
            <w:proofErr w:type="spellEnd"/>
          </w:p>
        </w:tc>
        <w:tc>
          <w:tcPr>
            <w:tcW w:w="2392" w:type="pct"/>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87381E" w:rsidRPr="005C1BBB" w:rsidRDefault="0087381E" w:rsidP="000B4FBA">
            <w:pPr>
              <w:spacing w:after="0" w:line="240" w:lineRule="auto"/>
              <w:rPr>
                <w:rFonts w:ascii="Times New Roman" w:eastAsia="Times New Roman" w:hAnsi="Times New Roman" w:cs="Times New Roman"/>
                <w:color w:val="000000"/>
                <w:lang w:eastAsia="en-IN"/>
              </w:rPr>
            </w:pPr>
            <w:r w:rsidRPr="005C1BBB">
              <w:rPr>
                <w:rFonts w:ascii="Times New Roman" w:eastAsia="Times New Roman" w:hAnsi="Times New Roman" w:cs="Times New Roman"/>
                <w:color w:val="000000"/>
                <w:lang w:eastAsia="en-IN"/>
              </w:rPr>
              <w:t>Reduces blood glucose levels by stimulating insulin secretion from the beta-cells of the islets of Langerhans</w:t>
            </w:r>
          </w:p>
        </w:tc>
      </w:tr>
      <w:tr w:rsidR="0087381E" w:rsidRPr="005C1BBB" w:rsidTr="006F4573">
        <w:trPr>
          <w:trHeight w:val="289"/>
        </w:trPr>
        <w:tc>
          <w:tcPr>
            <w:tcW w:w="823" w:type="pct"/>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p>
        </w:tc>
        <w:tc>
          <w:tcPr>
            <w:tcW w:w="652"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0.6630</w:t>
            </w:r>
          </w:p>
        </w:tc>
        <w:tc>
          <w:tcPr>
            <w:tcW w:w="1133"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proofErr w:type="spellStart"/>
            <w:r w:rsidRPr="005C1BBB">
              <w:rPr>
                <w:rFonts w:ascii="Times New Roman" w:eastAsia="Times New Roman" w:hAnsi="Times New Roman" w:cs="Times New Roman"/>
                <w:color w:val="000000"/>
                <w:lang w:eastAsia="en-IN"/>
              </w:rPr>
              <w:t>Acetohexamide</w:t>
            </w:r>
            <w:proofErr w:type="spellEnd"/>
          </w:p>
        </w:tc>
        <w:tc>
          <w:tcPr>
            <w:tcW w:w="2392" w:type="pct"/>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87381E" w:rsidRPr="005C1BBB" w:rsidRDefault="0087381E" w:rsidP="000B4FBA">
            <w:pPr>
              <w:spacing w:after="0" w:line="240" w:lineRule="auto"/>
              <w:rPr>
                <w:rFonts w:ascii="Times New Roman" w:eastAsia="Times New Roman" w:hAnsi="Times New Roman" w:cs="Times New Roman"/>
                <w:color w:val="000000"/>
                <w:lang w:eastAsia="en-IN"/>
              </w:rPr>
            </w:pPr>
            <w:r w:rsidRPr="005C1BBB">
              <w:rPr>
                <w:rFonts w:ascii="Times New Roman" w:eastAsia="Times New Roman" w:hAnsi="Times New Roman" w:cs="Times New Roman"/>
                <w:color w:val="000000"/>
                <w:lang w:eastAsia="en-IN"/>
              </w:rPr>
              <w:t>Binds to an ATP-dependent K+ channel on the cell membrane of pancreatic beta cells</w:t>
            </w:r>
          </w:p>
        </w:tc>
      </w:tr>
      <w:tr w:rsidR="0087381E" w:rsidRPr="005C1BBB" w:rsidTr="006F4573">
        <w:trPr>
          <w:trHeight w:val="289"/>
        </w:trPr>
        <w:tc>
          <w:tcPr>
            <w:tcW w:w="823" w:type="pct"/>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p>
        </w:tc>
        <w:tc>
          <w:tcPr>
            <w:tcW w:w="652"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0.6630</w:t>
            </w:r>
          </w:p>
        </w:tc>
        <w:tc>
          <w:tcPr>
            <w:tcW w:w="1133"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proofErr w:type="spellStart"/>
            <w:r w:rsidRPr="005C1BBB">
              <w:rPr>
                <w:rFonts w:ascii="Times New Roman" w:eastAsia="Times New Roman" w:hAnsi="Times New Roman" w:cs="Times New Roman"/>
                <w:color w:val="000000"/>
                <w:lang w:eastAsia="en-IN"/>
              </w:rPr>
              <w:t>Tolazamide</w:t>
            </w:r>
            <w:proofErr w:type="spellEnd"/>
          </w:p>
        </w:tc>
        <w:tc>
          <w:tcPr>
            <w:tcW w:w="2392" w:type="pct"/>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87381E" w:rsidRPr="005C1BBB" w:rsidRDefault="0087381E" w:rsidP="000B4FBA">
            <w:pPr>
              <w:spacing w:after="0" w:line="240" w:lineRule="auto"/>
              <w:rPr>
                <w:rFonts w:ascii="Times New Roman" w:eastAsia="Times New Roman" w:hAnsi="Times New Roman" w:cs="Times New Roman"/>
                <w:color w:val="000000"/>
                <w:lang w:eastAsia="en-IN"/>
              </w:rPr>
            </w:pPr>
            <w:r w:rsidRPr="005C1BBB">
              <w:rPr>
                <w:rFonts w:ascii="Times New Roman" w:eastAsia="Times New Roman" w:hAnsi="Times New Roman" w:cs="Times New Roman"/>
                <w:color w:val="000000"/>
                <w:lang w:eastAsia="en-IN"/>
              </w:rPr>
              <w:t>Depolarization stimulates calcium ion influx through voltage-sensitive calcium channels, raising intracellular concentrations of calcium ions, which induces the secretion, or exocytosis, of insulin</w:t>
            </w:r>
          </w:p>
        </w:tc>
      </w:tr>
      <w:tr w:rsidR="0087381E" w:rsidRPr="005C1BBB" w:rsidTr="006F4573">
        <w:trPr>
          <w:trHeight w:val="289"/>
        </w:trPr>
        <w:tc>
          <w:tcPr>
            <w:tcW w:w="823" w:type="pct"/>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p>
        </w:tc>
        <w:tc>
          <w:tcPr>
            <w:tcW w:w="652"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0.6437</w:t>
            </w:r>
          </w:p>
        </w:tc>
        <w:tc>
          <w:tcPr>
            <w:tcW w:w="1133"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proofErr w:type="spellStart"/>
            <w:r w:rsidRPr="005C1BBB">
              <w:rPr>
                <w:rFonts w:ascii="Times New Roman" w:eastAsia="Times New Roman" w:hAnsi="Times New Roman" w:cs="Times New Roman"/>
                <w:color w:val="000000"/>
                <w:lang w:eastAsia="en-IN"/>
              </w:rPr>
              <w:t>Glibenclamide</w:t>
            </w:r>
            <w:proofErr w:type="spellEnd"/>
          </w:p>
        </w:tc>
        <w:tc>
          <w:tcPr>
            <w:tcW w:w="2392" w:type="pct"/>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87381E" w:rsidRPr="005C1BBB" w:rsidRDefault="0087381E" w:rsidP="000B4FBA">
            <w:pPr>
              <w:spacing w:after="0" w:line="240" w:lineRule="auto"/>
              <w:rPr>
                <w:rFonts w:ascii="Times New Roman" w:eastAsia="Times New Roman" w:hAnsi="Times New Roman" w:cs="Times New Roman"/>
                <w:color w:val="000000"/>
                <w:lang w:eastAsia="en-IN"/>
              </w:rPr>
            </w:pPr>
            <w:r w:rsidRPr="005C1BBB">
              <w:rPr>
                <w:rFonts w:ascii="Times New Roman" w:eastAsia="Times New Roman" w:hAnsi="Times New Roman" w:cs="Times New Roman"/>
                <w:color w:val="000000"/>
                <w:lang w:eastAsia="en-IN"/>
              </w:rPr>
              <w:t>Cytochrome P450 2C9 inhibitor</w:t>
            </w:r>
          </w:p>
        </w:tc>
      </w:tr>
      <w:tr w:rsidR="0087381E" w:rsidRPr="005C1BBB" w:rsidTr="006F4573">
        <w:trPr>
          <w:trHeight w:val="289"/>
        </w:trPr>
        <w:tc>
          <w:tcPr>
            <w:tcW w:w="823" w:type="pct"/>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p>
        </w:tc>
        <w:tc>
          <w:tcPr>
            <w:tcW w:w="652"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0.6437</w:t>
            </w:r>
          </w:p>
        </w:tc>
        <w:tc>
          <w:tcPr>
            <w:tcW w:w="1133" w:type="pct"/>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7381E" w:rsidRPr="005C1BBB" w:rsidRDefault="0087381E" w:rsidP="000B4FBA">
            <w:pPr>
              <w:spacing w:after="0" w:line="240" w:lineRule="auto"/>
              <w:jc w:val="center"/>
              <w:rPr>
                <w:rFonts w:ascii="Times New Roman" w:eastAsia="Times New Roman" w:hAnsi="Times New Roman" w:cs="Times New Roman"/>
                <w:color w:val="000000"/>
                <w:lang w:eastAsia="en-IN"/>
              </w:rPr>
            </w:pPr>
            <w:r w:rsidRPr="005C1BBB">
              <w:rPr>
                <w:rFonts w:ascii="Times New Roman" w:eastAsia="Times New Roman" w:hAnsi="Times New Roman" w:cs="Times New Roman"/>
                <w:color w:val="000000"/>
                <w:lang w:eastAsia="en-IN"/>
              </w:rPr>
              <w:t>Glyburide</w:t>
            </w:r>
          </w:p>
        </w:tc>
        <w:tc>
          <w:tcPr>
            <w:tcW w:w="2392" w:type="pct"/>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87381E" w:rsidRPr="005C1BBB" w:rsidRDefault="0087381E" w:rsidP="000B4FBA">
            <w:pPr>
              <w:spacing w:after="0" w:line="240" w:lineRule="auto"/>
              <w:rPr>
                <w:rFonts w:ascii="Times New Roman" w:eastAsia="Times New Roman" w:hAnsi="Times New Roman" w:cs="Times New Roman"/>
                <w:color w:val="000000"/>
                <w:lang w:eastAsia="en-IN"/>
              </w:rPr>
            </w:pPr>
            <w:r w:rsidRPr="005C1BBB">
              <w:rPr>
                <w:rFonts w:ascii="Times New Roman" w:eastAsia="Times New Roman" w:hAnsi="Times New Roman" w:cs="Times New Roman"/>
                <w:color w:val="000000"/>
                <w:lang w:eastAsia="en-IN"/>
              </w:rPr>
              <w:t> Lower blood glucose by increasing the secretion of insulin from pancreas and increasing the sensitivity of peripheral tissues to insulin</w:t>
            </w:r>
          </w:p>
        </w:tc>
      </w:tr>
    </w:tbl>
    <w:p w:rsidR="006F4573" w:rsidRDefault="006F4573" w:rsidP="0087381E">
      <w:pPr>
        <w:spacing w:before="240"/>
        <w:rPr>
          <w:rFonts w:ascii="Times New Roman" w:hAnsi="Times New Roman" w:cs="Times New Roman"/>
          <w:b/>
          <w:bCs/>
          <w:szCs w:val="24"/>
        </w:rPr>
      </w:pPr>
    </w:p>
    <w:p w:rsidR="0087381E" w:rsidRPr="00781193" w:rsidRDefault="0087381E" w:rsidP="0087381E">
      <w:pPr>
        <w:spacing w:before="240"/>
        <w:rPr>
          <w:rFonts w:ascii="Times New Roman" w:hAnsi="Times New Roman" w:cs="Times New Roman"/>
          <w:b/>
          <w:bCs/>
          <w:szCs w:val="24"/>
        </w:rPr>
      </w:pPr>
      <w:r>
        <w:rPr>
          <w:rFonts w:ascii="Times New Roman" w:hAnsi="Times New Roman" w:cs="Times New Roman"/>
          <w:b/>
          <w:bCs/>
          <w:szCs w:val="24"/>
        </w:rPr>
        <w:t xml:space="preserve">Table </w:t>
      </w:r>
      <w:r w:rsidR="00A245E2">
        <w:rPr>
          <w:rFonts w:ascii="Times New Roman" w:hAnsi="Times New Roman" w:cs="Times New Roman"/>
          <w:b/>
          <w:bCs/>
          <w:szCs w:val="24"/>
        </w:rPr>
        <w:t>S2</w:t>
      </w:r>
      <w:r>
        <w:rPr>
          <w:rFonts w:ascii="Times New Roman" w:hAnsi="Times New Roman" w:cs="Times New Roman"/>
          <w:b/>
          <w:bCs/>
          <w:szCs w:val="24"/>
        </w:rPr>
        <w:t>:</w:t>
      </w:r>
      <w:r w:rsidRPr="00781193">
        <w:rPr>
          <w:rFonts w:ascii="Times New Roman" w:hAnsi="Times New Roman" w:cs="Times New Roman"/>
          <w:bCs/>
          <w:szCs w:val="24"/>
        </w:rPr>
        <w:t xml:space="preserve"> Mechanism of action of some of the COVID 19 investigational drugs and their structural similarities with other investigational drugs.</w:t>
      </w:r>
    </w:p>
    <w:tbl>
      <w:tblPr>
        <w:tblW w:w="9016"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right w:w="15" w:type="dxa"/>
        </w:tblCellMar>
        <w:tblLook w:val="04A0" w:firstRow="1" w:lastRow="0" w:firstColumn="1" w:lastColumn="0" w:noHBand="0" w:noVBand="1"/>
      </w:tblPr>
      <w:tblGrid>
        <w:gridCol w:w="1560"/>
        <w:gridCol w:w="1275"/>
        <w:gridCol w:w="2122"/>
        <w:gridCol w:w="4059"/>
      </w:tblGrid>
      <w:tr w:rsidR="0087381E" w:rsidRPr="00781193" w:rsidTr="000B4FBA">
        <w:trPr>
          <w:trHeight w:val="776"/>
        </w:trPr>
        <w:tc>
          <w:tcPr>
            <w:tcW w:w="1560"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87381E" w:rsidRPr="00781193" w:rsidRDefault="0087381E" w:rsidP="000B4FBA">
            <w:pPr>
              <w:spacing w:after="0"/>
              <w:jc w:val="center"/>
              <w:rPr>
                <w:rFonts w:ascii="Times New Roman" w:hAnsi="Times New Roman" w:cs="Times New Roman"/>
                <w:b/>
                <w:bCs/>
                <w:color w:val="000000"/>
                <w:szCs w:val="24"/>
              </w:rPr>
            </w:pPr>
            <w:r w:rsidRPr="00781193">
              <w:rPr>
                <w:rFonts w:ascii="Times New Roman" w:hAnsi="Times New Roman" w:cs="Times New Roman"/>
                <w:b/>
                <w:bCs/>
                <w:color w:val="000000"/>
                <w:szCs w:val="24"/>
              </w:rPr>
              <w:t>COVID-19 Investigational Drugs</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87381E" w:rsidRPr="00781193" w:rsidRDefault="0087381E" w:rsidP="000B4FBA">
            <w:pPr>
              <w:spacing w:after="0"/>
              <w:jc w:val="center"/>
              <w:rPr>
                <w:rFonts w:ascii="Times New Roman" w:hAnsi="Times New Roman" w:cs="Times New Roman"/>
                <w:b/>
                <w:bCs/>
                <w:color w:val="000000"/>
                <w:szCs w:val="24"/>
              </w:rPr>
            </w:pPr>
            <w:r w:rsidRPr="00781193">
              <w:rPr>
                <w:rFonts w:ascii="Times New Roman" w:hAnsi="Times New Roman" w:cs="Times New Roman"/>
                <w:b/>
                <w:bCs/>
                <w:color w:val="000000"/>
                <w:szCs w:val="24"/>
              </w:rPr>
              <w:t>Similarity</w:t>
            </w:r>
          </w:p>
        </w:tc>
        <w:tc>
          <w:tcPr>
            <w:tcW w:w="2122"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87381E" w:rsidRPr="00781193" w:rsidRDefault="0087381E" w:rsidP="000B4FBA">
            <w:pPr>
              <w:spacing w:after="0"/>
              <w:jc w:val="center"/>
              <w:rPr>
                <w:rFonts w:ascii="Times New Roman" w:hAnsi="Times New Roman" w:cs="Times New Roman"/>
                <w:b/>
                <w:bCs/>
                <w:color w:val="000000"/>
                <w:szCs w:val="24"/>
              </w:rPr>
            </w:pPr>
            <w:r w:rsidRPr="00781193">
              <w:rPr>
                <w:rFonts w:ascii="Times New Roman" w:hAnsi="Times New Roman" w:cs="Times New Roman"/>
                <w:b/>
                <w:bCs/>
                <w:color w:val="000000"/>
                <w:szCs w:val="24"/>
              </w:rPr>
              <w:t>Lead compounds from PubChem and CTD</w:t>
            </w:r>
          </w:p>
        </w:tc>
        <w:tc>
          <w:tcPr>
            <w:tcW w:w="4059"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center"/>
          </w:tcPr>
          <w:p w:rsidR="0087381E" w:rsidRPr="00781193" w:rsidRDefault="0087381E" w:rsidP="000B4FBA">
            <w:pPr>
              <w:spacing w:after="0"/>
              <w:jc w:val="center"/>
              <w:rPr>
                <w:rFonts w:ascii="Times New Roman" w:hAnsi="Times New Roman" w:cs="Times New Roman"/>
                <w:b/>
                <w:bCs/>
                <w:color w:val="000000"/>
                <w:szCs w:val="24"/>
              </w:rPr>
            </w:pPr>
            <w:r w:rsidRPr="00781193">
              <w:rPr>
                <w:rFonts w:ascii="Times New Roman" w:hAnsi="Times New Roman" w:cs="Times New Roman"/>
                <w:b/>
                <w:bCs/>
                <w:color w:val="000000"/>
                <w:szCs w:val="24"/>
              </w:rPr>
              <w:t>Known mechanism of action/ Target</w:t>
            </w:r>
          </w:p>
        </w:tc>
      </w:tr>
      <w:tr w:rsidR="0087381E" w:rsidRPr="00781193" w:rsidTr="000B4FBA">
        <w:trPr>
          <w:trHeight w:val="300"/>
        </w:trPr>
        <w:tc>
          <w:tcPr>
            <w:tcW w:w="1560" w:type="dxa"/>
            <w:vMerge w:val="restart"/>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87381E" w:rsidRPr="00781193" w:rsidRDefault="0087381E" w:rsidP="000B4FBA">
            <w:pPr>
              <w:spacing w:after="0"/>
              <w:jc w:val="center"/>
              <w:rPr>
                <w:rFonts w:ascii="Times New Roman" w:hAnsi="Times New Roman" w:cs="Times New Roman"/>
                <w:color w:val="000000"/>
                <w:szCs w:val="24"/>
              </w:rPr>
            </w:pPr>
            <w:proofErr w:type="spellStart"/>
            <w:r w:rsidRPr="00781193">
              <w:rPr>
                <w:rFonts w:ascii="Times New Roman" w:hAnsi="Times New Roman" w:cs="Times New Roman"/>
                <w:color w:val="000000"/>
                <w:szCs w:val="24"/>
              </w:rPr>
              <w:t>Lopinavir</w:t>
            </w:r>
            <w:proofErr w:type="spellEnd"/>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87381E" w:rsidRPr="00781193" w:rsidRDefault="0087381E" w:rsidP="000B4FBA">
            <w:pPr>
              <w:spacing w:after="0"/>
              <w:jc w:val="center"/>
              <w:rPr>
                <w:rFonts w:ascii="Times New Roman" w:hAnsi="Times New Roman" w:cs="Times New Roman"/>
                <w:color w:val="000000"/>
                <w:szCs w:val="24"/>
              </w:rPr>
            </w:pPr>
            <w:r w:rsidRPr="00781193">
              <w:rPr>
                <w:rFonts w:ascii="Times New Roman" w:hAnsi="Times New Roman" w:cs="Times New Roman"/>
                <w:color w:val="000000"/>
                <w:szCs w:val="24"/>
              </w:rPr>
              <w:t>1.0</w:t>
            </w:r>
          </w:p>
        </w:tc>
        <w:tc>
          <w:tcPr>
            <w:tcW w:w="2122" w:type="dxa"/>
            <w:tcBorders>
              <w:top w:val="single" w:sz="4" w:space="0" w:color="00000A"/>
              <w:left w:val="single" w:sz="4" w:space="0" w:color="00000A"/>
              <w:bottom w:val="single" w:sz="4" w:space="0" w:color="00000A"/>
              <w:right w:val="single" w:sz="4" w:space="0" w:color="00000A"/>
            </w:tcBorders>
            <w:shd w:val="clear" w:color="auto" w:fill="auto"/>
            <w:tcMar>
              <w:left w:w="28" w:type="dxa"/>
              <w:right w:w="28" w:type="dxa"/>
            </w:tcMar>
            <w:vAlign w:val="center"/>
          </w:tcPr>
          <w:p w:rsidR="0087381E" w:rsidRPr="00781193" w:rsidRDefault="0087381E" w:rsidP="000B4FBA">
            <w:pPr>
              <w:spacing w:after="0"/>
              <w:rPr>
                <w:rFonts w:ascii="Times New Roman" w:hAnsi="Times New Roman" w:cs="Times New Roman"/>
                <w:color w:val="000000"/>
                <w:szCs w:val="24"/>
              </w:rPr>
            </w:pPr>
            <w:proofErr w:type="spellStart"/>
            <w:r w:rsidRPr="00781193">
              <w:rPr>
                <w:rFonts w:ascii="Times New Roman" w:hAnsi="Times New Roman" w:cs="Times New Roman"/>
                <w:color w:val="000000"/>
                <w:szCs w:val="24"/>
              </w:rPr>
              <w:t>Lopinavir</w:t>
            </w:r>
            <w:proofErr w:type="spellEnd"/>
          </w:p>
        </w:tc>
        <w:tc>
          <w:tcPr>
            <w:tcW w:w="4059"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right w:w="28" w:type="dxa"/>
            </w:tcMar>
          </w:tcPr>
          <w:p w:rsidR="0087381E" w:rsidRDefault="0087381E" w:rsidP="000B4FBA">
            <w:pPr>
              <w:spacing w:after="0"/>
              <w:rPr>
                <w:rFonts w:ascii="Times New Roman" w:hAnsi="Times New Roman" w:cs="Times New Roman"/>
                <w:color w:val="000000"/>
                <w:szCs w:val="24"/>
              </w:rPr>
            </w:pPr>
            <w:r w:rsidRPr="00781193">
              <w:rPr>
                <w:rFonts w:ascii="Times New Roman" w:hAnsi="Times New Roman" w:cs="Times New Roman"/>
                <w:color w:val="000000"/>
                <w:szCs w:val="24"/>
              </w:rPr>
              <w:t xml:space="preserve">Antiretroviral protease inhibitor </w:t>
            </w:r>
          </w:p>
          <w:p w:rsidR="0087381E" w:rsidRPr="00781193" w:rsidRDefault="0087381E" w:rsidP="000B4FBA">
            <w:pPr>
              <w:spacing w:after="0"/>
              <w:rPr>
                <w:rFonts w:ascii="Times New Roman" w:hAnsi="Times New Roman" w:cs="Times New Roman"/>
              </w:rPr>
            </w:pPr>
            <w:r w:rsidRPr="00781193">
              <w:rPr>
                <w:rFonts w:ascii="Times New Roman" w:hAnsi="Times New Roman" w:cs="Times New Roman"/>
              </w:rPr>
              <w:fldChar w:fldCharType="begin"/>
            </w:r>
            <w:r w:rsidRPr="00781193">
              <w:rPr>
                <w:rFonts w:ascii="Times New Roman" w:hAnsi="Times New Roman" w:cs="Times New Roman"/>
              </w:rPr>
              <w:instrText>ADDIN CSL_CITATION { "citationItems" : [ { "id" : "ITEM-1", "itemData" : { "DOI" : "10.1124/dmd.111.041400", "ISSN" : "00909556", "abstract" : "The combination of lopinavir (LPV) and ritonavir (RTV) is one of the preferred regimens for the treatment of HIV infection with confirmed efficacy and relatively low toxicity. LPV alone suffers the poor bioavailability due to its rapid and extensive metabolism. RTV boosts the plasma concentration of LPV by suppressing its metabolism and thus increasing LPV efficacy. In the current study, we found that RTV also inhibits LPV bioactivation. LPV bioactivation was investigated in human liver microsomes and cDNA-expressed human cytochromes P450. Twelve GSH-trapped reactive metabolites of LPV were identified by using a metabolomic approach. Semicarbazide-trapped reactive metabolites of LPV were also detected. RTV effectively suppressed all pathways of LPV bioactivation via CYP3A4 inhibition. Our data together with previous reports suggest that LPV plus RTV is an ideal combination because RTV not only boosts LPV plasma concentration, but it decreases LPV bioactivation. Copyright \u00a9 2012 by The American Society for Pharmacology and Experimental Therapeutics.", "author" : [ { "dropping-particle" : "", "family" : "Li", "given" : "Feng", "non-dropping-particle" : "", "parse-names" : false, "suffix" : "" }, { "dropping-particle" : "", "family" : "Lu", "given" : "Jie", "non-dropping-particle" : "", "parse-names" : false, "suffix" : "" }, { "dropping-particle" : "", "family" : "Ma", "given" : "Xiaochao", "non-dropping-particle" : "", "parse-names" : false, "suffix" : "" } ], "container-title" : "Drug Metabolism and Disposition", "id" : "ITEM-1", "issue" : "1", "issued" : { "date-parts" : [ [ "2012" ] ] }, "page" : "18-24", "title" : "CPY3A4-mediated lopinavir bioactivation and its inhibition by ritonavir", "type" : "article-journal", "volume" : "40" }, "uris" : [ "http://www.mendeley.com/documents/?uuid=3a6be7ac-267a-49e8-99b2-8d9d2dd6d7c9", "http://www.mendeley.com/documents/?uuid=1db794e3-0b95-4823-8d0f-d9970289e76a" ] } ], "mendeley" : { "formattedCitation" : "(Li et al., 2012)", "plainTextFormattedCitation" : "(Li et al., 2012)", "previouslyFormattedCitation" : "(Li et al., 2012)" }, "properties" : { "noteIndex" : 0 }, "schema" : "https://github.com/citation-style-language/schema/raw/master/csl-citation.json" }</w:instrText>
            </w:r>
            <w:r w:rsidRPr="00781193">
              <w:rPr>
                <w:rFonts w:ascii="Times New Roman" w:hAnsi="Times New Roman" w:cs="Times New Roman"/>
              </w:rPr>
              <w:fldChar w:fldCharType="separate"/>
            </w:r>
            <w:bookmarkStart w:id="5" w:name="__Fieldmark__1790_770016373"/>
            <w:r w:rsidRPr="00781193">
              <w:rPr>
                <w:rFonts w:ascii="Times New Roman" w:hAnsi="Times New Roman" w:cs="Times New Roman"/>
                <w:color w:val="000000"/>
                <w:szCs w:val="24"/>
              </w:rPr>
              <w:t>(</w:t>
            </w:r>
            <w:bookmarkStart w:id="6" w:name="__Fieldmark__1859_43424498"/>
            <w:r w:rsidRPr="00781193">
              <w:rPr>
                <w:rFonts w:ascii="Times New Roman" w:hAnsi="Times New Roman" w:cs="Times New Roman"/>
                <w:color w:val="000000"/>
                <w:szCs w:val="24"/>
              </w:rPr>
              <w:t>Li et al., 2012)</w:t>
            </w:r>
            <w:bookmarkEnd w:id="5"/>
            <w:bookmarkEnd w:id="6"/>
            <w:r w:rsidRPr="00781193">
              <w:rPr>
                <w:rFonts w:ascii="Times New Roman" w:hAnsi="Times New Roman" w:cs="Times New Roman"/>
              </w:rPr>
              <w:fldChar w:fldCharType="end"/>
            </w:r>
          </w:p>
        </w:tc>
      </w:tr>
      <w:tr w:rsidR="0087381E" w:rsidRPr="00781193" w:rsidTr="000B4FBA">
        <w:trPr>
          <w:trHeight w:val="300"/>
        </w:trPr>
        <w:tc>
          <w:tcPr>
            <w:tcW w:w="1560" w:type="dxa"/>
            <w:vMerge/>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87381E" w:rsidRPr="00781193" w:rsidRDefault="0087381E" w:rsidP="000B4FBA">
            <w:pPr>
              <w:spacing w:after="0"/>
              <w:jc w:val="center"/>
              <w:rPr>
                <w:rFonts w:ascii="Times New Roman" w:hAnsi="Times New Roman" w:cs="Times New Roman"/>
                <w:color w:val="000000"/>
                <w:szCs w:val="24"/>
              </w:rPr>
            </w:pP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87381E" w:rsidRPr="00781193" w:rsidRDefault="0087381E" w:rsidP="000B4FBA">
            <w:pPr>
              <w:spacing w:after="0"/>
              <w:jc w:val="center"/>
              <w:rPr>
                <w:rFonts w:ascii="Times New Roman" w:hAnsi="Times New Roman" w:cs="Times New Roman"/>
                <w:color w:val="000000"/>
                <w:szCs w:val="24"/>
              </w:rPr>
            </w:pPr>
            <w:r w:rsidRPr="00781193">
              <w:rPr>
                <w:rFonts w:ascii="Times New Roman" w:hAnsi="Times New Roman" w:cs="Times New Roman"/>
                <w:color w:val="000000"/>
                <w:szCs w:val="24"/>
              </w:rPr>
              <w:t>0.7561</w:t>
            </w:r>
          </w:p>
        </w:tc>
        <w:tc>
          <w:tcPr>
            <w:tcW w:w="2122" w:type="dxa"/>
            <w:tcBorders>
              <w:top w:val="single" w:sz="4" w:space="0" w:color="00000A"/>
              <w:left w:val="single" w:sz="4" w:space="0" w:color="00000A"/>
              <w:bottom w:val="single" w:sz="4" w:space="0" w:color="00000A"/>
              <w:right w:val="single" w:sz="4" w:space="0" w:color="00000A"/>
            </w:tcBorders>
            <w:shd w:val="clear" w:color="auto" w:fill="auto"/>
            <w:tcMar>
              <w:left w:w="28" w:type="dxa"/>
              <w:right w:w="28" w:type="dxa"/>
            </w:tcMar>
            <w:vAlign w:val="center"/>
          </w:tcPr>
          <w:p w:rsidR="0087381E" w:rsidRPr="00781193" w:rsidRDefault="0087381E" w:rsidP="000B4FBA">
            <w:pPr>
              <w:spacing w:after="0"/>
              <w:rPr>
                <w:rFonts w:ascii="Times New Roman" w:hAnsi="Times New Roman" w:cs="Times New Roman"/>
                <w:color w:val="000000"/>
                <w:szCs w:val="24"/>
              </w:rPr>
            </w:pPr>
            <w:r w:rsidRPr="00781193">
              <w:rPr>
                <w:rFonts w:ascii="Times New Roman" w:hAnsi="Times New Roman" w:cs="Times New Roman"/>
                <w:color w:val="000000"/>
                <w:szCs w:val="24"/>
              </w:rPr>
              <w:t>Ritonavir</w:t>
            </w:r>
          </w:p>
        </w:tc>
        <w:tc>
          <w:tcPr>
            <w:tcW w:w="4059"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right w:w="28" w:type="dxa"/>
            </w:tcMar>
          </w:tcPr>
          <w:p w:rsidR="0087381E" w:rsidRDefault="0087381E" w:rsidP="000B4FBA">
            <w:pPr>
              <w:spacing w:after="0"/>
              <w:rPr>
                <w:rFonts w:ascii="Times New Roman" w:hAnsi="Times New Roman" w:cs="Times New Roman"/>
                <w:color w:val="000000"/>
                <w:szCs w:val="24"/>
              </w:rPr>
            </w:pPr>
            <w:r w:rsidRPr="00781193">
              <w:rPr>
                <w:rFonts w:ascii="Times New Roman" w:hAnsi="Times New Roman" w:cs="Times New Roman"/>
                <w:color w:val="000000"/>
                <w:szCs w:val="24"/>
              </w:rPr>
              <w:t xml:space="preserve">Antiretroviral protease inhibitor </w:t>
            </w:r>
          </w:p>
          <w:p w:rsidR="0087381E" w:rsidRPr="00781193" w:rsidRDefault="0087381E" w:rsidP="000B4FBA">
            <w:pPr>
              <w:spacing w:after="0"/>
              <w:rPr>
                <w:rFonts w:ascii="Times New Roman" w:hAnsi="Times New Roman" w:cs="Times New Roman"/>
              </w:rPr>
            </w:pPr>
            <w:r w:rsidRPr="00781193">
              <w:rPr>
                <w:rFonts w:ascii="Times New Roman" w:hAnsi="Times New Roman" w:cs="Times New Roman"/>
              </w:rPr>
              <w:fldChar w:fldCharType="begin"/>
            </w:r>
            <w:r w:rsidRPr="00781193">
              <w:rPr>
                <w:rFonts w:ascii="Times New Roman" w:hAnsi="Times New Roman" w:cs="Times New Roman"/>
              </w:rPr>
              <w:instrText>ADDIN CSL_CITATION { "citationItems" : [ { "id" : "ITEM-1", "itemData" : { "DOI" : "10.1124/dmd.111.041400", "ISSN" : "00909556", "abstract" : "The combination of lopinavir (LPV) and ritonavir (RTV) is one of the preferred regimens for the treatment of HIV infection with confirmed efficacy and relatively low toxicity. LPV alone suffers the poor bioavailability due to its rapid and extensive metabolism. RTV boosts the plasma concentration of LPV by suppressing its metabolism and thus increasing LPV efficacy. In the current study, we found that RTV also inhibits LPV bioactivation. LPV bioactivation was investigated in human liver microsomes and cDNA-expressed human cytochromes P450. Twelve GSH-trapped reactive metabolites of LPV were identified by using a metabolomic approach. Semicarbazide-trapped reactive metabolites of LPV were also detected. RTV effectively suppressed all pathways of LPV bioactivation via CYP3A4 inhibition. Our data together with previous reports suggest that LPV plus RTV is an ideal combination because RTV not only boosts LPV plasma concentration, but it decreases LPV bioactivation. Copyright \u00a9 2012 by The American Society for Pharmacology and Experimental Therapeutics.", "author" : [ { "dropping-particle" : "", "family" : "Li", "given" : "Feng", "non-dropping-particle" : "", "parse-names" : false, "suffix" : "" }, { "dropping-particle" : "", "family" : "Lu", "given" : "Jie", "non-dropping-particle" : "", "parse-names" : false, "suffix" : "" }, { "dropping-particle" : "", "family" : "Ma", "given" : "Xiaochao", "non-dropping-particle" : "", "parse-names" : false, "suffix" : "" } ], "container-title" : "Drug Metabolism and Disposition", "id" : "ITEM-1", "issue" : "1", "issued" : { "date-parts" : [ [ "2012" ] ] }, "page" : "18-24", "title" : "CPY3A4-mediated lopinavir bioactivation and its inhibition by ritonavir", "type" : "article-journal", "volume" : "40" }, "uris" : [ "http://www.mendeley.com/documents/?uuid=1db794e3-0b95-4823-8d0f-d9970289e76a", "http://www.mendeley.com/documents/?uuid=3a6be7ac-267a-49e8-99b2-8d9d2dd6d7c9" ] } ], "mendeley" : { "formattedCitation" : "(Li et al., 2012)", "plainTextFormattedCitation" : "(Li et al., 2012)", "previouslyFormattedCitation" : "(Li et al., 2012)" }, "properties" : { "noteIndex" : 0 }, "schema" : "https://github.com/citation-style-language/schema/raw/master/csl-citation.json" }</w:instrText>
            </w:r>
            <w:r w:rsidRPr="00781193">
              <w:rPr>
                <w:rFonts w:ascii="Times New Roman" w:hAnsi="Times New Roman" w:cs="Times New Roman"/>
              </w:rPr>
              <w:fldChar w:fldCharType="separate"/>
            </w:r>
            <w:bookmarkStart w:id="7" w:name="__Fieldmark__1800_770016373"/>
            <w:r w:rsidRPr="00781193">
              <w:rPr>
                <w:rFonts w:ascii="Times New Roman" w:hAnsi="Times New Roman" w:cs="Times New Roman"/>
                <w:color w:val="000000"/>
                <w:szCs w:val="24"/>
              </w:rPr>
              <w:t>(</w:t>
            </w:r>
            <w:bookmarkStart w:id="8" w:name="__Fieldmark__1867_43424498"/>
            <w:r w:rsidRPr="00781193">
              <w:rPr>
                <w:rFonts w:ascii="Times New Roman" w:hAnsi="Times New Roman" w:cs="Times New Roman"/>
                <w:color w:val="000000"/>
                <w:szCs w:val="24"/>
              </w:rPr>
              <w:t>Li et al., 2012)</w:t>
            </w:r>
            <w:bookmarkEnd w:id="7"/>
            <w:bookmarkEnd w:id="8"/>
            <w:r w:rsidRPr="00781193">
              <w:rPr>
                <w:rFonts w:ascii="Times New Roman" w:hAnsi="Times New Roman" w:cs="Times New Roman"/>
              </w:rPr>
              <w:fldChar w:fldCharType="end"/>
            </w:r>
          </w:p>
        </w:tc>
      </w:tr>
      <w:tr w:rsidR="0087381E" w:rsidRPr="00781193" w:rsidTr="000B4FBA">
        <w:trPr>
          <w:trHeight w:val="58"/>
        </w:trPr>
        <w:tc>
          <w:tcPr>
            <w:tcW w:w="1560" w:type="dxa"/>
            <w:vMerge w:val="restart"/>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87381E" w:rsidRPr="00781193" w:rsidRDefault="0087381E" w:rsidP="000B4FBA">
            <w:pPr>
              <w:spacing w:after="0"/>
              <w:jc w:val="center"/>
              <w:rPr>
                <w:rFonts w:ascii="Times New Roman" w:hAnsi="Times New Roman" w:cs="Times New Roman"/>
                <w:color w:val="000000"/>
                <w:szCs w:val="24"/>
              </w:rPr>
            </w:pPr>
            <w:proofErr w:type="spellStart"/>
            <w:r w:rsidRPr="00781193">
              <w:rPr>
                <w:rFonts w:ascii="Times New Roman" w:hAnsi="Times New Roman" w:cs="Times New Roman"/>
                <w:color w:val="000000"/>
                <w:szCs w:val="24"/>
              </w:rPr>
              <w:t>Remdesivir</w:t>
            </w:r>
            <w:proofErr w:type="spellEnd"/>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87381E" w:rsidRPr="00781193" w:rsidRDefault="0087381E" w:rsidP="000B4FBA">
            <w:pPr>
              <w:spacing w:after="0"/>
              <w:jc w:val="center"/>
              <w:rPr>
                <w:rFonts w:ascii="Times New Roman" w:hAnsi="Times New Roman" w:cs="Times New Roman"/>
                <w:color w:val="000000"/>
                <w:szCs w:val="24"/>
              </w:rPr>
            </w:pPr>
            <w:r w:rsidRPr="00781193">
              <w:rPr>
                <w:rFonts w:ascii="Times New Roman" w:hAnsi="Times New Roman" w:cs="Times New Roman"/>
                <w:color w:val="000000"/>
                <w:szCs w:val="24"/>
              </w:rPr>
              <w:t>1.0</w:t>
            </w:r>
          </w:p>
        </w:tc>
        <w:tc>
          <w:tcPr>
            <w:tcW w:w="2122" w:type="dxa"/>
            <w:tcBorders>
              <w:top w:val="single" w:sz="4" w:space="0" w:color="00000A"/>
              <w:left w:val="single" w:sz="4" w:space="0" w:color="00000A"/>
              <w:bottom w:val="single" w:sz="4" w:space="0" w:color="00000A"/>
              <w:right w:val="single" w:sz="4" w:space="0" w:color="00000A"/>
            </w:tcBorders>
            <w:shd w:val="clear" w:color="auto" w:fill="auto"/>
            <w:tcMar>
              <w:left w:w="28" w:type="dxa"/>
              <w:right w:w="28" w:type="dxa"/>
            </w:tcMar>
            <w:vAlign w:val="center"/>
          </w:tcPr>
          <w:p w:rsidR="0087381E" w:rsidRPr="00781193" w:rsidRDefault="0087381E" w:rsidP="000B4FBA">
            <w:pPr>
              <w:spacing w:after="0"/>
              <w:rPr>
                <w:rFonts w:ascii="Times New Roman" w:hAnsi="Times New Roman" w:cs="Times New Roman"/>
                <w:color w:val="000000"/>
                <w:szCs w:val="24"/>
              </w:rPr>
            </w:pPr>
            <w:proofErr w:type="spellStart"/>
            <w:r w:rsidRPr="00781193">
              <w:rPr>
                <w:rFonts w:ascii="Times New Roman" w:hAnsi="Times New Roman" w:cs="Times New Roman"/>
                <w:color w:val="000000"/>
                <w:szCs w:val="24"/>
              </w:rPr>
              <w:t>Remdesivir</w:t>
            </w:r>
            <w:proofErr w:type="spellEnd"/>
          </w:p>
        </w:tc>
        <w:tc>
          <w:tcPr>
            <w:tcW w:w="4059"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right w:w="28" w:type="dxa"/>
            </w:tcMar>
          </w:tcPr>
          <w:p w:rsidR="0087381E" w:rsidRPr="00781193" w:rsidRDefault="0087381E" w:rsidP="000B4FBA">
            <w:pPr>
              <w:spacing w:after="0"/>
              <w:rPr>
                <w:rFonts w:ascii="Times New Roman" w:hAnsi="Times New Roman" w:cs="Times New Roman"/>
              </w:rPr>
            </w:pPr>
            <w:r w:rsidRPr="00781193">
              <w:rPr>
                <w:rFonts w:ascii="Times New Roman" w:hAnsi="Times New Roman" w:cs="Times New Roman"/>
                <w:color w:val="000000"/>
                <w:szCs w:val="24"/>
              </w:rPr>
              <w:t xml:space="preserve">RNA-dependent RNA polymerase inhibitor </w:t>
            </w:r>
            <w:r w:rsidRPr="00781193">
              <w:rPr>
                <w:rFonts w:ascii="Times New Roman" w:hAnsi="Times New Roman" w:cs="Times New Roman"/>
              </w:rPr>
              <w:fldChar w:fldCharType="begin"/>
            </w:r>
            <w:r w:rsidRPr="00781193">
              <w:rPr>
                <w:rFonts w:ascii="Times New Roman" w:hAnsi="Times New Roman" w:cs="Times New Roman"/>
              </w:rPr>
              <w:instrText>ADDIN CSL_CITATION { "citationItems" : [ { "id" : "ITEM-1", "itemData" : { "DOI" : "10.1074/jbc.AC120.013056", "ISSN" : "1083351X", "PMID" : "32094225", "abstract" : "Antiviral drugs for managing infections with human coronaviruses are not yet approved, posing a serious challenge to current global efforts aimed at containing the outbreak of severe acute respiratory syndrome-coronavirus 2 (CoV-2). Remdesivir (RDV) is an investigational compound with a broad spectrum of antiviral activities against RNA viruses, including severe acute respiratory syndrome-CoV and Middle East respiratory syndrome (MERS-CoV).RDVis a nucleotide analog inhibitor of RNA-dependent RNA polymerases (RdRps). Here, we co-expressed the MERS-CoV nonstructural proteins nsp5, nsp7, nsp8, and nsp12 (RdRp) in insect cells as a part a polyprotein to study the mechanism of inhibition of MERS-CoV RdRp by RDV. We initially demonstrated that nsp8 and nsp12 form an active complex. The triphosphate form of the inhibitor (RDVTP) competes with its natural counterpart ATP. Of note, the selectivity value for RDV-TP obtained here with a steady-state approach suggests that it is more efficiently incorporated than ATP and two other nucleotide analogs. Once incorporated at position i, the inhibitor caused RNA synthesis arrest at position i + 3. Hence, the likely mechanism of action is delayed RNA chain termination. The additional three nucleotides may protect the inhibitor from excision by the viral 3'-5' exonuclease activity. Together, these results help to explain the high potency of RDV against RNA viruses in cell-based assays.", "author" : [ { "dropping-particle" : "", "family" : "Gordon", "given" : "Calvin J.", "non-dropping-particle" : "", "parse-names" : false, "suffix" : "" }, { "dropping-particle" : "", "family" : "Tchesnokov", "given" : "Egor P.", "non-dropping-particle" : "", "parse-names" : false, "suffix" : "" }, { "dropping-particle" : "", "family" : "Feng", "given" : "Joy Y.", "non-dropping-particle" : "", "parse-names" : false, "suffix" : "" }, { "dropping-particle" : "", "family" : "Porter", "given" : "Danielle P.", "non-dropping-particle" : "", "parse-names" : false, "suffix" : "" }, { "dropping-particle" : "", "family" : "G\u00f6tte", "given" : "Matthias", "non-dropping-particle" : "", "parse-names" : false, "suffix" : "" } ], "container-title" : "Journal of Biological Chemistry", "id" : "ITEM-1", "issue" : "15", "issued" : { "date-parts" : [ [ "2020" ] ] }, "page" : "4773-4779", "title" : "The antiviral compound remdesivir potently inhibits RNAdependent RNA polymerase from Middle East respiratory syndrome coronavirus", "type" : "article", "volume" : "295" }, "uris" : [ "http://www.mendeley.com/documents/?uuid=1a953a08-12a7-4857-9054-ebd7204e435f", "http://www.mendeley.com/documents/?uuid=1d86ea82-974e-4e20-9e41-8e0b13cb21ba" ] } ], "mendeley" : { "formattedCitation" : "(Gordon et al., 2020)", "plainTextFormattedCitation" : "(Gordon et al., 2020)", "previouslyFormattedCitation" : "(Gordon et al., 2020)" }, "properties" : { "noteIndex" : 0 }, "schema" : "https://github.com/citation-style-language/schema/raw/master/csl-citation.json" }</w:instrText>
            </w:r>
            <w:r w:rsidRPr="00781193">
              <w:rPr>
                <w:rFonts w:ascii="Times New Roman" w:hAnsi="Times New Roman" w:cs="Times New Roman"/>
              </w:rPr>
              <w:fldChar w:fldCharType="separate"/>
            </w:r>
            <w:bookmarkStart w:id="9" w:name="__Fieldmark__1811_770016373"/>
            <w:r w:rsidRPr="00781193">
              <w:rPr>
                <w:rFonts w:ascii="Times New Roman" w:hAnsi="Times New Roman" w:cs="Times New Roman"/>
                <w:color w:val="000000"/>
                <w:szCs w:val="24"/>
              </w:rPr>
              <w:t>(</w:t>
            </w:r>
            <w:bookmarkStart w:id="10" w:name="__Fieldmark__1876_43424498"/>
            <w:r w:rsidRPr="00781193">
              <w:rPr>
                <w:rFonts w:ascii="Times New Roman" w:hAnsi="Times New Roman" w:cs="Times New Roman"/>
                <w:color w:val="000000"/>
                <w:szCs w:val="24"/>
              </w:rPr>
              <w:t>Gordon et al., 2020)</w:t>
            </w:r>
            <w:bookmarkEnd w:id="9"/>
            <w:bookmarkEnd w:id="10"/>
            <w:r w:rsidRPr="00781193">
              <w:rPr>
                <w:rFonts w:ascii="Times New Roman" w:hAnsi="Times New Roman" w:cs="Times New Roman"/>
              </w:rPr>
              <w:fldChar w:fldCharType="end"/>
            </w:r>
          </w:p>
        </w:tc>
      </w:tr>
      <w:tr w:rsidR="0087381E" w:rsidRPr="00781193" w:rsidTr="000B4FBA">
        <w:trPr>
          <w:trHeight w:val="41"/>
        </w:trPr>
        <w:tc>
          <w:tcPr>
            <w:tcW w:w="1560"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center"/>
          </w:tcPr>
          <w:p w:rsidR="0087381E" w:rsidRPr="00781193" w:rsidRDefault="0087381E" w:rsidP="000B4FBA">
            <w:pPr>
              <w:spacing w:after="0"/>
              <w:jc w:val="center"/>
              <w:rPr>
                <w:rFonts w:ascii="Times New Roman" w:hAnsi="Times New Roman" w:cs="Times New Roman"/>
                <w:color w:val="000000"/>
                <w:szCs w:val="24"/>
              </w:rPr>
            </w:pP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87381E" w:rsidRPr="00781193" w:rsidRDefault="0087381E" w:rsidP="000B4FBA">
            <w:pPr>
              <w:spacing w:after="0"/>
              <w:jc w:val="center"/>
              <w:rPr>
                <w:rFonts w:ascii="Times New Roman" w:hAnsi="Times New Roman" w:cs="Times New Roman"/>
                <w:color w:val="000000"/>
                <w:szCs w:val="24"/>
              </w:rPr>
            </w:pPr>
            <w:r w:rsidRPr="00781193">
              <w:rPr>
                <w:rFonts w:ascii="Times New Roman" w:hAnsi="Times New Roman" w:cs="Times New Roman"/>
                <w:color w:val="000000"/>
                <w:szCs w:val="24"/>
              </w:rPr>
              <w:t>0.8559</w:t>
            </w:r>
          </w:p>
        </w:tc>
        <w:tc>
          <w:tcPr>
            <w:tcW w:w="2122" w:type="dxa"/>
            <w:tcBorders>
              <w:top w:val="single" w:sz="4" w:space="0" w:color="00000A"/>
              <w:left w:val="single" w:sz="4" w:space="0" w:color="00000A"/>
              <w:bottom w:val="single" w:sz="4" w:space="0" w:color="00000A"/>
              <w:right w:val="single" w:sz="4" w:space="0" w:color="00000A"/>
            </w:tcBorders>
            <w:shd w:val="clear" w:color="auto" w:fill="auto"/>
            <w:tcMar>
              <w:left w:w="28" w:type="dxa"/>
              <w:right w:w="28" w:type="dxa"/>
            </w:tcMar>
            <w:vAlign w:val="center"/>
          </w:tcPr>
          <w:p w:rsidR="0087381E" w:rsidRDefault="0087381E" w:rsidP="000B4FBA">
            <w:pPr>
              <w:spacing w:after="0"/>
              <w:rPr>
                <w:rFonts w:ascii="Times New Roman" w:hAnsi="Times New Roman" w:cs="Times New Roman"/>
                <w:color w:val="000000"/>
                <w:szCs w:val="24"/>
              </w:rPr>
            </w:pPr>
            <w:r w:rsidRPr="00781193">
              <w:rPr>
                <w:rFonts w:ascii="Times New Roman" w:hAnsi="Times New Roman" w:cs="Times New Roman"/>
                <w:color w:val="000000"/>
                <w:szCs w:val="24"/>
              </w:rPr>
              <w:t xml:space="preserve">GS-441524 </w:t>
            </w:r>
          </w:p>
          <w:p w:rsidR="0087381E" w:rsidRPr="00781193" w:rsidRDefault="0087381E" w:rsidP="000B4FBA">
            <w:pPr>
              <w:spacing w:after="0"/>
              <w:rPr>
                <w:rFonts w:ascii="Times New Roman" w:hAnsi="Times New Roman" w:cs="Times New Roman"/>
                <w:color w:val="000000"/>
                <w:szCs w:val="24"/>
              </w:rPr>
            </w:pPr>
            <w:r w:rsidRPr="00781193">
              <w:rPr>
                <w:rFonts w:ascii="Times New Roman" w:hAnsi="Times New Roman" w:cs="Times New Roman"/>
                <w:color w:val="000000"/>
                <w:szCs w:val="24"/>
              </w:rPr>
              <w:t>(CID 44468216)</w:t>
            </w:r>
          </w:p>
        </w:tc>
        <w:tc>
          <w:tcPr>
            <w:tcW w:w="4059"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right w:w="28" w:type="dxa"/>
            </w:tcMar>
          </w:tcPr>
          <w:p w:rsidR="0087381E" w:rsidRDefault="0087381E" w:rsidP="000B4FBA">
            <w:pPr>
              <w:spacing w:after="0"/>
              <w:rPr>
                <w:rFonts w:ascii="Times New Roman" w:hAnsi="Times New Roman" w:cs="Times New Roman"/>
                <w:color w:val="000000"/>
                <w:szCs w:val="24"/>
              </w:rPr>
            </w:pPr>
            <w:proofErr w:type="spellStart"/>
            <w:r w:rsidRPr="00781193">
              <w:rPr>
                <w:rFonts w:ascii="Times New Roman" w:hAnsi="Times New Roman" w:cs="Times New Roman"/>
                <w:color w:val="000000"/>
                <w:szCs w:val="24"/>
              </w:rPr>
              <w:t>Remdesivir</w:t>
            </w:r>
            <w:proofErr w:type="spellEnd"/>
            <w:r w:rsidRPr="00781193">
              <w:rPr>
                <w:rFonts w:ascii="Times New Roman" w:hAnsi="Times New Roman" w:cs="Times New Roman"/>
                <w:color w:val="000000"/>
                <w:szCs w:val="24"/>
              </w:rPr>
              <w:t xml:space="preserve"> prodrug </w:t>
            </w:r>
          </w:p>
          <w:p w:rsidR="0087381E" w:rsidRPr="00781193" w:rsidRDefault="0087381E" w:rsidP="000B4FBA">
            <w:pPr>
              <w:spacing w:after="0"/>
              <w:rPr>
                <w:rFonts w:ascii="Times New Roman" w:hAnsi="Times New Roman" w:cs="Times New Roman"/>
              </w:rPr>
            </w:pPr>
            <w:r w:rsidRPr="00781193">
              <w:rPr>
                <w:rFonts w:ascii="Times New Roman" w:hAnsi="Times New Roman" w:cs="Times New Roman"/>
              </w:rPr>
              <w:fldChar w:fldCharType="begin"/>
            </w:r>
            <w:r w:rsidRPr="00781193">
              <w:rPr>
                <w:rFonts w:ascii="Times New Roman" w:hAnsi="Times New Roman" w:cs="Times New Roman"/>
              </w:rPr>
              <w:instrText>ADDIN CSL_CITATION { "citationItems" : [ { "id" : "ITEM-1", "itemData" : { "DOI" : "10.1016/j.onehlt.2020.100128", "ISSN" : "23527714", "abstract" : "Recent international epidemics of coronavirus-associated illnesses underscore the urgent medical and public health need for vaccine development and regulatory body approved therapies. In particular, the current coronavirus disease 2019 (COVID-19) pandemic has quickly intensified interest in developing treatment options to mitigate impact on human life. Remdesivir (GS-5734\u2122) is a broad-spectrum antiviral drug that is now being tested as a potential treatment for COVID-19 in international, multi-site clinical trials. Currently available evidence about the antiviral effects of remdesivir against coronaviruses is primarily based on in vitro and in vivo studies (including some on a chemically related compound, GS-441524\u2122), which have demonstrated largely favorable findings. As the pandemic progresses, information from human compassionate use cases will continue to accumulate before the clinical trials are concluded. It is imperative for public health practitioners and the One Health community to stay up to date on the most promising potential therapeutic options that are under investigation. Thus, the purpose of this review is to synthesize the knowledge to date about remdesivir as a therapeutic option for coronaviruses, with a special focus on information relevant to the One Health community.", "author" : [ { "dropping-particle" : "", "family" : "Amirian", "given" : "E. Susan", "non-dropping-particle" : "", "parse-names" : false, "suffix" : "" }, { "dropping-particle" : "", "family" : "Levy", "given" : "Julie K.", "non-dropping-particle" : "", "parse-names" : false, "suffix" : "" } ], "container-title" : "One Health", "id" : "ITEM-1", "issued" : { "date-parts" : [ [ "2020" ] ] }, "title" : "Current knowledge about the antivirals remdesivir (GS-5734) and GS-441524 as therapeutic options for coronaviruses", "type" : "article", "volume" : "9" }, "uris" : [ "http://www.mendeley.com/documents/?uuid=8533609d-9f2b-4cb5-b6e3-60ae6264aa33", "http://www.mendeley.com/documents/?uuid=9400edf9-972a-41b1-9e1e-240f773808ac" ] } ], "mendeley" : { "formattedCitation" : "(Amirian and Levy, 2020)", "plainTextFormattedCitation" : "(Amirian and Levy, 2020)", "previouslyFormattedCitation" : "(Amirian and Levy, 2020)" }, "properties" : { "noteIndex" : 0 }, "schema" : "https://github.com/citation-style-language/schema/raw/master/csl-citation.json" }</w:instrText>
            </w:r>
            <w:r w:rsidRPr="00781193">
              <w:rPr>
                <w:rFonts w:ascii="Times New Roman" w:hAnsi="Times New Roman" w:cs="Times New Roman"/>
              </w:rPr>
              <w:fldChar w:fldCharType="separate"/>
            </w:r>
            <w:bookmarkStart w:id="11" w:name="__Fieldmark__1822_770016373"/>
            <w:r w:rsidRPr="00781193">
              <w:rPr>
                <w:rFonts w:ascii="Times New Roman" w:hAnsi="Times New Roman" w:cs="Times New Roman"/>
                <w:color w:val="000000"/>
                <w:szCs w:val="24"/>
              </w:rPr>
              <w:t>(</w:t>
            </w:r>
            <w:bookmarkStart w:id="12" w:name="__Fieldmark__1885_43424498"/>
            <w:r w:rsidRPr="00781193">
              <w:rPr>
                <w:rFonts w:ascii="Times New Roman" w:hAnsi="Times New Roman" w:cs="Times New Roman"/>
                <w:color w:val="000000"/>
                <w:szCs w:val="24"/>
              </w:rPr>
              <w:t>Amirian and Levy, 2020)</w:t>
            </w:r>
            <w:bookmarkEnd w:id="11"/>
            <w:bookmarkEnd w:id="12"/>
            <w:r w:rsidRPr="00781193">
              <w:rPr>
                <w:rFonts w:ascii="Times New Roman" w:hAnsi="Times New Roman" w:cs="Times New Roman"/>
              </w:rPr>
              <w:fldChar w:fldCharType="end"/>
            </w:r>
          </w:p>
        </w:tc>
      </w:tr>
      <w:tr w:rsidR="0087381E" w:rsidRPr="00781193" w:rsidTr="000B4FBA">
        <w:trPr>
          <w:trHeight w:val="300"/>
        </w:trPr>
        <w:tc>
          <w:tcPr>
            <w:tcW w:w="1560"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center"/>
          </w:tcPr>
          <w:p w:rsidR="0087381E" w:rsidRPr="00781193" w:rsidRDefault="0087381E" w:rsidP="000B4FBA">
            <w:pPr>
              <w:spacing w:after="0"/>
              <w:jc w:val="center"/>
              <w:rPr>
                <w:rFonts w:ascii="Times New Roman" w:hAnsi="Times New Roman" w:cs="Times New Roman"/>
                <w:color w:val="000000"/>
                <w:szCs w:val="24"/>
              </w:rPr>
            </w:pP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87381E" w:rsidRPr="00781193" w:rsidRDefault="0087381E" w:rsidP="000B4FBA">
            <w:pPr>
              <w:spacing w:after="0"/>
              <w:jc w:val="center"/>
              <w:rPr>
                <w:rFonts w:ascii="Times New Roman" w:hAnsi="Times New Roman" w:cs="Times New Roman"/>
                <w:color w:val="000000"/>
                <w:szCs w:val="24"/>
              </w:rPr>
            </w:pPr>
            <w:r w:rsidRPr="00781193">
              <w:rPr>
                <w:rFonts w:ascii="Times New Roman" w:hAnsi="Times New Roman" w:cs="Times New Roman"/>
                <w:color w:val="000000"/>
                <w:szCs w:val="24"/>
              </w:rPr>
              <w:t>0.7763</w:t>
            </w:r>
          </w:p>
        </w:tc>
        <w:tc>
          <w:tcPr>
            <w:tcW w:w="2122" w:type="dxa"/>
            <w:tcBorders>
              <w:top w:val="single" w:sz="4" w:space="0" w:color="00000A"/>
              <w:left w:val="single" w:sz="4" w:space="0" w:color="00000A"/>
              <w:bottom w:val="single" w:sz="4" w:space="0" w:color="00000A"/>
              <w:right w:val="single" w:sz="4" w:space="0" w:color="00000A"/>
            </w:tcBorders>
            <w:shd w:val="clear" w:color="auto" w:fill="auto"/>
            <w:tcMar>
              <w:left w:w="28" w:type="dxa"/>
              <w:right w:w="28" w:type="dxa"/>
            </w:tcMar>
            <w:vAlign w:val="center"/>
          </w:tcPr>
          <w:p w:rsidR="0087381E" w:rsidRPr="00781193" w:rsidRDefault="0087381E" w:rsidP="000B4FBA">
            <w:pPr>
              <w:spacing w:after="0"/>
              <w:rPr>
                <w:rFonts w:ascii="Times New Roman" w:hAnsi="Times New Roman" w:cs="Times New Roman"/>
                <w:color w:val="000000"/>
                <w:szCs w:val="24"/>
              </w:rPr>
            </w:pPr>
            <w:r w:rsidRPr="00781193">
              <w:rPr>
                <w:rFonts w:ascii="Times New Roman" w:hAnsi="Times New Roman" w:cs="Times New Roman"/>
                <w:color w:val="000000"/>
                <w:szCs w:val="24"/>
              </w:rPr>
              <w:t>7-Methylguanosine 5'-diphosphate</w:t>
            </w:r>
          </w:p>
        </w:tc>
        <w:tc>
          <w:tcPr>
            <w:tcW w:w="4059"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right w:w="28" w:type="dxa"/>
            </w:tcMar>
          </w:tcPr>
          <w:p w:rsidR="0087381E" w:rsidRPr="00781193" w:rsidRDefault="0087381E" w:rsidP="000B4FBA">
            <w:pPr>
              <w:spacing w:after="0"/>
              <w:rPr>
                <w:rFonts w:ascii="Times New Roman" w:hAnsi="Times New Roman" w:cs="Times New Roman"/>
              </w:rPr>
            </w:pPr>
            <w:r w:rsidRPr="00781193">
              <w:rPr>
                <w:rFonts w:ascii="Times New Roman" w:hAnsi="Times New Roman" w:cs="Times New Roman"/>
                <w:color w:val="000000"/>
                <w:szCs w:val="24"/>
              </w:rPr>
              <w:t xml:space="preserve">Translation initiation factor activity </w:t>
            </w:r>
            <w:r w:rsidRPr="00781193">
              <w:rPr>
                <w:rFonts w:ascii="Times New Roman" w:hAnsi="Times New Roman" w:cs="Times New Roman"/>
              </w:rPr>
              <w:fldChar w:fldCharType="begin"/>
            </w:r>
            <w:r w:rsidRPr="00781193">
              <w:rPr>
                <w:rFonts w:ascii="Times New Roman" w:hAnsi="Times New Roman" w:cs="Times New Roman"/>
              </w:rPr>
              <w:instrText>ADDIN CSL_CITATION { "citationItems" : [ { "id" : "ITEM-1", "itemData" : { "DOI" : "10.1021/jm300037x", "ISSN" : "1520-4804 (Electronic)", "PMID" : "22458568", "abstract" : "The eukaryotic initiation factor 4E (eIF4E) plays a central role in the initiation  of gene translation and subsequent protein synthesis by binding the 5' terminal mRNA cap structure. We designed and synthesized a series of novel compounds that display potent binding affinity against eIF4E despite their lack of a ribose moiety, phosphate, and positive charge as present in m7-GMP. The biochemical activity of compound 33 is 95 nM for eIF4E in an SPA binding assay. More importantly, the compound has an IC(50) of 2.5 \u03bcM for inhibiting cap-dependent mRNA translation in a rabbit reticular cell extract assay (RRL-IVT). This series of potent, truncated analogues could serve as a promising new starting point toward the design of neutral eIF4E inhibitors with physicochemical properties suitable for cellular activity assessment.", "author" : [ { "dropping-particle" : "", "family" : "Chen", "given" : "Xiaoqi", "non-dropping-particle" : "", "parse-names" : false, "suffix" : "" }, { "dropping-particle" : "", "family" : "Kopecky", "given" : "David J", "non-dropping-particle" : "", "parse-names" : false, "suffix" : "" }, { "dropping-particle" : "", "family" : "Mihalic", "given" : "Jeff", "non-dropping-particle" : "", "parse-names" : false, "suffix" : "" }, { "dropping-particle" : "", "family" : "Jeffries", "given" : "Shawn", "non-dropping-particle" : "", "parse-names" : false, "suffix" : "" }, { "dropping-particle" : "", "family" : "Min", "given" : "Xiaoshan", "non-dropping-particle" : "", "parse-names" : false, "suffix" : "" }, { "dropping-particle" : "", "family" : "Heath", "given" : "Julie", "non-dropping-particle" : "", "parse-names" : false, "suffix" : "" }, { "dropping-particle" : "", "family" : "Deignan", "given" : "Jeff", "non-dropping-particle" : "", "parse-names" : false, "suffix" : "" }, { "dropping-particle" : "", "family" : "Lai", "given" : "Sujen", "non-dropping-particle" : "", "parse-names" : false, "suffix" : "" }, { "dropping-particle" : "", "family" : "Fu", "given" : "Zice", "non-dropping-particle" : "", "parse-names" : false, "suffix" : "" }, { "dropping-particle" : "", "family" : "Guimaraes", "given" : "Cristiano", "non-dropping-particle" : "", "parse-names" : false, "suffix" : "" }, { "dropping-particle" : "", "family" : "Shen", "given" : "Shanling", "non-dropping-particle" : "", "parse-names" : false, "suffix" : "" }, { "dropping-particle" : "", "family" : "Li", "given" : "Shyun", "non-dropping-particle" : "", "parse-names" : false, "suffix" : "" }, { "dropping-particle" : "", "family" : "Johnstone", "given" : "Sheree", "non-dropping-particle" : "", "parse-names" : false, "suffix" : "" }, { "dropping-particle" : "", "family" : "Thibault", "given" : "Stephen", "non-dropping-particle" : "", "parse-names" : false, "suffix" : "" }, { "dropping-particle" : "", "family" : "Xu", "given" : "Haoda", "non-dropping-particle" : "", "parse-names" : false, "suffix" : "" }, { "dropping-particle" : "", "family" : "Cardozo", "given" : "Mario", "non-dropping-particle" : "", "parse-names" : false, "suffix" : "" }, { "dropping-particle" : "", "family" : "Shen", "given" : "Wang", "non-dropping-particle" : "", "parse-names" : false, "suffix" : "" }, { "dropping-particle" : "", "family" : "Walker", "given" : "Nigel", "non-dropping-particle" : "", "parse-names" : false, "suffix" : "" }, { "dropping-particle" : "", "family" : "Kayser", "given" : "Frank", "non-dropping-particle" : "", "parse-names" : false, "suffix" : "" }, { "dropping-particle" : "", "family" : "Wang", "given" : "Zhulun", "non-dropping-particle" : "", "parse-names" : false, "suffix" : "" } ], "container-title" : "Journal of medicinal chemistry", "id" : "ITEM-1", "issue" : "8", "issued" : { "date-parts" : [ [ "2012", "4" ] ] }, "language" : "eng", "page" : "3837-3851", "publisher-place" : "United States", "title" : "Structure-guided design, synthesis, and evaluation of guanine-derived inhibitors of  the eIF4E mRNA-cap interaction.", "type" : "article-journal", "volume" : "55" }, "uris" : [ "http://www.mendeley.com/documents/?uuid=0c042a2b-866c-453b-bf3c-4a359679a685", "http://www.mendeley.com/documents/?uuid=d4637ee1-140a-4dfe-ae8c-d9dad7a4a97e" ] } ], "mendeley" : { "formattedCitation" : "(Chen et al., 2012)", "plainTextFormattedCitation" : "(Chen et al., 2012)", "previouslyFormattedCitation" : "(Chen et al., 2012)" }, "properties" : { "noteIndex" : 0 }, "schema" : "https://github.com/citation-style-language/schema/raw/master/csl-citation.json" }</w:instrText>
            </w:r>
            <w:r w:rsidRPr="00781193">
              <w:rPr>
                <w:rFonts w:ascii="Times New Roman" w:hAnsi="Times New Roman" w:cs="Times New Roman"/>
              </w:rPr>
              <w:fldChar w:fldCharType="separate"/>
            </w:r>
            <w:bookmarkStart w:id="13" w:name="__Fieldmark__1832_770016373"/>
            <w:r w:rsidRPr="00781193">
              <w:rPr>
                <w:rFonts w:ascii="Times New Roman" w:hAnsi="Times New Roman" w:cs="Times New Roman"/>
                <w:color w:val="000000"/>
                <w:szCs w:val="24"/>
              </w:rPr>
              <w:t>(</w:t>
            </w:r>
            <w:bookmarkStart w:id="14" w:name="__Fieldmark__1893_43424498"/>
            <w:r w:rsidRPr="00781193">
              <w:rPr>
                <w:rFonts w:ascii="Times New Roman" w:hAnsi="Times New Roman" w:cs="Times New Roman"/>
                <w:color w:val="000000"/>
                <w:szCs w:val="24"/>
              </w:rPr>
              <w:t>Chen et al., 2012)</w:t>
            </w:r>
            <w:bookmarkEnd w:id="13"/>
            <w:bookmarkEnd w:id="14"/>
            <w:r w:rsidRPr="00781193">
              <w:rPr>
                <w:rFonts w:ascii="Times New Roman" w:hAnsi="Times New Roman" w:cs="Times New Roman"/>
              </w:rPr>
              <w:fldChar w:fldCharType="end"/>
            </w:r>
          </w:p>
        </w:tc>
      </w:tr>
      <w:tr w:rsidR="0087381E" w:rsidRPr="00781193" w:rsidTr="000B4FBA">
        <w:trPr>
          <w:trHeight w:val="300"/>
        </w:trPr>
        <w:tc>
          <w:tcPr>
            <w:tcW w:w="1560"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center"/>
          </w:tcPr>
          <w:p w:rsidR="0087381E" w:rsidRPr="00781193" w:rsidRDefault="0087381E" w:rsidP="000B4FBA">
            <w:pPr>
              <w:spacing w:after="0"/>
              <w:jc w:val="center"/>
              <w:rPr>
                <w:rFonts w:ascii="Times New Roman" w:hAnsi="Times New Roman" w:cs="Times New Roman"/>
                <w:color w:val="000000"/>
                <w:szCs w:val="24"/>
              </w:rPr>
            </w:pP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87381E" w:rsidRPr="00781193" w:rsidRDefault="0087381E" w:rsidP="000B4FBA">
            <w:pPr>
              <w:spacing w:after="0"/>
              <w:jc w:val="center"/>
              <w:rPr>
                <w:rFonts w:ascii="Times New Roman" w:hAnsi="Times New Roman" w:cs="Times New Roman"/>
                <w:color w:val="000000"/>
                <w:szCs w:val="24"/>
              </w:rPr>
            </w:pPr>
            <w:r w:rsidRPr="00781193">
              <w:rPr>
                <w:rFonts w:ascii="Times New Roman" w:hAnsi="Times New Roman" w:cs="Times New Roman"/>
                <w:color w:val="000000"/>
                <w:szCs w:val="24"/>
              </w:rPr>
              <w:t>0.7748</w:t>
            </w:r>
          </w:p>
        </w:tc>
        <w:tc>
          <w:tcPr>
            <w:tcW w:w="2122" w:type="dxa"/>
            <w:tcBorders>
              <w:top w:val="single" w:sz="4" w:space="0" w:color="00000A"/>
              <w:left w:val="single" w:sz="4" w:space="0" w:color="00000A"/>
              <w:bottom w:val="single" w:sz="4" w:space="0" w:color="00000A"/>
              <w:right w:val="single" w:sz="4" w:space="0" w:color="00000A"/>
            </w:tcBorders>
            <w:shd w:val="clear" w:color="auto" w:fill="auto"/>
            <w:tcMar>
              <w:left w:w="28" w:type="dxa"/>
              <w:right w:w="28" w:type="dxa"/>
            </w:tcMar>
            <w:vAlign w:val="center"/>
          </w:tcPr>
          <w:p w:rsidR="0087381E" w:rsidRPr="00781193" w:rsidRDefault="0087381E" w:rsidP="000B4FBA">
            <w:pPr>
              <w:spacing w:after="0"/>
              <w:rPr>
                <w:rFonts w:ascii="Times New Roman" w:hAnsi="Times New Roman" w:cs="Times New Roman"/>
                <w:color w:val="000000"/>
                <w:szCs w:val="24"/>
              </w:rPr>
            </w:pPr>
            <w:r w:rsidRPr="00781193">
              <w:rPr>
                <w:rFonts w:ascii="Times New Roman" w:hAnsi="Times New Roman" w:cs="Times New Roman"/>
                <w:color w:val="000000"/>
                <w:szCs w:val="24"/>
              </w:rPr>
              <w:t>7-Methyl-guanosine-5'-triphosphate</w:t>
            </w:r>
          </w:p>
        </w:tc>
        <w:tc>
          <w:tcPr>
            <w:tcW w:w="4059"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right w:w="28" w:type="dxa"/>
            </w:tcMar>
          </w:tcPr>
          <w:p w:rsidR="0087381E" w:rsidRPr="00781193" w:rsidRDefault="0087381E" w:rsidP="000B4FBA">
            <w:pPr>
              <w:spacing w:after="0"/>
              <w:rPr>
                <w:rFonts w:ascii="Times New Roman" w:hAnsi="Times New Roman" w:cs="Times New Roman"/>
              </w:rPr>
            </w:pPr>
            <w:r w:rsidRPr="00781193">
              <w:rPr>
                <w:rFonts w:ascii="Times New Roman" w:hAnsi="Times New Roman" w:cs="Times New Roman"/>
                <w:color w:val="000000"/>
                <w:szCs w:val="24"/>
              </w:rPr>
              <w:t xml:space="preserve">Translation initiation factor activity </w:t>
            </w:r>
            <w:r w:rsidRPr="00781193">
              <w:rPr>
                <w:rFonts w:ascii="Times New Roman" w:hAnsi="Times New Roman" w:cs="Times New Roman"/>
              </w:rPr>
              <w:fldChar w:fldCharType="begin"/>
            </w:r>
            <w:r w:rsidRPr="00781193">
              <w:rPr>
                <w:rFonts w:ascii="Times New Roman" w:hAnsi="Times New Roman" w:cs="Times New Roman"/>
              </w:rPr>
              <w:instrText>ADDIN CSL_CITATION { "citationItems" : [ { "id" : "ITEM-1", "itemData" : { "DOI" : "10.1021/jm300037x", "ISSN" : "1520-4804 (Electronic)", "PMID" : "22458568", "abstract" : "The eukaryotic initiation factor 4E (eIF4E) plays a central role in the initiation  of gene translation and subsequent protein synthesis by binding the 5' terminal mRNA cap structure. We designed and synthesized a series of novel compounds that display potent binding affinity against eIF4E despite their lack of a ribose moiety, phosphate, and positive charge as present in m7-GMP. The biochemical activity of compound 33 is 95 nM for eIF4E in an SPA binding assay. More importantly, the compound has an IC(50) of 2.5 \u03bcM for inhibiting cap-dependent mRNA translation in a rabbit reticular cell extract assay (RRL-IVT). This series of potent, truncated analogues could serve as a promising new starting point toward the design of neutral eIF4E inhibitors with physicochemical properties suitable for cellular activity assessment.", "author" : [ { "dropping-particle" : "", "family" : "Chen", "given" : "Xiaoqi", "non-dropping-particle" : "", "parse-names" : false, "suffix" : "" }, { "dropping-particle" : "", "family" : "Kopecky", "given" : "David J", "non-dropping-particle" : "", "parse-names" : false, "suffix" : "" }, { "dropping-particle" : "", "family" : "Mihalic", "given" : "Jeff", "non-dropping-particle" : "", "parse-names" : false, "suffix" : "" }, { "dropping-particle" : "", "family" : "Jeffries", "given" : "Shawn", "non-dropping-particle" : "", "parse-names" : false, "suffix" : "" }, { "dropping-particle" : "", "family" : "Min", "given" : "Xiaoshan", "non-dropping-particle" : "", "parse-names" : false, "suffix" : "" }, { "dropping-particle" : "", "family" : "Heath", "given" : "Julie", "non-dropping-particle" : "", "parse-names" : false, "suffix" : "" }, { "dropping-particle" : "", "family" : "Deignan", "given" : "Jeff", "non-dropping-particle" : "", "parse-names" : false, "suffix" : "" }, { "dropping-particle" : "", "family" : "Lai", "given" : "Sujen", "non-dropping-particle" : "", "parse-names" : false, "suffix" : "" }, { "dropping-particle" : "", "family" : "Fu", "given" : "Zice", "non-dropping-particle" : "", "parse-names" : false, "suffix" : "" }, { "dropping-particle" : "", "family" : "Guimaraes", "given" : "Cristiano", "non-dropping-particle" : "", "parse-names" : false, "suffix" : "" }, { "dropping-particle" : "", "family" : "Shen", "given" : "Shanling", "non-dropping-particle" : "", "parse-names" : false, "suffix" : "" }, { "dropping-particle" : "", "family" : "Li", "given" : "Shyun", "non-dropping-particle" : "", "parse-names" : false, "suffix" : "" }, { "dropping-particle" : "", "family" : "Johnstone", "given" : "Sheree", "non-dropping-particle" : "", "parse-names" : false, "suffix" : "" }, { "dropping-particle" : "", "family" : "Thibault", "given" : "Stephen", "non-dropping-particle" : "", "parse-names" : false, "suffix" : "" }, { "dropping-particle" : "", "family" : "Xu", "given" : "Haoda", "non-dropping-particle" : "", "parse-names" : false, "suffix" : "" }, { "dropping-particle" : "", "family" : "Cardozo", "given" : "Mario", "non-dropping-particle" : "", "parse-names" : false, "suffix" : "" }, { "dropping-particle" : "", "family" : "Shen", "given" : "Wang", "non-dropping-particle" : "", "parse-names" : false, "suffix" : "" }, { "dropping-particle" : "", "family" : "Walker", "given" : "Nigel", "non-dropping-particle" : "", "parse-names" : false, "suffix" : "" }, { "dropping-particle" : "", "family" : "Kayser", "given" : "Frank", "non-dropping-particle" : "", "parse-names" : false, "suffix" : "" }, { "dropping-particle" : "", "family" : "Wang", "given" : "Zhulun", "non-dropping-particle" : "", "parse-names" : false, "suffix" : "" } ], "container-title" : "Journal of medicinal chemistry", "id" : "ITEM-1", "issue" : "8", "issued" : { "date-parts" : [ [ "2012", "4" ] ] }, "language" : "eng", "page" : "3837-3851", "publisher-place" : "United States", "title" : "Structure-guided design, synthesis, and evaluation of guanine-derived inhibitors of  the eIF4E mRNA-cap interaction.", "type" : "article-journal", "volume" : "55" }, "uris" : [ "http://www.mendeley.com/documents/?uuid=d4637ee1-140a-4dfe-ae8c-d9dad7a4a97e", "http://www.mendeley.com/documents/?uuid=0c042a2b-866c-453b-bf3c-4a359679a685" ] } ], "mendeley" : { "formattedCitation" : "(Chen et al., 2012)", "plainTextFormattedCitation" : "(Chen et al., 2012)", "previouslyFormattedCitation" : "(Chen et al., 2012)" }, "properties" : { "noteIndex" : 0 }, "schema" : "https://github.com/citation-style-language/schema/raw/master/csl-citation.json" }</w:instrText>
            </w:r>
            <w:r w:rsidRPr="00781193">
              <w:rPr>
                <w:rFonts w:ascii="Times New Roman" w:hAnsi="Times New Roman" w:cs="Times New Roman"/>
              </w:rPr>
              <w:fldChar w:fldCharType="separate"/>
            </w:r>
            <w:bookmarkStart w:id="15" w:name="__Fieldmark__1842_770016373"/>
            <w:r w:rsidRPr="00781193">
              <w:rPr>
                <w:rFonts w:ascii="Times New Roman" w:hAnsi="Times New Roman" w:cs="Times New Roman"/>
                <w:color w:val="000000"/>
                <w:szCs w:val="24"/>
              </w:rPr>
              <w:t>(</w:t>
            </w:r>
            <w:bookmarkStart w:id="16" w:name="__Fieldmark__1901_43424498"/>
            <w:r w:rsidRPr="00781193">
              <w:rPr>
                <w:rFonts w:ascii="Times New Roman" w:hAnsi="Times New Roman" w:cs="Times New Roman"/>
                <w:color w:val="000000"/>
                <w:szCs w:val="24"/>
              </w:rPr>
              <w:t>Chen et al., 2012)</w:t>
            </w:r>
            <w:bookmarkEnd w:id="15"/>
            <w:bookmarkEnd w:id="16"/>
            <w:r w:rsidRPr="00781193">
              <w:rPr>
                <w:rFonts w:ascii="Times New Roman" w:hAnsi="Times New Roman" w:cs="Times New Roman"/>
              </w:rPr>
              <w:fldChar w:fldCharType="end"/>
            </w:r>
          </w:p>
        </w:tc>
      </w:tr>
      <w:tr w:rsidR="0087381E" w:rsidRPr="00781193" w:rsidTr="000B4FBA">
        <w:trPr>
          <w:trHeight w:val="300"/>
        </w:trPr>
        <w:tc>
          <w:tcPr>
            <w:tcW w:w="1560"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center"/>
          </w:tcPr>
          <w:p w:rsidR="0087381E" w:rsidRPr="00781193" w:rsidRDefault="0087381E" w:rsidP="000B4FBA">
            <w:pPr>
              <w:spacing w:after="0"/>
              <w:jc w:val="center"/>
              <w:rPr>
                <w:rFonts w:ascii="Times New Roman" w:hAnsi="Times New Roman" w:cs="Times New Roman"/>
                <w:color w:val="000000"/>
                <w:szCs w:val="24"/>
              </w:rPr>
            </w:pP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87381E" w:rsidRPr="00781193" w:rsidRDefault="0087381E" w:rsidP="000B4FBA">
            <w:pPr>
              <w:spacing w:after="0"/>
              <w:jc w:val="center"/>
              <w:rPr>
                <w:rFonts w:ascii="Times New Roman" w:hAnsi="Times New Roman" w:cs="Times New Roman"/>
                <w:color w:val="000000"/>
                <w:szCs w:val="24"/>
              </w:rPr>
            </w:pPr>
            <w:r w:rsidRPr="00781193">
              <w:rPr>
                <w:rFonts w:ascii="Times New Roman" w:hAnsi="Times New Roman" w:cs="Times New Roman"/>
                <w:color w:val="000000"/>
                <w:szCs w:val="24"/>
              </w:rPr>
              <w:t>0.7692</w:t>
            </w:r>
          </w:p>
        </w:tc>
        <w:tc>
          <w:tcPr>
            <w:tcW w:w="2122" w:type="dxa"/>
            <w:tcBorders>
              <w:top w:val="single" w:sz="4" w:space="0" w:color="00000A"/>
              <w:left w:val="single" w:sz="4" w:space="0" w:color="00000A"/>
              <w:bottom w:val="single" w:sz="4" w:space="0" w:color="00000A"/>
              <w:right w:val="single" w:sz="4" w:space="0" w:color="00000A"/>
            </w:tcBorders>
            <w:shd w:val="clear" w:color="auto" w:fill="auto"/>
            <w:tcMar>
              <w:left w:w="28" w:type="dxa"/>
              <w:right w:w="28" w:type="dxa"/>
            </w:tcMar>
            <w:vAlign w:val="center"/>
          </w:tcPr>
          <w:p w:rsidR="0087381E" w:rsidRPr="00781193" w:rsidRDefault="0087381E" w:rsidP="000B4FBA">
            <w:pPr>
              <w:spacing w:after="0"/>
              <w:rPr>
                <w:rFonts w:ascii="Times New Roman" w:hAnsi="Times New Roman" w:cs="Times New Roman"/>
                <w:color w:val="000000"/>
                <w:szCs w:val="24"/>
              </w:rPr>
            </w:pPr>
            <w:proofErr w:type="spellStart"/>
            <w:r w:rsidRPr="00781193">
              <w:rPr>
                <w:rFonts w:ascii="Times New Roman" w:hAnsi="Times New Roman" w:cs="Times New Roman"/>
                <w:color w:val="000000"/>
                <w:szCs w:val="24"/>
              </w:rPr>
              <w:t>Sirolimus</w:t>
            </w:r>
            <w:proofErr w:type="spellEnd"/>
          </w:p>
        </w:tc>
        <w:tc>
          <w:tcPr>
            <w:tcW w:w="4059"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right w:w="28" w:type="dxa"/>
            </w:tcMar>
          </w:tcPr>
          <w:p w:rsidR="0087381E" w:rsidRDefault="0087381E" w:rsidP="000B4FBA">
            <w:pPr>
              <w:spacing w:after="0"/>
              <w:rPr>
                <w:rFonts w:ascii="Times New Roman" w:hAnsi="Times New Roman" w:cs="Times New Roman"/>
                <w:color w:val="000000"/>
                <w:szCs w:val="24"/>
              </w:rPr>
            </w:pPr>
            <w:r w:rsidRPr="00781193">
              <w:rPr>
                <w:rFonts w:ascii="Times New Roman" w:hAnsi="Times New Roman" w:cs="Times New Roman"/>
                <w:color w:val="000000"/>
                <w:szCs w:val="24"/>
              </w:rPr>
              <w:t xml:space="preserve">Suppress viral replication </w:t>
            </w:r>
          </w:p>
          <w:p w:rsidR="0087381E" w:rsidRPr="00781193" w:rsidRDefault="0087381E" w:rsidP="000B4FBA">
            <w:pPr>
              <w:spacing w:after="0"/>
              <w:rPr>
                <w:rFonts w:ascii="Times New Roman" w:hAnsi="Times New Roman" w:cs="Times New Roman"/>
              </w:rPr>
            </w:pPr>
            <w:r w:rsidRPr="00781193">
              <w:rPr>
                <w:rFonts w:ascii="Times New Roman" w:hAnsi="Times New Roman" w:cs="Times New Roman"/>
              </w:rPr>
              <w:fldChar w:fldCharType="begin"/>
            </w:r>
            <w:r w:rsidRPr="00781193">
              <w:rPr>
                <w:rFonts w:ascii="Times New Roman" w:hAnsi="Times New Roman" w:cs="Times New Roman"/>
              </w:rPr>
              <w:instrText>ADDIN CSL_CITATION { "citationItems" : [ { "id" : "ITEM-1", "itemData" : { "DOI" : "10.6002/ect.2013.0017", "ISSN" : "13040855", "abstract" : "Objectives: Hepatitis C virus in renal transplant recipients is an independent risk factor for sickness and death. It has been shown that one might limit hepatitis C virus progression in liver transplant recipients with sirolimus-based immunosuppression. The mammalian target of rapamycin is an influential molecule for the anti-hepatitis C virus action of interferon. We report our experience with sirolimus conversion in hepatitis C virus-positive patients with chronic allograft nephropathy regarding hepatic and hematologic effects that might affect its future use. Materials and Methods: Twenty-five patients who had received renal transplants with anti-hepatitis C virus-positive and normal liver function were enrolled. Ten patients had allograft dysfunction because of cyclosporine nephrotoxicity. Sirolimus was initiated at 2 mg/d and adjusted to 6 to 8 ng/mL. Cyclosporine was gradually tapered and then stopped; 15 patients were used as a control group. Sirolimus-related hepatitis was defined as a rise in liver transferases or alkaline phosphatase or bilirubin over twice the upper limit of normal. Viral replication was defined as elevated liver enzymes and increasing viral load and/or biopsy-proven hepatitis C virus active hepatitis. Results: After conversion, there was a reduction of hemoglobin and hematocrit. In 1 patient, the immunosuppressive regimen was changed back to cyclosporine owing to anemia and hepatotoxicity leading to prompt return of hematocrit and liver enzymes to their original values. One of 10 antihepatitis C virus-positive patients (10. 0%) developed sirolimus-associated hepatotoxicity, compared with 2 patients in the control group (13%). Sirolimus patients showed a significant decrease in the HCV PCR levels from 700 000 to 400 000 IU/mL; P &lt;. 001, compared to 680 000 to 660000 IU/mL in cyclosporine patients; P = NS, with comparable levels of transaminases Conclusions: Our data suggest that sirolimus has the potential to suppress viral replication in hepatitis C virus-positive renal transplant candidates. \u00a9 Baskent University 2013 Printed in Turkey. All Rights Reserved.", "author" : [ { "dropping-particle" : "", "family" : "Soliman", "given" : "Amin", "non-dropping-particle" : "", "parse-names" : false, "suffix" : "" }, { "dropping-particle" : "", "family" : "Fathy", "given" : "Ahmed", "non-dropping-particle" : "", "parse-names" : false, "suffix" : "" }, { "dropping-particle" : "", "family" : "Khashab", "given" : "Sahier", "non-dropping-particle" : "", "parse-names" : false, "suffix" : "" }, { "dropping-particle" : "", "family" : "Shaheen", "given" : "Noha", "non-dropping-particle" : "", "parse-names" : false, "suffix" : "" }, { "dropping-particle" : "", "family" : "Soliman", "given" : "Mahmoud", "non-dropping-particle" : "", "parse-names" : false, "suffix" : "" } ], "container-title" : "Experimental and Clinical Transplantation", "id" : "ITEM-1", "issue" : "5", "issued" : { "date-parts" : [ [ "2013" ] ] }, "page" : "408-411", "title" : "Sirolimus conversion may suppress viral replication in hepatitis C virus-positive renal transplant candidates", "type" : "article-journal", "volume" : "11" }, "uris" : [ "http://www.mendeley.com/documents/?uuid=907ece9b-4ee3-4672-8470-ded7cd3682cb", "http://www.mendeley.com/documents/?uuid=8c888a22-871f-4d13-8e38-69ef6d35d07d" ] } ], "mendeley" : { "formattedCitation" : "(Soliman et al., 2013)", "plainTextFormattedCitation" : "(Soliman et al., 2013)", "previouslyFormattedCitation" : "(Soliman et al., 2013)" }, "properties" : { "noteIndex" : 0 }, "schema" : "https://github.com/citation-style-language/schema/raw/master/csl-citation.json" }</w:instrText>
            </w:r>
            <w:r w:rsidRPr="00781193">
              <w:rPr>
                <w:rFonts w:ascii="Times New Roman" w:hAnsi="Times New Roman" w:cs="Times New Roman"/>
              </w:rPr>
              <w:fldChar w:fldCharType="separate"/>
            </w:r>
            <w:bookmarkStart w:id="17" w:name="__Fieldmark__1852_770016373"/>
            <w:r w:rsidRPr="00781193">
              <w:rPr>
                <w:rFonts w:ascii="Times New Roman" w:hAnsi="Times New Roman" w:cs="Times New Roman"/>
                <w:color w:val="000000"/>
                <w:szCs w:val="24"/>
              </w:rPr>
              <w:t>(</w:t>
            </w:r>
            <w:bookmarkStart w:id="18" w:name="__Fieldmark__1909_43424498"/>
            <w:r w:rsidRPr="00781193">
              <w:rPr>
                <w:rFonts w:ascii="Times New Roman" w:hAnsi="Times New Roman" w:cs="Times New Roman"/>
                <w:color w:val="000000"/>
                <w:szCs w:val="24"/>
              </w:rPr>
              <w:t>Soliman et al., 2013)</w:t>
            </w:r>
            <w:bookmarkEnd w:id="17"/>
            <w:bookmarkEnd w:id="18"/>
            <w:r w:rsidRPr="00781193">
              <w:rPr>
                <w:rFonts w:ascii="Times New Roman" w:hAnsi="Times New Roman" w:cs="Times New Roman"/>
              </w:rPr>
              <w:fldChar w:fldCharType="end"/>
            </w:r>
          </w:p>
        </w:tc>
      </w:tr>
      <w:tr w:rsidR="0087381E" w:rsidRPr="00781193" w:rsidTr="000B4FBA">
        <w:trPr>
          <w:trHeight w:val="300"/>
        </w:trPr>
        <w:tc>
          <w:tcPr>
            <w:tcW w:w="1560"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center"/>
          </w:tcPr>
          <w:p w:rsidR="0087381E" w:rsidRPr="00781193" w:rsidRDefault="0087381E" w:rsidP="000B4FBA">
            <w:pPr>
              <w:spacing w:after="0"/>
              <w:jc w:val="center"/>
              <w:rPr>
                <w:rFonts w:ascii="Times New Roman" w:hAnsi="Times New Roman" w:cs="Times New Roman"/>
                <w:color w:val="000000"/>
                <w:szCs w:val="24"/>
              </w:rPr>
            </w:pP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87381E" w:rsidRPr="00781193" w:rsidRDefault="0087381E" w:rsidP="000B4FBA">
            <w:pPr>
              <w:spacing w:after="0"/>
              <w:jc w:val="center"/>
              <w:rPr>
                <w:rFonts w:ascii="Times New Roman" w:hAnsi="Times New Roman" w:cs="Times New Roman"/>
                <w:color w:val="000000"/>
                <w:szCs w:val="24"/>
              </w:rPr>
            </w:pPr>
            <w:r w:rsidRPr="00781193">
              <w:rPr>
                <w:rFonts w:ascii="Times New Roman" w:hAnsi="Times New Roman" w:cs="Times New Roman"/>
                <w:color w:val="000000"/>
                <w:szCs w:val="24"/>
              </w:rPr>
              <w:t>0.7629</w:t>
            </w:r>
          </w:p>
        </w:tc>
        <w:tc>
          <w:tcPr>
            <w:tcW w:w="2122" w:type="dxa"/>
            <w:tcBorders>
              <w:top w:val="single" w:sz="4" w:space="0" w:color="00000A"/>
              <w:left w:val="single" w:sz="4" w:space="0" w:color="00000A"/>
              <w:bottom w:val="single" w:sz="4" w:space="0" w:color="00000A"/>
              <w:right w:val="single" w:sz="4" w:space="0" w:color="00000A"/>
            </w:tcBorders>
            <w:shd w:val="clear" w:color="auto" w:fill="auto"/>
            <w:tcMar>
              <w:left w:w="28" w:type="dxa"/>
              <w:right w:w="28" w:type="dxa"/>
            </w:tcMar>
            <w:vAlign w:val="center"/>
          </w:tcPr>
          <w:p w:rsidR="0087381E" w:rsidRPr="00781193" w:rsidRDefault="0087381E" w:rsidP="000B4FBA">
            <w:pPr>
              <w:spacing w:after="0"/>
              <w:rPr>
                <w:rFonts w:ascii="Times New Roman" w:hAnsi="Times New Roman" w:cs="Times New Roman"/>
                <w:color w:val="000000"/>
                <w:szCs w:val="24"/>
              </w:rPr>
            </w:pPr>
            <w:proofErr w:type="spellStart"/>
            <w:r w:rsidRPr="00781193">
              <w:rPr>
                <w:rFonts w:ascii="Times New Roman" w:hAnsi="Times New Roman" w:cs="Times New Roman"/>
                <w:color w:val="000000"/>
                <w:szCs w:val="24"/>
              </w:rPr>
              <w:t>Prograf</w:t>
            </w:r>
            <w:proofErr w:type="spellEnd"/>
          </w:p>
        </w:tc>
        <w:tc>
          <w:tcPr>
            <w:tcW w:w="4059"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right w:w="28" w:type="dxa"/>
            </w:tcMar>
          </w:tcPr>
          <w:p w:rsidR="0087381E" w:rsidRDefault="0087381E" w:rsidP="000B4FBA">
            <w:pPr>
              <w:spacing w:after="0"/>
              <w:rPr>
                <w:rFonts w:ascii="Times New Roman" w:hAnsi="Times New Roman" w:cs="Times New Roman"/>
                <w:color w:val="000000"/>
                <w:szCs w:val="24"/>
              </w:rPr>
            </w:pPr>
            <w:r w:rsidRPr="00781193">
              <w:rPr>
                <w:rFonts w:ascii="Times New Roman" w:hAnsi="Times New Roman" w:cs="Times New Roman"/>
                <w:color w:val="000000"/>
                <w:szCs w:val="24"/>
              </w:rPr>
              <w:t xml:space="preserve">Inhibits T-lymphocyte signal transduction and IL-2 transcription </w:t>
            </w:r>
          </w:p>
          <w:p w:rsidR="0087381E" w:rsidRPr="00781193" w:rsidRDefault="0087381E" w:rsidP="000B4FBA">
            <w:pPr>
              <w:spacing w:after="0"/>
              <w:rPr>
                <w:rFonts w:ascii="Times New Roman" w:hAnsi="Times New Roman" w:cs="Times New Roman"/>
              </w:rPr>
            </w:pPr>
            <w:r w:rsidRPr="00781193">
              <w:rPr>
                <w:rFonts w:ascii="Times New Roman" w:hAnsi="Times New Roman" w:cs="Times New Roman"/>
              </w:rPr>
              <w:fldChar w:fldCharType="begin"/>
            </w:r>
            <w:r w:rsidRPr="00781193">
              <w:rPr>
                <w:rFonts w:ascii="Times New Roman" w:hAnsi="Times New Roman" w:cs="Times New Roman"/>
              </w:rPr>
              <w:instrText>ADDIN CSL_CITATION { "citationItems" : [ { "id" : "ITEM-1", "itemData" : { "DOI" : "10.3332/ecancer.2020.1022", "ISSN" : "17546605", "PMID" : "32256705", "abstract" : "Background: Cancer and transplant patients with COVID-19 have a higher risk of developing severe and even fatal respiratory diseases, especially as they may be treated with immune-suppressive or immune-stimulating drugs. This review focuses on the effects of these drugs on host immunity against COVID-19. Methods: Using Ovid MEDLINE, we reviewed current evidence for immune-suppressing or -stimulating drugs: Cytotoxic chemotherapy, low-dose steroids, tumour necrosis factor\u03b1 (TNF\u03b1) blockers, interlukin-6 (IL-6) blockade, Janus kinase (JAK) inhibitors, IL-1 blockade, mycophenolate, tacrolimus, anti-CD20 and CTLA4-Ig. Results: 89 studies were included. Cytotoxic chemotherapy has been shown to be a specific inhibitor for severe acute respiratory syndrome coronavirus in in vitro studies, but no specific studies exist as of yet for COVID-19. No conclusive evidence for or against the use of non-steroidal anti-inflammatory drugs (NSAIDs) in the treatment of COVID-19 patients is available, nor is there evidence indicating that TNF\u03b1 blockade is harmful to patients in the context of COVID-19. COVID-19 has been observed to induce a proinflammatory cytokine generation and secretion of cytokines, such as IL-6, but there is no evidence of the beneficial impact of IL-6 inhibitors on the modulation of COVID-19. Although there are potential targets in the JAK-STAT pathway that can be manipulated in treatment for coronaviruses and it is evident that IL-1 is elevated in patients with a coronavirus, there is currently no evidence for a role of these drugs in treatment of COVID-19. Conclusion: The COVID-19 pandemic has led to challenging decision-making about treatment of critically unwell patients. Low-dose prednisolone and tacrolimus may have beneficial impacts on COVID-19. The mycophenolate mofetil picture is less clear, with conflicting data from pre-clinical studies. There is no definitive evidence that specific cytotoxic drugs, low-dose methotrexate for auto-immune disease, NSAIDs, JAK kinase inhibitors or anti-TNF\u03b1 agents are contraindicated. There is clear evidence that IL-6 peak levels are associated with severity of pulmonary complications.", "author" : [ { "dropping-particle" : "", "family" : "Russell", "given" : "Beth", "non-dropping-particle" : "", "parse-names" : false, "suffix" : "" }, { "dropping-particle" : "", "family" : "Moss", "given" : "Charlotte", "non-dropping-particle" : "", "parse-names" : false, "suffix" : "" }, { "dropping-particle" : "", "family" : "George", "given" : "Gincy", "non-dropping-particle" : "", "parse-names" : false, "suffix" : "" }, { "dropping-particle" : "", "family" : "Santaolalla", "given" : "Aida", "non-dropping-particle" : "", "parse-names" : false, "suffix" : "" }, { "dropping-particle" : "", "family" : "Cope", "given" : "Andrew", "non-dropping-particle" : "", "parse-names" : false, "suffix" : "" }, { "dropping-particle" : "", "family" : "Papa", "given" : "Sophie", "non-dropping-particle" : "", "parse-names" : false, "suffix" : "" }, { "dropping-particle" : "", "family" : "Hemelrijck", "given" : "Mieke", "non-dropping-particle" : "Van", "parse-names" : false, "suffix" : "" } ], "container-title" : "ecancermedicalscience", "id" : "ITEM-1", "issued" : { "date-parts" : [ [ "2020" ] ] }, "title" : "Associations between immune-suppressive and stimulating drugs and novel COVID-19 - A systematic review of current evidence", "type" : "article", "volume" : "14" }, "uris" : [ "http://www.mendeley.com/documents/?uuid=3fd9c1b4-c345-4448-854c-39ff9d5465e5", "http://www.mendeley.com/documents/?uuid=86e21a7e-5da0-44b2-bc81-962ce9fda633" ] } ], "mendeley" : { "formattedCitation" : "(Russell et al., 2020)", "plainTextFormattedCitation" : "(Russell et al., 2020)", "previouslyFormattedCitation" : "(Russell et al., 2020)" }, "properties" : { "noteIndex" : 0 }, "schema" : "https://github.com/citation-style-language/schema/raw/master/csl-citation.json" }</w:instrText>
            </w:r>
            <w:r w:rsidRPr="00781193">
              <w:rPr>
                <w:rFonts w:ascii="Times New Roman" w:hAnsi="Times New Roman" w:cs="Times New Roman"/>
              </w:rPr>
              <w:fldChar w:fldCharType="separate"/>
            </w:r>
            <w:bookmarkStart w:id="19" w:name="__Fieldmark__1862_770016373"/>
            <w:r w:rsidRPr="00781193">
              <w:rPr>
                <w:rFonts w:ascii="Times New Roman" w:hAnsi="Times New Roman" w:cs="Times New Roman"/>
                <w:color w:val="000000"/>
                <w:szCs w:val="24"/>
              </w:rPr>
              <w:t>(</w:t>
            </w:r>
            <w:bookmarkStart w:id="20" w:name="__Fieldmark__1917_43424498"/>
            <w:r w:rsidRPr="00781193">
              <w:rPr>
                <w:rFonts w:ascii="Times New Roman" w:hAnsi="Times New Roman" w:cs="Times New Roman"/>
                <w:color w:val="000000"/>
                <w:szCs w:val="24"/>
              </w:rPr>
              <w:t>Russell et al., 2020)</w:t>
            </w:r>
            <w:bookmarkEnd w:id="19"/>
            <w:bookmarkEnd w:id="20"/>
            <w:r w:rsidRPr="00781193">
              <w:rPr>
                <w:rFonts w:ascii="Times New Roman" w:hAnsi="Times New Roman" w:cs="Times New Roman"/>
              </w:rPr>
              <w:fldChar w:fldCharType="end"/>
            </w:r>
          </w:p>
        </w:tc>
      </w:tr>
      <w:tr w:rsidR="0087381E" w:rsidRPr="00781193" w:rsidTr="000B4FBA">
        <w:trPr>
          <w:trHeight w:val="300"/>
        </w:trPr>
        <w:tc>
          <w:tcPr>
            <w:tcW w:w="1560"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center"/>
          </w:tcPr>
          <w:p w:rsidR="0087381E" w:rsidRPr="00781193" w:rsidRDefault="0087381E" w:rsidP="000B4FBA">
            <w:pPr>
              <w:spacing w:after="0"/>
              <w:jc w:val="center"/>
              <w:rPr>
                <w:rFonts w:ascii="Times New Roman" w:hAnsi="Times New Roman" w:cs="Times New Roman"/>
                <w:color w:val="000000"/>
                <w:szCs w:val="24"/>
              </w:rPr>
            </w:pP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87381E" w:rsidRPr="00781193" w:rsidRDefault="0087381E" w:rsidP="000B4FBA">
            <w:pPr>
              <w:spacing w:after="0"/>
              <w:jc w:val="center"/>
              <w:rPr>
                <w:rFonts w:ascii="Times New Roman" w:hAnsi="Times New Roman" w:cs="Times New Roman"/>
                <w:color w:val="000000"/>
                <w:szCs w:val="24"/>
              </w:rPr>
            </w:pPr>
            <w:r w:rsidRPr="00781193">
              <w:rPr>
                <w:rFonts w:ascii="Times New Roman" w:hAnsi="Times New Roman" w:cs="Times New Roman"/>
                <w:color w:val="000000"/>
                <w:szCs w:val="24"/>
              </w:rPr>
              <w:t>0.7629</w:t>
            </w:r>
          </w:p>
        </w:tc>
        <w:tc>
          <w:tcPr>
            <w:tcW w:w="2122" w:type="dxa"/>
            <w:tcBorders>
              <w:top w:val="single" w:sz="4" w:space="0" w:color="00000A"/>
              <w:left w:val="single" w:sz="4" w:space="0" w:color="00000A"/>
              <w:bottom w:val="single" w:sz="4" w:space="0" w:color="00000A"/>
              <w:right w:val="single" w:sz="4" w:space="0" w:color="00000A"/>
            </w:tcBorders>
            <w:shd w:val="clear" w:color="auto" w:fill="auto"/>
            <w:tcMar>
              <w:left w:w="28" w:type="dxa"/>
              <w:right w:w="28" w:type="dxa"/>
            </w:tcMar>
            <w:vAlign w:val="center"/>
          </w:tcPr>
          <w:p w:rsidR="0087381E" w:rsidRPr="00781193" w:rsidRDefault="0087381E" w:rsidP="000B4FBA">
            <w:pPr>
              <w:spacing w:after="0"/>
              <w:rPr>
                <w:rFonts w:ascii="Times New Roman" w:hAnsi="Times New Roman" w:cs="Times New Roman"/>
                <w:color w:val="000000"/>
                <w:szCs w:val="24"/>
              </w:rPr>
            </w:pPr>
            <w:r w:rsidRPr="00781193">
              <w:rPr>
                <w:rFonts w:ascii="Times New Roman" w:hAnsi="Times New Roman" w:cs="Times New Roman"/>
                <w:color w:val="000000"/>
                <w:szCs w:val="24"/>
              </w:rPr>
              <w:t>Tacrolimus</w:t>
            </w:r>
          </w:p>
        </w:tc>
        <w:tc>
          <w:tcPr>
            <w:tcW w:w="4059"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right w:w="28" w:type="dxa"/>
            </w:tcMar>
          </w:tcPr>
          <w:p w:rsidR="0087381E" w:rsidRDefault="0087381E" w:rsidP="000B4FBA">
            <w:pPr>
              <w:spacing w:after="0"/>
              <w:rPr>
                <w:rFonts w:ascii="Times New Roman" w:hAnsi="Times New Roman" w:cs="Times New Roman"/>
                <w:color w:val="000000"/>
                <w:szCs w:val="24"/>
              </w:rPr>
            </w:pPr>
            <w:r w:rsidRPr="00781193">
              <w:rPr>
                <w:rFonts w:ascii="Times New Roman" w:hAnsi="Times New Roman" w:cs="Times New Roman"/>
                <w:color w:val="000000"/>
                <w:szCs w:val="24"/>
              </w:rPr>
              <w:t xml:space="preserve">Inhibits T-lymphocyte signal transduction and IL-2 transcription </w:t>
            </w:r>
          </w:p>
          <w:p w:rsidR="0087381E" w:rsidRPr="00781193" w:rsidRDefault="0087381E" w:rsidP="000B4FBA">
            <w:pPr>
              <w:spacing w:after="0"/>
              <w:rPr>
                <w:rFonts w:ascii="Times New Roman" w:hAnsi="Times New Roman" w:cs="Times New Roman"/>
              </w:rPr>
            </w:pPr>
            <w:r w:rsidRPr="00781193">
              <w:rPr>
                <w:rFonts w:ascii="Times New Roman" w:hAnsi="Times New Roman" w:cs="Times New Roman"/>
              </w:rPr>
              <w:fldChar w:fldCharType="begin"/>
            </w:r>
            <w:r w:rsidRPr="00781193">
              <w:rPr>
                <w:rFonts w:ascii="Times New Roman" w:hAnsi="Times New Roman" w:cs="Times New Roman"/>
              </w:rPr>
              <w:instrText>ADDIN CSL_CITATION { "citationItems" : [ { "id" : "ITEM-1", "itemData" : { "DOI" : "10.3332/ecancer.2020.1022", "ISSN" : "17546605", "PMID" : "32256705", "abstract" : "Background: Cancer and transplant patients with COVID-19 have a higher risk of developing severe and even fatal respiratory diseases, especially as they may be treated with immune-suppressive or immune-stimulating drugs. This review focuses on the effects of these drugs on host immunity against COVID-19. Methods: Using Ovid MEDLINE, we reviewed current evidence for immune-suppressing or -stimulating drugs: Cytotoxic chemotherapy, low-dose steroids, tumour necrosis factor\u03b1 (TNF\u03b1) blockers, interlukin-6 (IL-6) blockade, Janus kinase (JAK) inhibitors, IL-1 blockade, mycophenolate, tacrolimus, anti-CD20 and CTLA4-Ig. Results: 89 studies were included. Cytotoxic chemotherapy has been shown to be a specific inhibitor for severe acute respiratory syndrome coronavirus in in vitro studies, but no specific studies exist as of yet for COVID-19. No conclusive evidence for or against the use of non-steroidal anti-inflammatory drugs (NSAIDs) in the treatment of COVID-19 patients is available, nor is there evidence indicating that TNF\u03b1 blockade is harmful to patients in the context of COVID-19. COVID-19 has been observed to induce a proinflammatory cytokine generation and secretion of cytokines, such as IL-6, but there is no evidence of the beneficial impact of IL-6 inhibitors on the modulation of COVID-19. Although there are potential targets in the JAK-STAT pathway that can be manipulated in treatment for coronaviruses and it is evident that IL-1 is elevated in patients with a coronavirus, there is currently no evidence for a role of these drugs in treatment of COVID-19. Conclusion: The COVID-19 pandemic has led to challenging decision-making about treatment of critically unwell patients. Low-dose prednisolone and tacrolimus may have beneficial impacts on COVID-19. The mycophenolate mofetil picture is less clear, with conflicting data from pre-clinical studies. There is no definitive evidence that specific cytotoxic drugs, low-dose methotrexate for auto-immune disease, NSAIDs, JAK kinase inhibitors or anti-TNF\u03b1 agents are contraindicated. There is clear evidence that IL-6 peak levels are associated with severity of pulmonary complications.", "author" : [ { "dropping-particle" : "", "family" : "Russell", "given" : "Beth", "non-dropping-particle" : "", "parse-names" : false, "suffix" : "" }, { "dropping-particle" : "", "family" : "Moss", "given" : "Charlotte", "non-dropping-particle" : "", "parse-names" : false, "suffix" : "" }, { "dropping-particle" : "", "family" : "George", "given" : "Gincy", "non-dropping-particle" : "", "parse-names" : false, "suffix" : "" }, { "dropping-particle" : "", "family" : "Santaolalla", "given" : "Aida", "non-dropping-particle" : "", "parse-names" : false, "suffix" : "" }, { "dropping-particle" : "", "family" : "Cope", "given" : "Andrew", "non-dropping-particle" : "", "parse-names" : false, "suffix" : "" }, { "dropping-particle" : "", "family" : "Papa", "given" : "Sophie", "non-dropping-particle" : "", "parse-names" : false, "suffix" : "" }, { "dropping-particle" : "", "family" : "Hemelrijck", "given" : "Mieke", "non-dropping-particle" : "Van", "parse-names" : false, "suffix" : "" } ], "container-title" : "ecancermedicalscience", "id" : "ITEM-1", "issued" : { "date-parts" : [ [ "2020" ] ] }, "title" : "Associations between immune-suppressive and stimulating drugs and novel COVID-19 - A systematic review of current evidence", "type" : "article", "volume" : "14" }, "uris" : [ "http://www.mendeley.com/documents/?uuid=86e21a7e-5da0-44b2-bc81-962ce9fda633", "http://www.mendeley.com/documents/?uuid=3fd9c1b4-c345-4448-854c-39ff9d5465e5" ] } ], "mendeley" : { "formattedCitation" : "(Russell et al., 2020)", "plainTextFormattedCitation" : "(Russell et al., 2020)", "previouslyFormattedCitation" : "(Russell et al., 2020)" }, "properties" : { "noteIndex" : 0 }, "schema" : "https://github.com/citation-style-language/schema/raw/master/csl-citation.json" }</w:instrText>
            </w:r>
            <w:r w:rsidRPr="00781193">
              <w:rPr>
                <w:rFonts w:ascii="Times New Roman" w:hAnsi="Times New Roman" w:cs="Times New Roman"/>
              </w:rPr>
              <w:fldChar w:fldCharType="separate"/>
            </w:r>
            <w:bookmarkStart w:id="21" w:name="__Fieldmark__1872_770016373"/>
            <w:r w:rsidRPr="00781193">
              <w:rPr>
                <w:rFonts w:ascii="Times New Roman" w:hAnsi="Times New Roman" w:cs="Times New Roman"/>
                <w:color w:val="000000"/>
                <w:szCs w:val="24"/>
              </w:rPr>
              <w:t>(</w:t>
            </w:r>
            <w:bookmarkStart w:id="22" w:name="__Fieldmark__1925_43424498"/>
            <w:r w:rsidRPr="00781193">
              <w:rPr>
                <w:rFonts w:ascii="Times New Roman" w:hAnsi="Times New Roman" w:cs="Times New Roman"/>
                <w:color w:val="000000"/>
                <w:szCs w:val="24"/>
              </w:rPr>
              <w:t>Russell et al., 2020)</w:t>
            </w:r>
            <w:bookmarkEnd w:id="21"/>
            <w:bookmarkEnd w:id="22"/>
            <w:r w:rsidRPr="00781193">
              <w:rPr>
                <w:rFonts w:ascii="Times New Roman" w:hAnsi="Times New Roman" w:cs="Times New Roman"/>
              </w:rPr>
              <w:fldChar w:fldCharType="end"/>
            </w:r>
          </w:p>
        </w:tc>
      </w:tr>
      <w:tr w:rsidR="0087381E" w:rsidRPr="00781193" w:rsidTr="000B4FBA">
        <w:trPr>
          <w:trHeight w:val="300"/>
        </w:trPr>
        <w:tc>
          <w:tcPr>
            <w:tcW w:w="1560"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center"/>
          </w:tcPr>
          <w:p w:rsidR="0087381E" w:rsidRPr="00781193" w:rsidRDefault="0087381E" w:rsidP="000B4FBA">
            <w:pPr>
              <w:spacing w:after="0"/>
              <w:jc w:val="center"/>
              <w:rPr>
                <w:rFonts w:ascii="Times New Roman" w:hAnsi="Times New Roman" w:cs="Times New Roman"/>
                <w:color w:val="000000"/>
                <w:szCs w:val="24"/>
              </w:rPr>
            </w:pP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87381E" w:rsidRPr="00781193" w:rsidRDefault="0087381E" w:rsidP="000B4FBA">
            <w:pPr>
              <w:spacing w:after="0"/>
              <w:jc w:val="center"/>
              <w:rPr>
                <w:rFonts w:ascii="Times New Roman" w:hAnsi="Times New Roman" w:cs="Times New Roman"/>
                <w:color w:val="000000"/>
                <w:szCs w:val="24"/>
              </w:rPr>
            </w:pPr>
            <w:r w:rsidRPr="00781193">
              <w:rPr>
                <w:rFonts w:ascii="Times New Roman" w:hAnsi="Times New Roman" w:cs="Times New Roman"/>
                <w:color w:val="000000"/>
                <w:szCs w:val="24"/>
              </w:rPr>
              <w:t>0.7590</w:t>
            </w:r>
          </w:p>
        </w:tc>
        <w:tc>
          <w:tcPr>
            <w:tcW w:w="2122" w:type="dxa"/>
            <w:tcBorders>
              <w:top w:val="single" w:sz="4" w:space="0" w:color="00000A"/>
              <w:left w:val="single" w:sz="4" w:space="0" w:color="00000A"/>
              <w:bottom w:val="single" w:sz="4" w:space="0" w:color="00000A"/>
              <w:right w:val="single" w:sz="4" w:space="0" w:color="00000A"/>
            </w:tcBorders>
            <w:shd w:val="clear" w:color="auto" w:fill="auto"/>
            <w:tcMar>
              <w:left w:w="28" w:type="dxa"/>
              <w:right w:w="28" w:type="dxa"/>
            </w:tcMar>
            <w:vAlign w:val="center"/>
          </w:tcPr>
          <w:p w:rsidR="0087381E" w:rsidRPr="00781193" w:rsidRDefault="0087381E" w:rsidP="000B4FBA">
            <w:pPr>
              <w:spacing w:after="0"/>
              <w:rPr>
                <w:rFonts w:ascii="Times New Roman" w:hAnsi="Times New Roman" w:cs="Times New Roman"/>
                <w:color w:val="000000"/>
                <w:szCs w:val="24"/>
              </w:rPr>
            </w:pPr>
            <w:proofErr w:type="spellStart"/>
            <w:r w:rsidRPr="00781193">
              <w:rPr>
                <w:rFonts w:ascii="Times New Roman" w:hAnsi="Times New Roman" w:cs="Times New Roman"/>
                <w:color w:val="000000"/>
                <w:szCs w:val="24"/>
              </w:rPr>
              <w:t>Danoprevir</w:t>
            </w:r>
            <w:proofErr w:type="spellEnd"/>
          </w:p>
        </w:tc>
        <w:tc>
          <w:tcPr>
            <w:tcW w:w="4059"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right w:w="28" w:type="dxa"/>
            </w:tcMar>
          </w:tcPr>
          <w:p w:rsidR="0087381E" w:rsidRDefault="0087381E" w:rsidP="000B4FBA">
            <w:pPr>
              <w:spacing w:after="0"/>
              <w:rPr>
                <w:rFonts w:ascii="Times New Roman" w:hAnsi="Times New Roman" w:cs="Times New Roman"/>
                <w:color w:val="000000"/>
                <w:szCs w:val="24"/>
              </w:rPr>
            </w:pPr>
            <w:r w:rsidRPr="00781193">
              <w:rPr>
                <w:rFonts w:ascii="Times New Roman" w:hAnsi="Times New Roman" w:cs="Times New Roman"/>
                <w:color w:val="000000"/>
                <w:szCs w:val="24"/>
              </w:rPr>
              <w:t xml:space="preserve">HCV Protease Inhibitor </w:t>
            </w:r>
          </w:p>
          <w:p w:rsidR="0087381E" w:rsidRPr="00781193" w:rsidRDefault="0087381E" w:rsidP="000B4FBA">
            <w:pPr>
              <w:spacing w:after="0"/>
              <w:rPr>
                <w:rFonts w:ascii="Times New Roman" w:hAnsi="Times New Roman" w:cs="Times New Roman"/>
              </w:rPr>
            </w:pPr>
            <w:r w:rsidRPr="00781193">
              <w:rPr>
                <w:rFonts w:ascii="Times New Roman" w:hAnsi="Times New Roman" w:cs="Times New Roman"/>
              </w:rPr>
              <w:fldChar w:fldCharType="begin"/>
            </w:r>
            <w:r w:rsidRPr="00781193">
              <w:rPr>
                <w:rFonts w:ascii="Times New Roman" w:hAnsi="Times New Roman" w:cs="Times New Roman"/>
              </w:rPr>
              <w:instrText>ADDIN CSL_CITATION { "citationItems" : [ { "id" : "ITEM-1", "itemData" : { "DOI" : "10.1101/2020.03.22.20034041", "abstract" : "As coronavirus disease 2019 (COVID-19) outbreak, caused by the severe acute respiratory syndrome coronavirus-2 (SARS-CoV-2), started in China in January, 2020, repurposing approved drugs is emerging as important therapeutic options. We reported here the first clinical study using hepatitis C virus (HCV) protease inhibitor, danoprevir, to treat COVID-19 patients. Danoprevir (Ganovo) is a potent HCV protease (NS3/4A) inhibitor (IC50 = 0.29 nM), which was approved and marketed in China since 2018 to treat chronic hepatitis C patients. Ritonavir is a CYP3A4 inhibitor to enhance plasma concentration of danoprevir while it also acts as a human immunodeficiency virus (HIV) protease inhibitor at high doses. The chymotrypsin-like protease of SARS-CoV-2 shares structure similarity with HCV and HIV proteases. In the current clinical study (NCT04291729) conducted at the Nineth Hospital of Nanchang, we evaluated therapeutic effects of danoprevir, boosted by ritonavir, on treatment naive and experienced COVID-19 patients. The data from this small-sample clinical study showed that danoprevir boosted by ritonavir is safe and well tolerated in all patients. After 4 to 12-day treatment of danoprevir boosted by ritonavir, all eleven patients enrolled, two naive and nine experienced, were discharged from the hospital as they met all four conditions as follows: (1) normal body temperature for at least 3 days; (2) significantly improved respiratory symptoms; (3) lung imaging shows obvious absorption and recovery of acute exudative lesion; and (4) two consecutive RT-PCR negative tests of SARS-CoV-2 nucleotide acid (respiratory track sampling with interval at least one day). Our findings suggest that repurposing danoprevir for COVID-19 is a promising therapeutic option.Competing Interest StatementJinzi J Wu, PhD, one of the corresponding authors, is Chief Executive Officer of Ascletis Pharmaceuticals Co., Ltd. and Ascletis Bioscience Co., Ltd. (together \u0093Ascletis\u0094) which provided danoprevir and ritonavir and technical support to this study. Xiaodong Li and Yahong Chen are employees of Ascletis Bioscience Co. Ltd. Ascletis markets and sells danoprevir in China. The work described was original research that has not been published previously. All the authors listed have approved the manuscript that is enclosed. No other interest needs to be declared. Clinical TrialNCT04291729Funding StatementThis study is partially funded by Science and Technology Bureau of Nanchang City.Author D\u2026", "author" : [ { "dropping-particle" : "", "family" : "Chen", "given" : "Hongyi", "non-dropping-particle" : "", "parse-names" : false, "suffix" : "" }, { "dropping-particle" : "", "family" : "Zhang", "given" : "Zhicheng", "non-dropping-particle" : "", "parse-names" : false, "suffix" : "" }, { "dropping-particle" : "", "family" : "Wang", "given" : "Li", "non-dropping-particle" : "", "parse-names" : false, "suffix" : "" }, { "dropping-particle" : "", "family" : "Huang", "given" : "Zhihua", "non-dropping-particle" : "", "parse-names" : false, "suffix" : "" }, { "dropping-particle" : "", "family" : "Gong", "given" : "Fanghua", "non-dropping-particle" : "", "parse-names" : false, "suffix" : "" }, { "dropping-particle" : "", "family" : "Li", "given" : "Xiaodong", "non-dropping-particle" : "", "parse-names" : false, "suffix" : "" }, { "dropping-particle" : "", "family" : "Chen", "given" : "Yahong", "non-dropping-particle" : "", "parse-names" : false, "suffix" : "" }, { "dropping-particle" : "", "family" : "Wu", "given" : "Jinzi J", "non-dropping-particle" : "", "parse-names" : false, "suffix" : "" } ], "container-title" : "medRxiv", "id" : "ITEM-1", "issued" : { "date-parts" : [ [ "2020" ] ] }, "page" : "2020.03.22.20034041", "title" : "First Clinical Study Using HCV Protease Inhibitor Danoprevir to Treat Naive and Experienced COVID-19 Patients", "type" : "article-journal" }, "uris" : [ "http://www.mendeley.com/documents/?uuid=4972bbbe-b46e-440b-8475-54e1992d80fa", "http://www.mendeley.com/documents/?uuid=84c444c7-66dd-4f65-900a-496add583f47" ] } ], "mendeley" : { "formattedCitation" : "(Chen et al., 2020)", "plainTextFormattedCitation" : "(Chen et al., 2020)", "previouslyFormattedCitation" : "(Chen et al., 2020)" }, "properties" : { "noteIndex" : 0 }, "schema" : "https://github.com/citation-style-language/schema/raw/master/csl-citation.json" }</w:instrText>
            </w:r>
            <w:r w:rsidRPr="00781193">
              <w:rPr>
                <w:rFonts w:ascii="Times New Roman" w:hAnsi="Times New Roman" w:cs="Times New Roman"/>
              </w:rPr>
              <w:fldChar w:fldCharType="separate"/>
            </w:r>
            <w:bookmarkStart w:id="23" w:name="__Fieldmark__1882_770016373"/>
            <w:r w:rsidRPr="00781193">
              <w:rPr>
                <w:rFonts w:ascii="Times New Roman" w:hAnsi="Times New Roman" w:cs="Times New Roman"/>
                <w:color w:val="000000"/>
                <w:szCs w:val="24"/>
              </w:rPr>
              <w:t>(</w:t>
            </w:r>
            <w:bookmarkStart w:id="24" w:name="__Fieldmark__1933_43424498"/>
            <w:r w:rsidRPr="00781193">
              <w:rPr>
                <w:rFonts w:ascii="Times New Roman" w:hAnsi="Times New Roman" w:cs="Times New Roman"/>
                <w:color w:val="000000"/>
                <w:szCs w:val="24"/>
              </w:rPr>
              <w:t>Chen et al., 2020)</w:t>
            </w:r>
            <w:bookmarkEnd w:id="23"/>
            <w:bookmarkEnd w:id="24"/>
            <w:r w:rsidRPr="00781193">
              <w:rPr>
                <w:rFonts w:ascii="Times New Roman" w:hAnsi="Times New Roman" w:cs="Times New Roman"/>
              </w:rPr>
              <w:fldChar w:fldCharType="end"/>
            </w:r>
          </w:p>
        </w:tc>
      </w:tr>
      <w:tr w:rsidR="0087381E" w:rsidRPr="00781193" w:rsidTr="000B4FBA">
        <w:trPr>
          <w:trHeight w:val="300"/>
        </w:trPr>
        <w:tc>
          <w:tcPr>
            <w:tcW w:w="1560"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center"/>
          </w:tcPr>
          <w:p w:rsidR="0087381E" w:rsidRPr="00781193" w:rsidRDefault="0087381E" w:rsidP="000B4FBA">
            <w:pPr>
              <w:spacing w:after="0"/>
              <w:jc w:val="center"/>
              <w:rPr>
                <w:rFonts w:ascii="Times New Roman" w:hAnsi="Times New Roman" w:cs="Times New Roman"/>
                <w:color w:val="000000"/>
                <w:szCs w:val="24"/>
              </w:rPr>
            </w:pPr>
            <w:r w:rsidRPr="00781193">
              <w:rPr>
                <w:rFonts w:ascii="Times New Roman" w:hAnsi="Times New Roman" w:cs="Times New Roman"/>
                <w:color w:val="000000"/>
                <w:szCs w:val="24"/>
              </w:rPr>
              <w:t>Ritonavir</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87381E" w:rsidRPr="00781193" w:rsidRDefault="0087381E" w:rsidP="000B4FBA">
            <w:pPr>
              <w:spacing w:after="0"/>
              <w:jc w:val="center"/>
              <w:rPr>
                <w:rFonts w:ascii="Times New Roman" w:hAnsi="Times New Roman" w:cs="Times New Roman"/>
                <w:color w:val="000000"/>
                <w:szCs w:val="24"/>
              </w:rPr>
            </w:pPr>
            <w:r w:rsidRPr="00781193">
              <w:rPr>
                <w:rFonts w:ascii="Times New Roman" w:hAnsi="Times New Roman" w:cs="Times New Roman"/>
                <w:color w:val="000000"/>
                <w:szCs w:val="24"/>
              </w:rPr>
              <w:t>1.0</w:t>
            </w:r>
          </w:p>
        </w:tc>
        <w:tc>
          <w:tcPr>
            <w:tcW w:w="2122" w:type="dxa"/>
            <w:tcBorders>
              <w:top w:val="single" w:sz="4" w:space="0" w:color="00000A"/>
              <w:left w:val="single" w:sz="4" w:space="0" w:color="00000A"/>
              <w:bottom w:val="single" w:sz="4" w:space="0" w:color="00000A"/>
              <w:right w:val="single" w:sz="4" w:space="0" w:color="00000A"/>
            </w:tcBorders>
            <w:shd w:val="clear" w:color="auto" w:fill="auto"/>
            <w:tcMar>
              <w:left w:w="28" w:type="dxa"/>
              <w:right w:w="28" w:type="dxa"/>
            </w:tcMar>
            <w:vAlign w:val="center"/>
          </w:tcPr>
          <w:p w:rsidR="0087381E" w:rsidRPr="00781193" w:rsidRDefault="0087381E" w:rsidP="000B4FBA">
            <w:pPr>
              <w:spacing w:after="0"/>
              <w:rPr>
                <w:rFonts w:ascii="Times New Roman" w:hAnsi="Times New Roman" w:cs="Times New Roman"/>
                <w:color w:val="000000"/>
                <w:szCs w:val="24"/>
              </w:rPr>
            </w:pPr>
            <w:r w:rsidRPr="00781193">
              <w:rPr>
                <w:rFonts w:ascii="Times New Roman" w:hAnsi="Times New Roman" w:cs="Times New Roman"/>
                <w:color w:val="000000"/>
                <w:szCs w:val="24"/>
              </w:rPr>
              <w:t>Ritonavir</w:t>
            </w:r>
          </w:p>
        </w:tc>
        <w:tc>
          <w:tcPr>
            <w:tcW w:w="4059"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right w:w="28" w:type="dxa"/>
            </w:tcMar>
          </w:tcPr>
          <w:p w:rsidR="0087381E" w:rsidRDefault="0087381E" w:rsidP="000B4FBA">
            <w:pPr>
              <w:spacing w:after="0"/>
              <w:rPr>
                <w:rFonts w:ascii="Times New Roman" w:hAnsi="Times New Roman" w:cs="Times New Roman"/>
                <w:color w:val="000000"/>
                <w:szCs w:val="24"/>
              </w:rPr>
            </w:pPr>
            <w:r w:rsidRPr="00781193">
              <w:rPr>
                <w:rFonts w:ascii="Times New Roman" w:hAnsi="Times New Roman" w:cs="Times New Roman"/>
                <w:color w:val="000000"/>
                <w:szCs w:val="24"/>
              </w:rPr>
              <w:t xml:space="preserve">Antiretroviral protease inhibitor </w:t>
            </w:r>
          </w:p>
          <w:p w:rsidR="0087381E" w:rsidRPr="00781193" w:rsidRDefault="0087381E" w:rsidP="000B4FBA">
            <w:pPr>
              <w:spacing w:after="0"/>
              <w:rPr>
                <w:rFonts w:ascii="Times New Roman" w:hAnsi="Times New Roman" w:cs="Times New Roman"/>
              </w:rPr>
            </w:pPr>
            <w:r w:rsidRPr="00781193">
              <w:rPr>
                <w:rFonts w:ascii="Times New Roman" w:hAnsi="Times New Roman" w:cs="Times New Roman"/>
              </w:rPr>
              <w:fldChar w:fldCharType="begin"/>
            </w:r>
            <w:r w:rsidRPr="00781193">
              <w:rPr>
                <w:rFonts w:ascii="Times New Roman" w:hAnsi="Times New Roman" w:cs="Times New Roman"/>
              </w:rPr>
              <w:instrText>ADDIN CSL_CITATION { "citationItems" : [ { "id" : "ITEM-1", "itemData" : { "DOI" : "10.1124/dmd.111.041400", "ISSN" : "00909556", "abstract" : "The combination of lopinavir (LPV) and ritonavir (RTV) is one of the preferred regimens for the treatment of HIV infection with confirmed efficacy and relatively low toxicity. LPV alone suffers the poor bioavailability due to its rapid and extensive metabolism. RTV boosts the plasma concentration of LPV by suppressing its metabolism and thus increasing LPV efficacy. In the current study, we found that RTV also inhibits LPV bioactivation. LPV bioactivation was investigated in human liver microsomes and cDNA-expressed human cytochromes P450. Twelve GSH-trapped reactive metabolites of LPV were identified by using a metabolomic approach. Semicarbazide-trapped reactive metabolites of LPV were also detected. RTV effectively suppressed all pathways of LPV bioactivation via CYP3A4 inhibition. Our data together with previous reports suggest that LPV plus RTV is an ideal combination because RTV not only boosts LPV plasma concentration, but it decreases LPV bioactivation. Copyright \u00a9 2012 by The American Society for Pharmacology and Experimental Therapeutics.", "author" : [ { "dropping-particle" : "", "family" : "Li", "given" : "Feng", "non-dropping-particle" : "", "parse-names" : false, "suffix" : "" }, { "dropping-particle" : "", "family" : "Lu", "given" : "Jie", "non-dropping-particle" : "", "parse-names" : false, "suffix" : "" }, { "dropping-particle" : "", "family" : "Ma", "given" : "Xiaochao", "non-dropping-particle" : "", "parse-names" : false, "suffix" : "" } ], "container-title" : "Drug Metabolism and Disposition", "id" : "ITEM-1", "issue" : "1", "issued" : { "date-parts" : [ [ "2012" ] ] }, "page" : "18-24", "title" : "CPY3A4-mediated lopinavir bioactivation and its inhibition by ritonavir", "type" : "article-journal", "volume" : "40" }, "uris" : [ "http://www.mendeley.com/documents/?uuid=1db794e3-0b95-4823-8d0f-d9970289e76a", "http://www.mendeley.com/documents/?uuid=3a6be7ac-267a-49e8-99b2-8d9d2dd6d7c9" ] } ], "mendeley" : { "formattedCitation" : "(Li et al., 2012)", "plainTextFormattedCitation" : "(Li et al., 2012)", "previouslyFormattedCitation" : "(Li et al., 2012)" }, "properties" : { "noteIndex" : 0 }, "schema" : "https://github.com/citation-style-language/schema/raw/master/csl-citation.json" }</w:instrText>
            </w:r>
            <w:r w:rsidRPr="00781193">
              <w:rPr>
                <w:rFonts w:ascii="Times New Roman" w:hAnsi="Times New Roman" w:cs="Times New Roman"/>
              </w:rPr>
              <w:fldChar w:fldCharType="separate"/>
            </w:r>
            <w:bookmarkStart w:id="25" w:name="__Fieldmark__1893_770016373"/>
            <w:r w:rsidRPr="00781193">
              <w:rPr>
                <w:rFonts w:ascii="Times New Roman" w:hAnsi="Times New Roman" w:cs="Times New Roman"/>
                <w:color w:val="000000"/>
                <w:szCs w:val="24"/>
              </w:rPr>
              <w:t>(</w:t>
            </w:r>
            <w:bookmarkStart w:id="26" w:name="__Fieldmark__1942_43424498"/>
            <w:r w:rsidRPr="00781193">
              <w:rPr>
                <w:rFonts w:ascii="Times New Roman" w:hAnsi="Times New Roman" w:cs="Times New Roman"/>
                <w:color w:val="000000"/>
                <w:szCs w:val="24"/>
              </w:rPr>
              <w:t>Li et al., 2012)</w:t>
            </w:r>
            <w:bookmarkEnd w:id="25"/>
            <w:bookmarkEnd w:id="26"/>
            <w:r w:rsidRPr="00781193">
              <w:rPr>
                <w:rFonts w:ascii="Times New Roman" w:hAnsi="Times New Roman" w:cs="Times New Roman"/>
              </w:rPr>
              <w:fldChar w:fldCharType="end"/>
            </w:r>
          </w:p>
        </w:tc>
      </w:tr>
      <w:tr w:rsidR="0087381E" w:rsidRPr="00781193" w:rsidTr="000B4FBA">
        <w:trPr>
          <w:trHeight w:val="148"/>
        </w:trPr>
        <w:tc>
          <w:tcPr>
            <w:tcW w:w="1560" w:type="dxa"/>
            <w:vMerge/>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87381E" w:rsidRPr="00781193" w:rsidRDefault="0087381E" w:rsidP="000B4FBA">
            <w:pPr>
              <w:spacing w:after="0"/>
              <w:jc w:val="center"/>
              <w:rPr>
                <w:rFonts w:ascii="Times New Roman" w:hAnsi="Times New Roman" w:cs="Times New Roman"/>
                <w:color w:val="000000"/>
                <w:szCs w:val="24"/>
              </w:rPr>
            </w:pP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87381E" w:rsidRPr="00781193" w:rsidRDefault="0087381E" w:rsidP="000B4FBA">
            <w:pPr>
              <w:spacing w:after="0"/>
              <w:jc w:val="center"/>
              <w:rPr>
                <w:rFonts w:ascii="Times New Roman" w:hAnsi="Times New Roman" w:cs="Times New Roman"/>
                <w:color w:val="000000"/>
                <w:szCs w:val="24"/>
              </w:rPr>
            </w:pPr>
            <w:r w:rsidRPr="00781193">
              <w:rPr>
                <w:rFonts w:ascii="Times New Roman" w:hAnsi="Times New Roman" w:cs="Times New Roman"/>
                <w:color w:val="000000"/>
                <w:szCs w:val="24"/>
              </w:rPr>
              <w:t>0.8082</w:t>
            </w:r>
          </w:p>
        </w:tc>
        <w:tc>
          <w:tcPr>
            <w:tcW w:w="2122" w:type="dxa"/>
            <w:tcBorders>
              <w:top w:val="single" w:sz="4" w:space="0" w:color="00000A"/>
              <w:left w:val="single" w:sz="4" w:space="0" w:color="00000A"/>
              <w:bottom w:val="single" w:sz="4" w:space="0" w:color="00000A"/>
              <w:right w:val="single" w:sz="4" w:space="0" w:color="00000A"/>
            </w:tcBorders>
            <w:shd w:val="clear" w:color="auto" w:fill="auto"/>
            <w:tcMar>
              <w:left w:w="28" w:type="dxa"/>
              <w:right w:w="28" w:type="dxa"/>
            </w:tcMar>
            <w:vAlign w:val="center"/>
          </w:tcPr>
          <w:p w:rsidR="0087381E" w:rsidRPr="00781193" w:rsidRDefault="0087381E" w:rsidP="000B4FBA">
            <w:pPr>
              <w:spacing w:after="0"/>
              <w:rPr>
                <w:rFonts w:ascii="Times New Roman" w:hAnsi="Times New Roman" w:cs="Times New Roman"/>
                <w:color w:val="000000"/>
                <w:szCs w:val="24"/>
              </w:rPr>
            </w:pPr>
            <w:proofErr w:type="spellStart"/>
            <w:r w:rsidRPr="00781193">
              <w:rPr>
                <w:rFonts w:ascii="Times New Roman" w:hAnsi="Times New Roman" w:cs="Times New Roman"/>
                <w:color w:val="000000"/>
                <w:szCs w:val="24"/>
              </w:rPr>
              <w:t>Cobicistat</w:t>
            </w:r>
            <w:proofErr w:type="spellEnd"/>
          </w:p>
        </w:tc>
        <w:tc>
          <w:tcPr>
            <w:tcW w:w="4059"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right w:w="28" w:type="dxa"/>
            </w:tcMar>
          </w:tcPr>
          <w:p w:rsidR="0087381E" w:rsidRPr="00781193" w:rsidRDefault="0087381E" w:rsidP="000B4FBA">
            <w:pPr>
              <w:spacing w:after="0"/>
              <w:rPr>
                <w:rFonts w:ascii="Times New Roman" w:hAnsi="Times New Roman" w:cs="Times New Roman"/>
              </w:rPr>
            </w:pPr>
            <w:r w:rsidRPr="00781193">
              <w:rPr>
                <w:rFonts w:ascii="Times New Roman" w:hAnsi="Times New Roman" w:cs="Times New Roman"/>
                <w:color w:val="000000"/>
                <w:szCs w:val="24"/>
              </w:rPr>
              <w:t xml:space="preserve">Cytochrome P450 (CYP3A) inhibition </w:t>
            </w:r>
            <w:r w:rsidRPr="00781193">
              <w:rPr>
                <w:rFonts w:ascii="Times New Roman" w:hAnsi="Times New Roman" w:cs="Times New Roman"/>
              </w:rPr>
              <w:fldChar w:fldCharType="begin"/>
            </w:r>
            <w:r w:rsidRPr="00781193">
              <w:rPr>
                <w:rFonts w:ascii="Times New Roman" w:hAnsi="Times New Roman" w:cs="Times New Roman"/>
              </w:rPr>
              <w:instrText>ADDIN CSL_CITATION { "citationItems" : [ { "id" : "ITEM-1", "itemData" : { "DOI" : "10.1038/clpt.2009.228", "ISSN" : "00099236", "abstract" : "GS-9350 is a new chemical entity under development as a potent, mechanism-based inhibitor of human cytochrome P450 3A (CYP3A) isoforms. Its intended use is to increase the systemic exposure of coadministered agents that are metabolized by CYP3A enzymes. Unlike ritonavir, which is in current clinical use for this purpose, GS-9350 is devoid of anti-HIV activity. The pharmacokinetics of GS-9350 and its efficacy in increasing systemic exposure of the probe CYP3A substrate midazolam were examined in a study involving single-and multiple-dose escalations of GS-9350 from 50 to 400mg. Single-dose escalation from 50 to 400mg resulted in a 164-fold increase in GS-9350 exposure, whereas multiple-dose escalation in the dosage range of 50-300mg resulted in a 47-fold increase in exposure. GS-9350 potently inhibited midazolam apparent clearance (95% reduction), similar in effect to ritonavir 100mg. GS-9350 was generally well tolerated at all doses, and there was no evidence of dose-limiting toxicity. Establishing proof-of-concept, GS-9350 is currently under phase II development as a potential alternative to ritonavir for use with antiretroviral agents (including the HIV integrase inhibitor elvitegravir) that are often prescribed along with a booster drug. \u00a9 2009 American Society for clinical Pharmacology and Therapeutics.", "author" : [ { "dropping-particle" : "", "family" : "Mathias", "given" : "A. A.", "non-dropping-particle" : "", "parse-names" : false, "suffix" : "" }, { "dropping-particle" : "", "family" : "German", "given" : "P.", "non-dropping-particle" : "", "parse-names" : false, "suffix" : "" }, { "dropping-particle" : "", "family" : "Murray", "given" : "B. P.", "non-dropping-particle" : "", "parse-names" : false, "suffix" : "" }, { "dropping-particle" : "", "family" : "Wei", "given" : "L.", "non-dropping-particle" : "", "parse-names" : false, "suffix" : "" }, { "dropping-particle" : "", "family" : "Jain", "given" : "A.", "non-dropping-particle" : "", "parse-names" : false, "suffix" : "" }, { "dropping-particle" : "", "family" : "West", "given" : "S.", "non-dropping-particle" : "", "parse-names" : false, "suffix" : "" }, { "dropping-particle" : "", "family" : "Warren", "given" : "D.", "non-dropping-particle" : "", "parse-names" : false, "suffix" : "" }, { "dropping-particle" : "", "family" : "Hui", "given" : "J.", "non-dropping-particle" : "", "parse-names" : false, "suffix" : "" }, { "dropping-particle" : "", "family" : "Kearney", "given" : "B. P.", "non-dropping-particle" : "", "parse-names" : false, "suffix" : "" } ], "container-title" : "Clinical Pharmacology and Therapeutics", "id" : "ITEM-1", "issue" : "3", "issued" : { "date-parts" : [ [ "2010" ] ] }, "page" : "322-329", "title" : "Pharmacokinetics and pharmacodynamics of gs-9350: A novel pharmacokinetic enhancer without Anti-HIV activity", "type" : "article-journal", "volume" : "87" }, "uris" : [ "http://www.mendeley.com/documents/?uuid=433b95a5-e637-4de8-b31e-007be7394307", "http://www.mendeley.com/documents/?uuid=21da936a-367d-494b-bf63-bad77da44bb1" ] } ], "mendeley" : { "formattedCitation" : "(Mathias et al., 2010)", "plainTextFormattedCitation" : "(Mathias et al., 2010)", "previouslyFormattedCitation" : "(Mathias et al., 2010)" }, "properties" : { "noteIndex" : 0 }, "schema" : "https://github.com/citation-style-language/schema/raw/master/csl-citation.json" }</w:instrText>
            </w:r>
            <w:r w:rsidRPr="00781193">
              <w:rPr>
                <w:rFonts w:ascii="Times New Roman" w:hAnsi="Times New Roman" w:cs="Times New Roman"/>
              </w:rPr>
              <w:fldChar w:fldCharType="separate"/>
            </w:r>
            <w:bookmarkStart w:id="27" w:name="__Fieldmark__1903_770016373"/>
            <w:r w:rsidRPr="00781193">
              <w:rPr>
                <w:rFonts w:ascii="Times New Roman" w:hAnsi="Times New Roman" w:cs="Times New Roman"/>
                <w:color w:val="000000"/>
                <w:szCs w:val="24"/>
              </w:rPr>
              <w:t>(</w:t>
            </w:r>
            <w:bookmarkStart w:id="28" w:name="__Fieldmark__1950_43424498"/>
            <w:r w:rsidRPr="00781193">
              <w:rPr>
                <w:rFonts w:ascii="Times New Roman" w:hAnsi="Times New Roman" w:cs="Times New Roman"/>
                <w:color w:val="000000"/>
                <w:szCs w:val="24"/>
              </w:rPr>
              <w:t>Mathias et al., 2010)</w:t>
            </w:r>
            <w:bookmarkEnd w:id="27"/>
            <w:bookmarkEnd w:id="28"/>
            <w:r w:rsidRPr="00781193">
              <w:rPr>
                <w:rFonts w:ascii="Times New Roman" w:hAnsi="Times New Roman" w:cs="Times New Roman"/>
              </w:rPr>
              <w:fldChar w:fldCharType="end"/>
            </w:r>
          </w:p>
        </w:tc>
      </w:tr>
      <w:tr w:rsidR="0087381E" w:rsidRPr="00781193" w:rsidTr="000B4FBA">
        <w:trPr>
          <w:trHeight w:val="401"/>
        </w:trPr>
        <w:tc>
          <w:tcPr>
            <w:tcW w:w="1560"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center"/>
          </w:tcPr>
          <w:p w:rsidR="0087381E" w:rsidRPr="00781193" w:rsidRDefault="0087381E" w:rsidP="000B4FBA">
            <w:pPr>
              <w:spacing w:after="0"/>
              <w:jc w:val="center"/>
              <w:rPr>
                <w:rFonts w:ascii="Times New Roman" w:hAnsi="Times New Roman" w:cs="Times New Roman"/>
                <w:color w:val="000000"/>
                <w:szCs w:val="24"/>
              </w:rPr>
            </w:pP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87381E" w:rsidRPr="00781193" w:rsidRDefault="0087381E" w:rsidP="000B4FBA">
            <w:pPr>
              <w:spacing w:after="0"/>
              <w:jc w:val="center"/>
              <w:rPr>
                <w:rFonts w:ascii="Times New Roman" w:hAnsi="Times New Roman" w:cs="Times New Roman"/>
                <w:color w:val="000000"/>
                <w:szCs w:val="24"/>
              </w:rPr>
            </w:pPr>
            <w:r w:rsidRPr="00781193">
              <w:rPr>
                <w:rFonts w:ascii="Times New Roman" w:hAnsi="Times New Roman" w:cs="Times New Roman"/>
                <w:color w:val="000000"/>
                <w:szCs w:val="24"/>
              </w:rPr>
              <w:t>0.7561</w:t>
            </w:r>
          </w:p>
        </w:tc>
        <w:tc>
          <w:tcPr>
            <w:tcW w:w="2122" w:type="dxa"/>
            <w:tcBorders>
              <w:top w:val="single" w:sz="4" w:space="0" w:color="00000A"/>
              <w:left w:val="single" w:sz="4" w:space="0" w:color="00000A"/>
              <w:bottom w:val="single" w:sz="4" w:space="0" w:color="00000A"/>
              <w:right w:val="single" w:sz="4" w:space="0" w:color="00000A"/>
            </w:tcBorders>
            <w:shd w:val="clear" w:color="auto" w:fill="auto"/>
            <w:tcMar>
              <w:left w:w="28" w:type="dxa"/>
              <w:right w:w="28" w:type="dxa"/>
            </w:tcMar>
            <w:vAlign w:val="center"/>
          </w:tcPr>
          <w:p w:rsidR="0087381E" w:rsidRPr="00781193" w:rsidRDefault="0087381E" w:rsidP="000B4FBA">
            <w:pPr>
              <w:spacing w:after="0"/>
              <w:rPr>
                <w:rFonts w:ascii="Times New Roman" w:hAnsi="Times New Roman" w:cs="Times New Roman"/>
                <w:color w:val="000000"/>
                <w:szCs w:val="24"/>
              </w:rPr>
            </w:pPr>
            <w:proofErr w:type="spellStart"/>
            <w:r w:rsidRPr="00781193">
              <w:rPr>
                <w:rFonts w:ascii="Times New Roman" w:hAnsi="Times New Roman" w:cs="Times New Roman"/>
                <w:color w:val="000000"/>
                <w:szCs w:val="24"/>
              </w:rPr>
              <w:t>Lopinavir</w:t>
            </w:r>
            <w:proofErr w:type="spellEnd"/>
          </w:p>
        </w:tc>
        <w:tc>
          <w:tcPr>
            <w:tcW w:w="4059"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right w:w="28" w:type="dxa"/>
            </w:tcMar>
          </w:tcPr>
          <w:p w:rsidR="0087381E" w:rsidRDefault="0087381E" w:rsidP="000B4FBA">
            <w:pPr>
              <w:spacing w:after="0"/>
              <w:rPr>
                <w:rFonts w:ascii="Times New Roman" w:hAnsi="Times New Roman" w:cs="Times New Roman"/>
                <w:color w:val="000000"/>
                <w:szCs w:val="24"/>
              </w:rPr>
            </w:pPr>
            <w:r w:rsidRPr="00781193">
              <w:rPr>
                <w:rFonts w:ascii="Times New Roman" w:hAnsi="Times New Roman" w:cs="Times New Roman"/>
                <w:color w:val="000000"/>
                <w:szCs w:val="24"/>
              </w:rPr>
              <w:t xml:space="preserve">antiretroviral protease inhibitor </w:t>
            </w:r>
          </w:p>
          <w:p w:rsidR="0087381E" w:rsidRPr="00781193" w:rsidRDefault="0087381E" w:rsidP="000B4FBA">
            <w:pPr>
              <w:spacing w:after="0"/>
              <w:rPr>
                <w:rFonts w:ascii="Times New Roman" w:hAnsi="Times New Roman" w:cs="Times New Roman"/>
              </w:rPr>
            </w:pPr>
            <w:r w:rsidRPr="00781193">
              <w:rPr>
                <w:rFonts w:ascii="Times New Roman" w:hAnsi="Times New Roman" w:cs="Times New Roman"/>
              </w:rPr>
              <w:fldChar w:fldCharType="begin"/>
            </w:r>
            <w:r w:rsidRPr="00781193">
              <w:rPr>
                <w:rFonts w:ascii="Times New Roman" w:hAnsi="Times New Roman" w:cs="Times New Roman"/>
              </w:rPr>
              <w:instrText>ADDIN CSL_CITATION { "citationItems" : [ { "id" : "ITEM-1", "itemData" : { "DOI" : "10.1124/dmd.111.041400", "ISSN" : "00909556", "abstract" : "The combination of lopinavir (LPV) and ritonavir (RTV) is one of the preferred regimens for the treatment of HIV infection with confirmed efficacy and relatively low toxicity. LPV alone suffers the poor bioavailability due to its rapid and extensive metabolism. RTV boosts the plasma concentration of LPV by suppressing its metabolism and thus increasing LPV efficacy. In the current study, we found that RTV also inhibits LPV bioactivation. LPV bioactivation was investigated in human liver microsomes and cDNA-expressed human cytochromes P450. Twelve GSH-trapped reactive metabolites of LPV were identified by using a metabolomic approach. Semicarbazide-trapped reactive metabolites of LPV were also detected. RTV effectively suppressed all pathways of LPV bioactivation via CYP3A4 inhibition. Our data together with previous reports suggest that LPV plus RTV is an ideal combination because RTV not only boosts LPV plasma concentration, but it decreases LPV bioactivation. Copyright \u00a9 2012 by The American Society for Pharmacology and Experimental Therapeutics.", "author" : [ { "dropping-particle" : "", "family" : "Li", "given" : "Feng", "non-dropping-particle" : "", "parse-names" : false, "suffix" : "" }, { "dropping-particle" : "", "family" : "Lu", "given" : "Jie", "non-dropping-particle" : "", "parse-names" : false, "suffix" : "" }, { "dropping-particle" : "", "family" : "Ma", "given" : "Xiaochao", "non-dropping-particle" : "", "parse-names" : false, "suffix" : "" } ], "container-title" : "Drug Metabolism and Disposition", "id" : "ITEM-1", "issue" : "1", "issued" : { "date-parts" : [ [ "2012" ] ] }, "page" : "18-24", "title" : "CPY3A4-mediated lopinavir bioactivation and its inhibition by ritonavir", "type" : "article-journal", "volume" : "40" }, "uris" : [ "http://www.mendeley.com/documents/?uuid=1db794e3-0b95-4823-8d0f-d9970289e76a", "http://www.mendeley.com/documents/?uuid=3a6be7ac-267a-49e8-99b2-8d9d2dd6d7c9" ] } ], "mendeley" : { "formattedCitation" : "(Li et al., 2012)", "plainTextFormattedCitation" : "(Li et al., 2012)", "previouslyFormattedCitation" : "(Li et al., 2012)" }, "properties" : { "noteIndex" : 0 }, "schema" : "https://github.com/citation-style-language/schema/raw/master/csl-citation.json" }</w:instrText>
            </w:r>
            <w:r w:rsidRPr="00781193">
              <w:rPr>
                <w:rFonts w:ascii="Times New Roman" w:hAnsi="Times New Roman" w:cs="Times New Roman"/>
              </w:rPr>
              <w:fldChar w:fldCharType="separate"/>
            </w:r>
            <w:bookmarkStart w:id="29" w:name="__Fieldmark__1913_770016373"/>
            <w:r w:rsidRPr="00781193">
              <w:rPr>
                <w:rFonts w:ascii="Times New Roman" w:hAnsi="Times New Roman" w:cs="Times New Roman"/>
                <w:color w:val="000000"/>
                <w:szCs w:val="24"/>
              </w:rPr>
              <w:t>(</w:t>
            </w:r>
            <w:bookmarkStart w:id="30" w:name="__Fieldmark__1958_43424498"/>
            <w:r w:rsidRPr="00781193">
              <w:rPr>
                <w:rFonts w:ascii="Times New Roman" w:hAnsi="Times New Roman" w:cs="Times New Roman"/>
                <w:color w:val="000000"/>
                <w:szCs w:val="24"/>
              </w:rPr>
              <w:t>Li et al., 2012)</w:t>
            </w:r>
            <w:bookmarkEnd w:id="29"/>
            <w:bookmarkEnd w:id="30"/>
            <w:r w:rsidRPr="00781193">
              <w:rPr>
                <w:rFonts w:ascii="Times New Roman" w:hAnsi="Times New Roman" w:cs="Times New Roman"/>
              </w:rPr>
              <w:fldChar w:fldCharType="end"/>
            </w:r>
          </w:p>
        </w:tc>
      </w:tr>
      <w:tr w:rsidR="0087381E" w:rsidRPr="00781193" w:rsidTr="000B4FBA">
        <w:trPr>
          <w:trHeight w:val="300"/>
        </w:trPr>
        <w:tc>
          <w:tcPr>
            <w:tcW w:w="1560"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center"/>
          </w:tcPr>
          <w:p w:rsidR="0087381E" w:rsidRPr="00781193" w:rsidRDefault="0087381E" w:rsidP="000B4FBA">
            <w:pPr>
              <w:spacing w:after="0"/>
              <w:jc w:val="center"/>
              <w:rPr>
                <w:rFonts w:ascii="Times New Roman" w:hAnsi="Times New Roman" w:cs="Times New Roman"/>
                <w:color w:val="000000"/>
                <w:szCs w:val="24"/>
              </w:rPr>
            </w:pPr>
            <w:r w:rsidRPr="00781193">
              <w:rPr>
                <w:rFonts w:ascii="Times New Roman" w:hAnsi="Times New Roman" w:cs="Times New Roman"/>
                <w:color w:val="000000"/>
                <w:szCs w:val="24"/>
              </w:rPr>
              <w:t>Valsartan</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87381E" w:rsidRPr="00781193" w:rsidRDefault="0087381E" w:rsidP="000B4FBA">
            <w:pPr>
              <w:spacing w:after="0"/>
              <w:jc w:val="center"/>
              <w:rPr>
                <w:rFonts w:ascii="Times New Roman" w:hAnsi="Times New Roman" w:cs="Times New Roman"/>
                <w:color w:val="000000"/>
                <w:szCs w:val="24"/>
              </w:rPr>
            </w:pPr>
            <w:r w:rsidRPr="00781193">
              <w:rPr>
                <w:rFonts w:ascii="Times New Roman" w:hAnsi="Times New Roman" w:cs="Times New Roman"/>
                <w:color w:val="000000"/>
                <w:szCs w:val="24"/>
              </w:rPr>
              <w:t>1.0</w:t>
            </w:r>
          </w:p>
        </w:tc>
        <w:tc>
          <w:tcPr>
            <w:tcW w:w="2122" w:type="dxa"/>
            <w:tcBorders>
              <w:top w:val="single" w:sz="4" w:space="0" w:color="00000A"/>
              <w:left w:val="single" w:sz="4" w:space="0" w:color="00000A"/>
              <w:bottom w:val="single" w:sz="4" w:space="0" w:color="00000A"/>
              <w:right w:val="single" w:sz="4" w:space="0" w:color="00000A"/>
            </w:tcBorders>
            <w:shd w:val="clear" w:color="auto" w:fill="auto"/>
            <w:tcMar>
              <w:left w:w="28" w:type="dxa"/>
              <w:right w:w="28" w:type="dxa"/>
            </w:tcMar>
            <w:vAlign w:val="center"/>
          </w:tcPr>
          <w:p w:rsidR="0087381E" w:rsidRPr="00781193" w:rsidRDefault="0087381E" w:rsidP="000B4FBA">
            <w:pPr>
              <w:spacing w:after="0"/>
              <w:rPr>
                <w:rFonts w:ascii="Times New Roman" w:hAnsi="Times New Roman" w:cs="Times New Roman"/>
                <w:color w:val="000000"/>
                <w:szCs w:val="24"/>
              </w:rPr>
            </w:pPr>
            <w:r w:rsidRPr="00781193">
              <w:rPr>
                <w:rFonts w:ascii="Times New Roman" w:hAnsi="Times New Roman" w:cs="Times New Roman"/>
                <w:color w:val="000000"/>
                <w:szCs w:val="24"/>
              </w:rPr>
              <w:t>Valsartan</w:t>
            </w:r>
          </w:p>
        </w:tc>
        <w:tc>
          <w:tcPr>
            <w:tcW w:w="4059"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right w:w="28" w:type="dxa"/>
            </w:tcMar>
          </w:tcPr>
          <w:p w:rsidR="0087381E" w:rsidRPr="00781193" w:rsidRDefault="0087381E" w:rsidP="000B4FBA">
            <w:pPr>
              <w:spacing w:after="0"/>
              <w:rPr>
                <w:rFonts w:ascii="Times New Roman" w:hAnsi="Times New Roman" w:cs="Times New Roman"/>
              </w:rPr>
            </w:pPr>
            <w:r w:rsidRPr="00781193">
              <w:rPr>
                <w:rFonts w:ascii="Times New Roman" w:hAnsi="Times New Roman" w:cs="Times New Roman"/>
                <w:color w:val="000000"/>
                <w:szCs w:val="24"/>
              </w:rPr>
              <w:t xml:space="preserve">Angiotensin converting enzyme (ACE) inhibitors and angiotensin receptor blockers </w:t>
            </w:r>
            <w:r w:rsidRPr="00781193">
              <w:rPr>
                <w:rFonts w:ascii="Times New Roman" w:hAnsi="Times New Roman" w:cs="Times New Roman"/>
              </w:rPr>
              <w:fldChar w:fldCharType="begin"/>
            </w:r>
            <w:r w:rsidRPr="00781193">
              <w:rPr>
                <w:rFonts w:ascii="Times New Roman" w:hAnsi="Times New Roman" w:cs="Times New Roman"/>
              </w:rPr>
              <w:instrText>ADDIN CSL_CITATION { "citationItems" : [ { "id" : "ITEM-1", "itemData" : { "DOI" : "10.1136/bmj.m1313", "ISSN" : "17561833", "PMID" : "32241880", "author" : [ { "dropping-particle" : "", "family" : "Aronson", "given" : "Jeffrey K.", "non-dropping-particle" : "", "parse-names" : false, "suffix" : "" }, { "dropping-particle" : "", "family" : "Ferner", "given" : "Robin E.", "non-dropping-particle" : "", "parse-names" : false, "suffix" : "" } ], "container-title" : "The BMJ", "id" : "ITEM-1", "issued" : { "date-parts" : [ [ "2020" ] ] }, "title" : "Drugs and the renin-angiotensin system in covid-19", "type" : "article", "volume" : "369" }, "uris" : [ "http://www.mendeley.com/documents/?uuid=5430da99-e166-4c4a-baa4-ec34392ebd9a", "http://www.mendeley.com/documents/?uuid=0090e285-9c24-4362-8cf2-c2ee46781e70" ] } ], "mendeley" : { "formattedCitation" : "(Aronson and Ferner, 2020)", "plainTextFormattedCitation" : "(Aronson and Ferner, 2020)", "previouslyFormattedCitation" : "(Aronson and Ferner, 2020)" }, "properties" : { "noteIndex" : 0 }, "schema" : "https://github.com/citation-style-language/schema/raw/master/csl-citation.json" }</w:instrText>
            </w:r>
            <w:r w:rsidRPr="00781193">
              <w:rPr>
                <w:rFonts w:ascii="Times New Roman" w:hAnsi="Times New Roman" w:cs="Times New Roman"/>
              </w:rPr>
              <w:fldChar w:fldCharType="separate"/>
            </w:r>
            <w:bookmarkStart w:id="31" w:name="__Fieldmark__1924_770016373"/>
            <w:r w:rsidRPr="00781193">
              <w:rPr>
                <w:rFonts w:ascii="Times New Roman" w:hAnsi="Times New Roman" w:cs="Times New Roman"/>
                <w:color w:val="000000"/>
                <w:szCs w:val="24"/>
              </w:rPr>
              <w:t>(</w:t>
            </w:r>
            <w:bookmarkStart w:id="32" w:name="__Fieldmark__1967_43424498"/>
            <w:r w:rsidRPr="00781193">
              <w:rPr>
                <w:rFonts w:ascii="Times New Roman" w:hAnsi="Times New Roman" w:cs="Times New Roman"/>
                <w:color w:val="000000"/>
                <w:szCs w:val="24"/>
              </w:rPr>
              <w:t>Aronson and Ferner, 2020)</w:t>
            </w:r>
            <w:bookmarkEnd w:id="31"/>
            <w:bookmarkEnd w:id="32"/>
            <w:r w:rsidRPr="00781193">
              <w:rPr>
                <w:rFonts w:ascii="Times New Roman" w:hAnsi="Times New Roman" w:cs="Times New Roman"/>
              </w:rPr>
              <w:fldChar w:fldCharType="end"/>
            </w:r>
          </w:p>
        </w:tc>
      </w:tr>
      <w:tr w:rsidR="0087381E" w:rsidRPr="00781193" w:rsidTr="000B4FBA">
        <w:trPr>
          <w:trHeight w:val="300"/>
        </w:trPr>
        <w:tc>
          <w:tcPr>
            <w:tcW w:w="1560" w:type="dxa"/>
            <w:vMerge/>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87381E" w:rsidRPr="00781193" w:rsidRDefault="0087381E" w:rsidP="000B4FBA">
            <w:pPr>
              <w:spacing w:after="0"/>
              <w:jc w:val="center"/>
              <w:rPr>
                <w:rFonts w:ascii="Times New Roman" w:hAnsi="Times New Roman" w:cs="Times New Roman"/>
                <w:color w:val="000000"/>
                <w:szCs w:val="24"/>
              </w:rPr>
            </w:pP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87381E" w:rsidRPr="00781193" w:rsidRDefault="0087381E" w:rsidP="000B4FBA">
            <w:pPr>
              <w:spacing w:after="0"/>
              <w:jc w:val="center"/>
              <w:rPr>
                <w:rFonts w:ascii="Times New Roman" w:hAnsi="Times New Roman" w:cs="Times New Roman"/>
                <w:color w:val="000000"/>
                <w:szCs w:val="24"/>
              </w:rPr>
            </w:pPr>
            <w:r w:rsidRPr="00781193">
              <w:rPr>
                <w:rFonts w:ascii="Times New Roman" w:hAnsi="Times New Roman" w:cs="Times New Roman"/>
                <w:color w:val="000000"/>
                <w:szCs w:val="24"/>
              </w:rPr>
              <w:t>0.7771</w:t>
            </w:r>
          </w:p>
        </w:tc>
        <w:tc>
          <w:tcPr>
            <w:tcW w:w="2122" w:type="dxa"/>
            <w:tcBorders>
              <w:top w:val="single" w:sz="4" w:space="0" w:color="00000A"/>
              <w:left w:val="single" w:sz="4" w:space="0" w:color="00000A"/>
              <w:bottom w:val="single" w:sz="4" w:space="0" w:color="00000A"/>
              <w:right w:val="single" w:sz="4" w:space="0" w:color="00000A"/>
            </w:tcBorders>
            <w:shd w:val="clear" w:color="auto" w:fill="auto"/>
            <w:tcMar>
              <w:left w:w="28" w:type="dxa"/>
              <w:right w:w="28" w:type="dxa"/>
            </w:tcMar>
            <w:vAlign w:val="center"/>
          </w:tcPr>
          <w:p w:rsidR="0087381E" w:rsidRPr="00781193" w:rsidRDefault="0087381E" w:rsidP="000B4FBA">
            <w:pPr>
              <w:spacing w:after="0"/>
              <w:rPr>
                <w:rFonts w:ascii="Times New Roman" w:hAnsi="Times New Roman" w:cs="Times New Roman"/>
                <w:color w:val="000000"/>
                <w:szCs w:val="24"/>
              </w:rPr>
            </w:pPr>
            <w:proofErr w:type="spellStart"/>
            <w:r w:rsidRPr="00781193">
              <w:rPr>
                <w:rFonts w:ascii="Times New Roman" w:hAnsi="Times New Roman" w:cs="Times New Roman"/>
                <w:color w:val="000000"/>
                <w:szCs w:val="24"/>
              </w:rPr>
              <w:t>Entresto</w:t>
            </w:r>
            <w:proofErr w:type="spellEnd"/>
          </w:p>
        </w:tc>
        <w:tc>
          <w:tcPr>
            <w:tcW w:w="4059"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right w:w="28" w:type="dxa"/>
            </w:tcMar>
          </w:tcPr>
          <w:p w:rsidR="0087381E" w:rsidRPr="00781193" w:rsidRDefault="0087381E" w:rsidP="000B4FBA">
            <w:pPr>
              <w:spacing w:after="0"/>
              <w:rPr>
                <w:rFonts w:ascii="Times New Roman" w:hAnsi="Times New Roman" w:cs="Times New Roman"/>
              </w:rPr>
            </w:pPr>
            <w:r w:rsidRPr="00781193">
              <w:rPr>
                <w:rFonts w:ascii="Times New Roman" w:hAnsi="Times New Roman" w:cs="Times New Roman"/>
                <w:color w:val="000000"/>
                <w:szCs w:val="24"/>
              </w:rPr>
              <w:t xml:space="preserve">Angiotensin II receptor </w:t>
            </w:r>
            <w:proofErr w:type="spellStart"/>
            <w:r w:rsidRPr="00781193">
              <w:rPr>
                <w:rFonts w:ascii="Times New Roman" w:hAnsi="Times New Roman" w:cs="Times New Roman"/>
                <w:color w:val="000000"/>
                <w:szCs w:val="24"/>
              </w:rPr>
              <w:t>neprilysin</w:t>
            </w:r>
            <w:proofErr w:type="spellEnd"/>
            <w:r w:rsidRPr="00781193">
              <w:rPr>
                <w:rFonts w:ascii="Times New Roman" w:hAnsi="Times New Roman" w:cs="Times New Roman"/>
                <w:color w:val="000000"/>
                <w:szCs w:val="24"/>
              </w:rPr>
              <w:t xml:space="preserve"> inhibitor </w:t>
            </w:r>
            <w:r w:rsidRPr="00781193">
              <w:rPr>
                <w:rFonts w:ascii="Times New Roman" w:hAnsi="Times New Roman" w:cs="Times New Roman"/>
              </w:rPr>
              <w:fldChar w:fldCharType="begin"/>
            </w:r>
            <w:r w:rsidRPr="00781193">
              <w:rPr>
                <w:rFonts w:ascii="Times New Roman" w:hAnsi="Times New Roman" w:cs="Times New Roman"/>
              </w:rPr>
              <w:instrText>ADDIN CSL_CITATION { "citationItems" : [ { "id" : "ITEM-1", "itemData" : { "DOI" : "10.15420/cfr.2016:1:1", "ISSN" : "2057-7540", "abstract" : " Heart failure (HF) represents a growing financial burden on healthcare systems and despite therapeutic advances, mortality remains high. Current treatments focus on blocking neurohormonal pathways, such as the renin-angiotensin aldosterone system (RAAS). Recent research has focused on the natriuretic peptide system, which confers beneficial effects in HF, whereas activation of the RAAS and of the sympathetic nervous system has detrimental effects. LCZ696 (sacubutril/valsartan), a first-in-class angiotensin II AT 1 receptor neprilysin inhibitor, has a unique mode of action that targets both pathways. Clinical studies to date indicate that LCZ696 is effective and safe in mild to moderate arterial hypertension and in HF patients with preserved ejection fraction, and has been shown to be superior to enalapril in patients with moderate to severe HF due to reduced left ventricular ejection fraction. ", "author" : [ { "dropping-particle" : "", "family" : "Menendez", "given" : "Juan Tamargo", "non-dropping-particle" : "", "parse-names" : false, "suffix" : "" } ], "container-title" : "Cardiac Failure Review", "id" : "ITEM-1", "issue" : "1", "issued" : { "date-parts" : [ [ "2016" ] ] }, "page" : "40", "title" : "The Mechanism of Action of LCZ696", "type" : "article-journal", "volume" : "2" }, "uris" : [ "http://www.mendeley.com/documents/?uuid=411a4a99-b66e-4766-8be2-69c396a8afb3", "http://www.mendeley.com/documents/?uuid=577cab48-2628-4083-9eec-281942b32436" ] } ], "mendeley" : { "formattedCitation" : "(Menendez, 2016)", "plainTextFormattedCitation" : "(Menendez, 2016)", "previouslyFormattedCitation" : "(Menendez, 2016)" }, "properties" : { "noteIndex" : 0 }, "schema" : "https://github.com/citation-style-language/schema/raw/master/csl-citation.json" }</w:instrText>
            </w:r>
            <w:r w:rsidRPr="00781193">
              <w:rPr>
                <w:rFonts w:ascii="Times New Roman" w:hAnsi="Times New Roman" w:cs="Times New Roman"/>
              </w:rPr>
              <w:fldChar w:fldCharType="separate"/>
            </w:r>
            <w:bookmarkStart w:id="33" w:name="__Fieldmark__1936_770016373"/>
            <w:r w:rsidRPr="00781193">
              <w:rPr>
                <w:rFonts w:ascii="Times New Roman" w:hAnsi="Times New Roman" w:cs="Times New Roman"/>
                <w:color w:val="000000"/>
                <w:szCs w:val="24"/>
              </w:rPr>
              <w:t>(</w:t>
            </w:r>
            <w:bookmarkStart w:id="34" w:name="__Fieldmark__1977_43424498"/>
            <w:r w:rsidRPr="00781193">
              <w:rPr>
                <w:rFonts w:ascii="Times New Roman" w:hAnsi="Times New Roman" w:cs="Times New Roman"/>
                <w:color w:val="000000"/>
                <w:szCs w:val="24"/>
              </w:rPr>
              <w:t>Menendez, 2016)</w:t>
            </w:r>
            <w:bookmarkEnd w:id="33"/>
            <w:bookmarkEnd w:id="34"/>
            <w:r w:rsidRPr="00781193">
              <w:rPr>
                <w:rFonts w:ascii="Times New Roman" w:hAnsi="Times New Roman" w:cs="Times New Roman"/>
              </w:rPr>
              <w:fldChar w:fldCharType="end"/>
            </w:r>
          </w:p>
        </w:tc>
      </w:tr>
    </w:tbl>
    <w:p w:rsidR="0087381E" w:rsidRDefault="0087381E">
      <w:pPr>
        <w:spacing w:line="259" w:lineRule="auto"/>
        <w:jc w:val="left"/>
        <w:rPr>
          <w:rFonts w:ascii="Times New Roman" w:hAnsi="Times New Roman" w:cs="Times New Roman"/>
          <w:b/>
          <w:bCs/>
          <w:szCs w:val="24"/>
        </w:rPr>
      </w:pPr>
      <w:r>
        <w:rPr>
          <w:rFonts w:ascii="Times New Roman" w:hAnsi="Times New Roman" w:cs="Times New Roman"/>
          <w:b/>
          <w:bCs/>
          <w:szCs w:val="24"/>
        </w:rPr>
        <w:br w:type="page"/>
      </w:r>
    </w:p>
    <w:p w:rsidR="004B5107" w:rsidRDefault="006F4573" w:rsidP="004B5107">
      <w:pPr>
        <w:spacing w:line="240" w:lineRule="auto"/>
        <w:rPr>
          <w:rFonts w:ascii="Times New Roman" w:hAnsi="Times New Roman" w:cs="Times New Roman"/>
          <w:b/>
          <w:bCs/>
          <w:szCs w:val="24"/>
        </w:rPr>
      </w:pPr>
      <w:r>
        <w:rPr>
          <w:rFonts w:ascii="Times New Roman" w:hAnsi="Times New Roman" w:cs="Times New Roman"/>
          <w:b/>
          <w:bCs/>
          <w:szCs w:val="24"/>
        </w:rPr>
        <w:lastRenderedPageBreak/>
        <w:t>Data interpretation for Table 2A, 2B, 3A and 3B</w:t>
      </w:r>
      <w:r w:rsidR="004B5107">
        <w:rPr>
          <w:rFonts w:ascii="Times New Roman" w:hAnsi="Times New Roman" w:cs="Times New Roman"/>
          <w:b/>
          <w:bCs/>
          <w:szCs w:val="24"/>
        </w:rPr>
        <w:t>.</w:t>
      </w:r>
    </w:p>
    <w:p w:rsidR="0039278C" w:rsidRPr="0039278C" w:rsidRDefault="0039278C" w:rsidP="0039278C">
      <w:pPr>
        <w:spacing w:after="0" w:line="240" w:lineRule="auto"/>
        <w:rPr>
          <w:rFonts w:ascii="Times New Roman" w:hAnsi="Times New Roman" w:cs="Times New Roman"/>
          <w:b/>
          <w:bCs/>
          <w:szCs w:val="24"/>
        </w:rPr>
      </w:pPr>
      <w:r w:rsidRPr="0039278C">
        <w:rPr>
          <w:rFonts w:ascii="Times New Roman" w:hAnsi="Times New Roman" w:cs="Times New Roman"/>
          <w:b/>
          <w:bCs/>
          <w:szCs w:val="24"/>
        </w:rPr>
        <w:t xml:space="preserve">Accepted range: </w:t>
      </w:r>
    </w:p>
    <w:p w:rsidR="0039278C" w:rsidRPr="0039278C" w:rsidRDefault="0039278C" w:rsidP="0039278C">
      <w:pPr>
        <w:spacing w:after="0" w:line="240" w:lineRule="auto"/>
        <w:ind w:left="720"/>
        <w:rPr>
          <w:rFonts w:ascii="Times New Roman" w:hAnsi="Times New Roman" w:cs="Times New Roman"/>
        </w:rPr>
      </w:pPr>
      <w:proofErr w:type="spellStart"/>
      <w:r w:rsidRPr="0039278C">
        <w:rPr>
          <w:rFonts w:ascii="Times New Roman" w:hAnsi="Times New Roman" w:cs="Times New Roman"/>
        </w:rPr>
        <w:t>ClogP</w:t>
      </w:r>
      <w:proofErr w:type="spellEnd"/>
      <w:r w:rsidRPr="0039278C">
        <w:rPr>
          <w:rFonts w:ascii="Times New Roman" w:hAnsi="Times New Roman" w:cs="Times New Roman"/>
        </w:rPr>
        <w:t>&lt;5.0</w:t>
      </w:r>
      <w:r w:rsidRPr="0039278C">
        <w:rPr>
          <w:rFonts w:ascii="Times New Roman" w:hAnsi="Times New Roman" w:cs="Times New Roman"/>
        </w:rPr>
        <w:tab/>
      </w:r>
      <w:r w:rsidRPr="0039278C">
        <w:rPr>
          <w:rFonts w:ascii="Times New Roman" w:hAnsi="Times New Roman" w:cs="Times New Roman"/>
        </w:rPr>
        <w:tab/>
      </w:r>
    </w:p>
    <w:p w:rsidR="0039278C" w:rsidRPr="0039278C" w:rsidRDefault="0039278C" w:rsidP="0039278C">
      <w:pPr>
        <w:spacing w:after="0" w:line="240" w:lineRule="auto"/>
        <w:ind w:left="720"/>
        <w:rPr>
          <w:rFonts w:ascii="Times New Roman" w:hAnsi="Times New Roman" w:cs="Times New Roman"/>
        </w:rPr>
      </w:pPr>
      <w:r w:rsidRPr="0039278C">
        <w:rPr>
          <w:rFonts w:ascii="Times New Roman" w:hAnsi="Times New Roman" w:cs="Times New Roman"/>
        </w:rPr>
        <w:t xml:space="preserve">Mol. </w:t>
      </w:r>
      <w:proofErr w:type="spellStart"/>
      <w:r w:rsidRPr="0039278C">
        <w:rPr>
          <w:rFonts w:ascii="Times New Roman" w:hAnsi="Times New Roman" w:cs="Times New Roman"/>
        </w:rPr>
        <w:t>Wt</w:t>
      </w:r>
      <w:proofErr w:type="spellEnd"/>
      <w:r w:rsidRPr="0039278C">
        <w:rPr>
          <w:rFonts w:ascii="Times New Roman" w:hAnsi="Times New Roman" w:cs="Times New Roman"/>
        </w:rPr>
        <w:t xml:space="preserve"> &lt; 500 Da </w:t>
      </w:r>
    </w:p>
    <w:p w:rsidR="0039278C" w:rsidRPr="0039278C" w:rsidRDefault="0039278C" w:rsidP="0039278C">
      <w:pPr>
        <w:spacing w:after="0" w:line="240" w:lineRule="auto"/>
        <w:ind w:left="720"/>
        <w:rPr>
          <w:rFonts w:ascii="Times New Roman" w:hAnsi="Times New Roman" w:cs="Times New Roman"/>
        </w:rPr>
      </w:pPr>
      <w:r w:rsidRPr="0039278C">
        <w:rPr>
          <w:rFonts w:ascii="Times New Roman" w:hAnsi="Times New Roman" w:cs="Times New Roman"/>
        </w:rPr>
        <w:t>H-acceptors &lt; 10</w:t>
      </w:r>
    </w:p>
    <w:p w:rsidR="0039278C" w:rsidRPr="0039278C" w:rsidRDefault="0039278C" w:rsidP="0039278C">
      <w:pPr>
        <w:spacing w:after="0" w:line="240" w:lineRule="auto"/>
        <w:ind w:left="720"/>
        <w:rPr>
          <w:rFonts w:ascii="Times New Roman" w:hAnsi="Times New Roman" w:cs="Times New Roman"/>
        </w:rPr>
      </w:pPr>
      <w:r w:rsidRPr="0039278C">
        <w:rPr>
          <w:rFonts w:ascii="Times New Roman" w:hAnsi="Times New Roman" w:cs="Times New Roman"/>
        </w:rPr>
        <w:t>H-donors&lt;5</w:t>
      </w:r>
    </w:p>
    <w:p w:rsidR="0039278C" w:rsidRPr="0039278C" w:rsidRDefault="0039278C" w:rsidP="0039278C">
      <w:pPr>
        <w:spacing w:after="0" w:line="240" w:lineRule="auto"/>
        <w:ind w:left="720"/>
        <w:rPr>
          <w:rFonts w:ascii="Times New Roman" w:hAnsi="Times New Roman" w:cs="Times New Roman"/>
        </w:rPr>
      </w:pPr>
      <w:r w:rsidRPr="0039278C">
        <w:rPr>
          <w:rFonts w:ascii="Times New Roman" w:hAnsi="Times New Roman" w:cs="Times New Roman"/>
        </w:rPr>
        <w:t>Rotatable bonds&lt;5</w:t>
      </w:r>
    </w:p>
    <w:p w:rsidR="0039278C" w:rsidRPr="0039278C" w:rsidRDefault="0039278C" w:rsidP="0039278C">
      <w:pPr>
        <w:spacing w:line="240" w:lineRule="auto"/>
        <w:ind w:left="720"/>
        <w:rPr>
          <w:rFonts w:ascii="Times New Roman" w:hAnsi="Times New Roman" w:cs="Times New Roman"/>
          <w:vertAlign w:val="superscript"/>
        </w:rPr>
      </w:pPr>
      <w:r w:rsidRPr="0039278C">
        <w:rPr>
          <w:rFonts w:ascii="Times New Roman" w:hAnsi="Times New Roman" w:cs="Times New Roman"/>
        </w:rPr>
        <w:t>Polar Surface area &lt;140A</w:t>
      </w:r>
      <w:r w:rsidRPr="0039278C">
        <w:rPr>
          <w:rFonts w:ascii="Times New Roman" w:hAnsi="Times New Roman" w:cs="Times New Roman"/>
          <w:vertAlign w:val="superscript"/>
        </w:rPr>
        <w:t>o</w:t>
      </w:r>
    </w:p>
    <w:p w:rsidR="0039278C" w:rsidRPr="0039278C" w:rsidRDefault="0039278C" w:rsidP="0039278C">
      <w:pPr>
        <w:spacing w:after="0" w:line="240" w:lineRule="auto"/>
        <w:rPr>
          <w:rFonts w:ascii="Times New Roman" w:eastAsia="Times New Roman" w:hAnsi="Times New Roman" w:cs="Times New Roman"/>
          <w:b/>
          <w:color w:val="000000"/>
        </w:rPr>
      </w:pPr>
      <w:r w:rsidRPr="0039278C">
        <w:rPr>
          <w:rFonts w:ascii="Times New Roman" w:eastAsia="Times New Roman" w:hAnsi="Times New Roman" w:cs="Times New Roman"/>
          <w:b/>
          <w:color w:val="000000"/>
        </w:rPr>
        <w:t>Solubility</w:t>
      </w:r>
    </w:p>
    <w:p w:rsidR="0039278C" w:rsidRPr="0039278C" w:rsidRDefault="0039278C" w:rsidP="0039278C">
      <w:pPr>
        <w:spacing w:after="0" w:line="240" w:lineRule="auto"/>
        <w:ind w:left="720"/>
        <w:rPr>
          <w:rFonts w:ascii="Times New Roman" w:hAnsi="Times New Roman" w:cs="Times New Roman"/>
        </w:rPr>
      </w:pPr>
      <w:r w:rsidRPr="0039278C">
        <w:rPr>
          <w:rFonts w:ascii="Times New Roman" w:hAnsi="Times New Roman" w:cs="Times New Roman"/>
        </w:rPr>
        <w:t>-8.0 -6.0 No, very low</w:t>
      </w:r>
    </w:p>
    <w:p w:rsidR="0039278C" w:rsidRPr="0039278C" w:rsidRDefault="0039278C" w:rsidP="0039278C">
      <w:pPr>
        <w:spacing w:after="0" w:line="240" w:lineRule="auto"/>
        <w:ind w:left="720"/>
        <w:rPr>
          <w:rFonts w:ascii="Times New Roman" w:hAnsi="Times New Roman" w:cs="Times New Roman"/>
        </w:rPr>
      </w:pPr>
      <w:r w:rsidRPr="0039278C">
        <w:rPr>
          <w:rFonts w:ascii="Times New Roman" w:hAnsi="Times New Roman" w:cs="Times New Roman"/>
        </w:rPr>
        <w:t>-6.0 -4.0 yes, low</w:t>
      </w:r>
    </w:p>
    <w:p w:rsidR="0039278C" w:rsidRPr="0039278C" w:rsidRDefault="0039278C" w:rsidP="0039278C">
      <w:pPr>
        <w:spacing w:after="0" w:line="240" w:lineRule="auto"/>
        <w:ind w:left="720"/>
        <w:rPr>
          <w:rFonts w:ascii="Times New Roman" w:hAnsi="Times New Roman" w:cs="Times New Roman"/>
        </w:rPr>
      </w:pPr>
      <w:r w:rsidRPr="0039278C">
        <w:rPr>
          <w:rFonts w:ascii="Times New Roman" w:hAnsi="Times New Roman" w:cs="Times New Roman"/>
        </w:rPr>
        <w:t>-4.0 -2.0 Yes, good</w:t>
      </w:r>
    </w:p>
    <w:p w:rsidR="0039278C" w:rsidRPr="0039278C" w:rsidRDefault="0039278C" w:rsidP="0039278C">
      <w:pPr>
        <w:spacing w:line="240" w:lineRule="auto"/>
        <w:ind w:left="720"/>
        <w:rPr>
          <w:rFonts w:ascii="Times New Roman" w:hAnsi="Times New Roman" w:cs="Times New Roman"/>
        </w:rPr>
      </w:pPr>
      <w:r w:rsidRPr="0039278C">
        <w:rPr>
          <w:rFonts w:ascii="Times New Roman" w:hAnsi="Times New Roman" w:cs="Times New Roman"/>
        </w:rPr>
        <w:t xml:space="preserve">-2.0 -0.0 Yes, optimal </w:t>
      </w:r>
    </w:p>
    <w:p w:rsidR="0039278C" w:rsidRPr="0039278C" w:rsidRDefault="0039278C" w:rsidP="0039278C">
      <w:pPr>
        <w:spacing w:after="0" w:line="240" w:lineRule="auto"/>
        <w:rPr>
          <w:rFonts w:ascii="Times New Roman" w:eastAsia="Times New Roman" w:hAnsi="Times New Roman" w:cs="Times New Roman"/>
          <w:b/>
          <w:color w:val="000000"/>
        </w:rPr>
      </w:pPr>
      <w:r w:rsidRPr="0039278C">
        <w:rPr>
          <w:rFonts w:ascii="Times New Roman" w:eastAsia="Times New Roman" w:hAnsi="Times New Roman" w:cs="Times New Roman"/>
          <w:b/>
          <w:color w:val="000000"/>
        </w:rPr>
        <w:t>Human intestinal absorption</w:t>
      </w:r>
    </w:p>
    <w:p w:rsidR="0039278C" w:rsidRPr="0039278C" w:rsidRDefault="0039278C" w:rsidP="0039278C">
      <w:pPr>
        <w:spacing w:after="0" w:line="240" w:lineRule="auto"/>
        <w:ind w:left="720"/>
        <w:rPr>
          <w:rFonts w:ascii="Times New Roman" w:hAnsi="Times New Roman" w:cs="Times New Roman"/>
        </w:rPr>
      </w:pPr>
      <w:r w:rsidRPr="0039278C">
        <w:rPr>
          <w:rFonts w:ascii="Times New Roman" w:hAnsi="Times New Roman" w:cs="Times New Roman"/>
        </w:rPr>
        <w:t xml:space="preserve">0 (Good) </w:t>
      </w:r>
    </w:p>
    <w:p w:rsidR="0039278C" w:rsidRPr="0039278C" w:rsidRDefault="0039278C" w:rsidP="0039278C">
      <w:pPr>
        <w:spacing w:after="0" w:line="240" w:lineRule="auto"/>
        <w:ind w:left="720"/>
        <w:rPr>
          <w:rFonts w:ascii="Times New Roman" w:hAnsi="Times New Roman" w:cs="Times New Roman"/>
        </w:rPr>
      </w:pPr>
      <w:r w:rsidRPr="0039278C">
        <w:rPr>
          <w:rFonts w:ascii="Times New Roman" w:hAnsi="Times New Roman" w:cs="Times New Roman"/>
        </w:rPr>
        <w:t xml:space="preserve">1 (Moderate) </w:t>
      </w:r>
    </w:p>
    <w:p w:rsidR="0039278C" w:rsidRPr="0039278C" w:rsidRDefault="0039278C" w:rsidP="0039278C">
      <w:pPr>
        <w:spacing w:after="0" w:line="240" w:lineRule="auto"/>
        <w:ind w:left="720"/>
        <w:rPr>
          <w:rFonts w:ascii="Times New Roman" w:hAnsi="Times New Roman" w:cs="Times New Roman"/>
        </w:rPr>
      </w:pPr>
      <w:r w:rsidRPr="0039278C">
        <w:rPr>
          <w:rFonts w:ascii="Times New Roman" w:hAnsi="Times New Roman" w:cs="Times New Roman"/>
        </w:rPr>
        <w:t xml:space="preserve">2 (Poor) </w:t>
      </w:r>
    </w:p>
    <w:p w:rsidR="0039278C" w:rsidRPr="0039278C" w:rsidRDefault="0039278C" w:rsidP="0039278C">
      <w:pPr>
        <w:spacing w:line="240" w:lineRule="auto"/>
        <w:ind w:left="720"/>
        <w:rPr>
          <w:rFonts w:ascii="Times New Roman" w:hAnsi="Times New Roman" w:cs="Times New Roman"/>
        </w:rPr>
      </w:pPr>
      <w:r w:rsidRPr="0039278C">
        <w:rPr>
          <w:rFonts w:ascii="Times New Roman" w:hAnsi="Times New Roman" w:cs="Times New Roman"/>
        </w:rPr>
        <w:t>3 (Very Poor)</w:t>
      </w:r>
    </w:p>
    <w:p w:rsidR="0039278C" w:rsidRPr="0039278C" w:rsidRDefault="0039278C" w:rsidP="0039278C">
      <w:pPr>
        <w:spacing w:after="0" w:line="240" w:lineRule="auto"/>
        <w:rPr>
          <w:rFonts w:ascii="Times New Roman" w:eastAsia="Times New Roman" w:hAnsi="Times New Roman" w:cs="Times New Roman"/>
          <w:b/>
          <w:color w:val="000000"/>
        </w:rPr>
      </w:pPr>
      <w:r w:rsidRPr="0039278C">
        <w:rPr>
          <w:rFonts w:ascii="Times New Roman" w:eastAsia="Times New Roman" w:hAnsi="Times New Roman" w:cs="Times New Roman"/>
          <w:b/>
          <w:color w:val="000000"/>
        </w:rPr>
        <w:t>CACO-2 permeability</w:t>
      </w:r>
    </w:p>
    <w:p w:rsidR="0039278C" w:rsidRPr="0039278C" w:rsidRDefault="0039278C" w:rsidP="0039278C">
      <w:pPr>
        <w:spacing w:after="0" w:line="240" w:lineRule="auto"/>
        <w:ind w:left="720"/>
        <w:rPr>
          <w:rFonts w:ascii="Times New Roman" w:hAnsi="Times New Roman" w:cs="Times New Roman"/>
        </w:rPr>
      </w:pPr>
      <w:r w:rsidRPr="0039278C">
        <w:rPr>
          <w:rFonts w:ascii="Times New Roman" w:hAnsi="Times New Roman" w:cs="Times New Roman"/>
        </w:rPr>
        <w:t>&gt; 0.00 active</w:t>
      </w:r>
    </w:p>
    <w:p w:rsidR="0039278C" w:rsidRPr="0039278C" w:rsidRDefault="0039278C" w:rsidP="0039278C">
      <w:pPr>
        <w:spacing w:after="0" w:line="240" w:lineRule="auto"/>
        <w:ind w:left="720"/>
        <w:rPr>
          <w:rFonts w:ascii="Times New Roman" w:hAnsi="Times New Roman" w:cs="Times New Roman"/>
        </w:rPr>
      </w:pPr>
      <w:r w:rsidRPr="0039278C">
        <w:rPr>
          <w:rFonts w:ascii="Times New Roman" w:hAnsi="Times New Roman" w:cs="Times New Roman"/>
        </w:rPr>
        <w:t xml:space="preserve"> -0.50 - 0.00 moderate  </w:t>
      </w:r>
    </w:p>
    <w:p w:rsidR="0039278C" w:rsidRPr="0039278C" w:rsidRDefault="0039278C" w:rsidP="0039278C">
      <w:pPr>
        <w:spacing w:line="240" w:lineRule="auto"/>
        <w:ind w:left="720"/>
        <w:rPr>
          <w:rFonts w:ascii="Times New Roman" w:hAnsi="Times New Roman" w:cs="Times New Roman"/>
        </w:rPr>
      </w:pPr>
      <w:r w:rsidRPr="0039278C">
        <w:rPr>
          <w:rFonts w:ascii="Times New Roman" w:hAnsi="Times New Roman" w:cs="Times New Roman"/>
        </w:rPr>
        <w:t>&lt; -0.50 inactive</w:t>
      </w:r>
    </w:p>
    <w:p w:rsidR="0039278C" w:rsidRPr="0039278C" w:rsidRDefault="0039278C" w:rsidP="0039278C">
      <w:pPr>
        <w:spacing w:after="0" w:line="240" w:lineRule="auto"/>
        <w:rPr>
          <w:rFonts w:ascii="Times New Roman" w:hAnsi="Times New Roman" w:cs="Times New Roman"/>
        </w:rPr>
      </w:pPr>
      <w:r w:rsidRPr="0039278C">
        <w:rPr>
          <w:rFonts w:ascii="Times New Roman" w:eastAsia="Times New Roman" w:hAnsi="Times New Roman" w:cs="Times New Roman"/>
          <w:b/>
          <w:color w:val="000000"/>
        </w:rPr>
        <w:t>Blood brain barrier</w:t>
      </w:r>
      <w:r w:rsidRPr="0039278C">
        <w:rPr>
          <w:rFonts w:ascii="Times New Roman" w:hAnsi="Times New Roman" w:cs="Times New Roman"/>
        </w:rPr>
        <w:t xml:space="preserve"> </w:t>
      </w:r>
    </w:p>
    <w:p w:rsidR="0039278C" w:rsidRPr="0039278C" w:rsidRDefault="0039278C" w:rsidP="0039278C">
      <w:pPr>
        <w:spacing w:after="0" w:line="240" w:lineRule="auto"/>
        <w:ind w:left="720"/>
        <w:rPr>
          <w:rFonts w:ascii="Times New Roman" w:hAnsi="Times New Roman" w:cs="Times New Roman"/>
        </w:rPr>
      </w:pPr>
      <w:r w:rsidRPr="0039278C">
        <w:rPr>
          <w:rFonts w:ascii="Times New Roman" w:hAnsi="Times New Roman" w:cs="Times New Roman"/>
        </w:rPr>
        <w:t xml:space="preserve">Very high penetrants ≥ 0.7 </w:t>
      </w:r>
    </w:p>
    <w:p w:rsidR="0039278C" w:rsidRPr="0039278C" w:rsidRDefault="0039278C" w:rsidP="0039278C">
      <w:pPr>
        <w:spacing w:after="0" w:line="240" w:lineRule="auto"/>
        <w:ind w:left="720"/>
        <w:rPr>
          <w:rFonts w:ascii="Times New Roman" w:hAnsi="Times New Roman" w:cs="Times New Roman"/>
        </w:rPr>
      </w:pPr>
      <w:r w:rsidRPr="0039278C">
        <w:rPr>
          <w:rFonts w:ascii="Times New Roman" w:hAnsi="Times New Roman" w:cs="Times New Roman"/>
        </w:rPr>
        <w:t xml:space="preserve">High penetrants 0 - 0.7 </w:t>
      </w:r>
    </w:p>
    <w:p w:rsidR="0039278C" w:rsidRPr="0039278C" w:rsidRDefault="0039278C" w:rsidP="0039278C">
      <w:pPr>
        <w:spacing w:after="0" w:line="240" w:lineRule="auto"/>
        <w:ind w:left="720"/>
        <w:rPr>
          <w:rFonts w:ascii="Times New Roman" w:hAnsi="Times New Roman" w:cs="Times New Roman"/>
        </w:rPr>
      </w:pPr>
      <w:r w:rsidRPr="0039278C">
        <w:rPr>
          <w:rFonts w:ascii="Times New Roman" w:hAnsi="Times New Roman" w:cs="Times New Roman"/>
        </w:rPr>
        <w:t>Medium penetrants -0.52 - 0</w:t>
      </w:r>
    </w:p>
    <w:p w:rsidR="0039278C" w:rsidRPr="0039278C" w:rsidRDefault="0039278C" w:rsidP="0039278C">
      <w:pPr>
        <w:spacing w:line="240" w:lineRule="auto"/>
        <w:ind w:left="720"/>
        <w:rPr>
          <w:rFonts w:ascii="Times New Roman" w:hAnsi="Times New Roman" w:cs="Times New Roman"/>
        </w:rPr>
      </w:pPr>
      <w:r w:rsidRPr="0039278C">
        <w:rPr>
          <w:rFonts w:ascii="Times New Roman" w:hAnsi="Times New Roman" w:cs="Times New Roman"/>
        </w:rPr>
        <w:t>Low penetrants ≤ -0.52</w:t>
      </w:r>
    </w:p>
    <w:p w:rsidR="0039278C" w:rsidRPr="0039278C" w:rsidRDefault="0039278C" w:rsidP="0039278C">
      <w:pPr>
        <w:spacing w:after="0" w:line="240" w:lineRule="auto"/>
        <w:rPr>
          <w:rFonts w:ascii="Times New Roman" w:hAnsi="Times New Roman" w:cs="Times New Roman"/>
        </w:rPr>
      </w:pPr>
      <w:r w:rsidRPr="0039278C">
        <w:rPr>
          <w:rFonts w:ascii="Times New Roman" w:eastAsia="Times New Roman" w:hAnsi="Times New Roman" w:cs="Times New Roman"/>
          <w:b/>
          <w:color w:val="000000"/>
        </w:rPr>
        <w:t>CYP2D6 Substrate</w:t>
      </w:r>
    </w:p>
    <w:p w:rsidR="0039278C" w:rsidRPr="0039278C" w:rsidRDefault="0039278C" w:rsidP="0039278C">
      <w:pPr>
        <w:spacing w:after="0" w:line="240" w:lineRule="auto"/>
        <w:ind w:firstLine="720"/>
        <w:rPr>
          <w:rFonts w:ascii="Times New Roman" w:hAnsi="Times New Roman" w:cs="Times New Roman"/>
        </w:rPr>
      </w:pPr>
      <w:r w:rsidRPr="0039278C">
        <w:rPr>
          <w:rFonts w:ascii="Times New Roman" w:hAnsi="Times New Roman" w:cs="Times New Roman"/>
        </w:rPr>
        <w:t>&lt; 0.5 Non-inhibitor</w:t>
      </w:r>
    </w:p>
    <w:p w:rsidR="0039278C" w:rsidRPr="0039278C" w:rsidRDefault="0039278C" w:rsidP="0039278C">
      <w:pPr>
        <w:spacing w:line="240" w:lineRule="auto"/>
        <w:ind w:left="720"/>
        <w:rPr>
          <w:rFonts w:ascii="Times New Roman" w:hAnsi="Times New Roman" w:cs="Times New Roman"/>
        </w:rPr>
      </w:pPr>
      <w:r w:rsidRPr="0039278C">
        <w:rPr>
          <w:rFonts w:ascii="Times New Roman" w:hAnsi="Times New Roman" w:cs="Times New Roman"/>
        </w:rPr>
        <w:t>&gt; 0.5 Inhibitor</w:t>
      </w:r>
    </w:p>
    <w:p w:rsidR="0039278C" w:rsidRPr="0039278C" w:rsidRDefault="0039278C" w:rsidP="0039278C">
      <w:pPr>
        <w:spacing w:after="0" w:line="240" w:lineRule="auto"/>
        <w:rPr>
          <w:rFonts w:ascii="Times New Roman" w:eastAsia="Times New Roman" w:hAnsi="Times New Roman" w:cs="Times New Roman"/>
          <w:b/>
          <w:bCs/>
          <w:color w:val="000000"/>
        </w:rPr>
      </w:pPr>
      <w:proofErr w:type="spellStart"/>
      <w:r w:rsidRPr="0039278C">
        <w:rPr>
          <w:rFonts w:ascii="Times New Roman" w:eastAsia="Times New Roman" w:hAnsi="Times New Roman" w:cs="Times New Roman"/>
          <w:b/>
          <w:bCs/>
          <w:color w:val="000000"/>
        </w:rPr>
        <w:t>Druglikeness</w:t>
      </w:r>
      <w:proofErr w:type="spellEnd"/>
    </w:p>
    <w:p w:rsidR="0039278C" w:rsidRPr="0039278C" w:rsidRDefault="0039278C" w:rsidP="0039278C">
      <w:pPr>
        <w:spacing w:line="240" w:lineRule="auto"/>
        <w:ind w:left="720"/>
        <w:rPr>
          <w:rFonts w:ascii="Times New Roman" w:hAnsi="Times New Roman" w:cs="Times New Roman"/>
        </w:rPr>
      </w:pPr>
      <w:r w:rsidRPr="0039278C">
        <w:rPr>
          <w:rFonts w:ascii="Times New Roman" w:hAnsi="Times New Roman" w:cs="Times New Roman"/>
        </w:rPr>
        <w:t>Higher is better</w:t>
      </w:r>
    </w:p>
    <w:p w:rsidR="0039278C" w:rsidRPr="0039278C" w:rsidRDefault="0039278C" w:rsidP="0039278C">
      <w:pPr>
        <w:spacing w:after="0" w:line="240" w:lineRule="auto"/>
        <w:rPr>
          <w:rFonts w:ascii="Times New Roman" w:hAnsi="Times New Roman" w:cs="Times New Roman"/>
          <w:szCs w:val="24"/>
        </w:rPr>
      </w:pPr>
      <w:r w:rsidRPr="0039278C">
        <w:rPr>
          <w:rFonts w:ascii="Times New Roman" w:eastAsia="Times New Roman" w:hAnsi="Times New Roman" w:cs="Times New Roman"/>
          <w:b/>
          <w:color w:val="000000"/>
          <w:szCs w:val="24"/>
        </w:rPr>
        <w:t>Hepatotoxicity</w:t>
      </w:r>
    </w:p>
    <w:p w:rsidR="0039278C" w:rsidRPr="0039278C" w:rsidRDefault="0039278C" w:rsidP="0039278C">
      <w:pPr>
        <w:spacing w:after="0" w:line="240" w:lineRule="auto"/>
        <w:ind w:left="720"/>
        <w:rPr>
          <w:rFonts w:ascii="Times New Roman" w:hAnsi="Times New Roman" w:cs="Times New Roman"/>
          <w:szCs w:val="24"/>
        </w:rPr>
      </w:pPr>
      <w:proofErr w:type="gramStart"/>
      <w:r w:rsidRPr="0039278C">
        <w:rPr>
          <w:rFonts w:ascii="Times New Roman" w:hAnsi="Times New Roman" w:cs="Times New Roman"/>
          <w:szCs w:val="24"/>
        </w:rPr>
        <w:t>0.0-0.4</w:t>
      </w:r>
      <w:proofErr w:type="gramEnd"/>
      <w:r w:rsidRPr="0039278C">
        <w:rPr>
          <w:rFonts w:ascii="Times New Roman" w:hAnsi="Times New Roman" w:cs="Times New Roman"/>
          <w:szCs w:val="24"/>
        </w:rPr>
        <w:tab/>
        <w:t>non-hepatotoxic</w:t>
      </w:r>
    </w:p>
    <w:p w:rsidR="0039278C" w:rsidRPr="0039278C" w:rsidRDefault="0039278C" w:rsidP="0039278C">
      <w:pPr>
        <w:spacing w:after="0" w:line="240" w:lineRule="auto"/>
        <w:ind w:left="720"/>
        <w:rPr>
          <w:rFonts w:ascii="Times New Roman" w:hAnsi="Times New Roman" w:cs="Times New Roman"/>
          <w:szCs w:val="24"/>
        </w:rPr>
      </w:pPr>
      <w:proofErr w:type="gramStart"/>
      <w:r w:rsidRPr="0039278C">
        <w:rPr>
          <w:rFonts w:ascii="Times New Roman" w:hAnsi="Times New Roman" w:cs="Times New Roman"/>
          <w:szCs w:val="24"/>
        </w:rPr>
        <w:t>0.4-0.6</w:t>
      </w:r>
      <w:proofErr w:type="gramEnd"/>
      <w:r w:rsidRPr="0039278C">
        <w:rPr>
          <w:rFonts w:ascii="Times New Roman" w:hAnsi="Times New Roman" w:cs="Times New Roman"/>
          <w:szCs w:val="24"/>
        </w:rPr>
        <w:tab/>
        <w:t xml:space="preserve">Low confidence prediction </w:t>
      </w:r>
    </w:p>
    <w:p w:rsidR="0039278C" w:rsidRPr="0039278C" w:rsidRDefault="0039278C" w:rsidP="0039278C">
      <w:pPr>
        <w:spacing w:line="240" w:lineRule="auto"/>
        <w:ind w:left="720"/>
        <w:rPr>
          <w:rFonts w:ascii="Times New Roman" w:hAnsi="Times New Roman" w:cs="Times New Roman"/>
          <w:szCs w:val="24"/>
        </w:rPr>
      </w:pPr>
      <w:proofErr w:type="gramStart"/>
      <w:r w:rsidRPr="0039278C">
        <w:rPr>
          <w:rFonts w:ascii="Times New Roman" w:hAnsi="Times New Roman" w:cs="Times New Roman"/>
          <w:szCs w:val="24"/>
        </w:rPr>
        <w:t>0.6-1.0</w:t>
      </w:r>
      <w:proofErr w:type="gramEnd"/>
      <w:r w:rsidRPr="0039278C">
        <w:rPr>
          <w:rFonts w:ascii="Times New Roman" w:hAnsi="Times New Roman" w:cs="Times New Roman"/>
          <w:szCs w:val="24"/>
        </w:rPr>
        <w:tab/>
      </w:r>
      <w:r w:rsidRPr="0039278C">
        <w:rPr>
          <w:rFonts w:ascii="Times New Roman" w:hAnsi="Times New Roman" w:cs="Times New Roman"/>
        </w:rPr>
        <w:t>hepatotoxic</w:t>
      </w:r>
    </w:p>
    <w:p w:rsidR="0039278C" w:rsidRPr="0039278C" w:rsidRDefault="0039278C" w:rsidP="0039278C">
      <w:pPr>
        <w:spacing w:after="0" w:line="240" w:lineRule="auto"/>
        <w:rPr>
          <w:rFonts w:ascii="Times New Roman" w:eastAsia="Times New Roman" w:hAnsi="Times New Roman" w:cs="Times New Roman"/>
          <w:b/>
          <w:color w:val="000000"/>
          <w:szCs w:val="24"/>
        </w:rPr>
      </w:pPr>
      <w:r w:rsidRPr="0039278C">
        <w:rPr>
          <w:rFonts w:ascii="Times New Roman" w:eastAsia="Times New Roman" w:hAnsi="Times New Roman" w:cs="Times New Roman"/>
          <w:b/>
          <w:color w:val="000000"/>
          <w:szCs w:val="24"/>
        </w:rPr>
        <w:t xml:space="preserve">Aerobic </w:t>
      </w:r>
      <w:proofErr w:type="spellStart"/>
      <w:r w:rsidRPr="0039278C">
        <w:rPr>
          <w:rFonts w:ascii="Times New Roman" w:eastAsia="Times New Roman" w:hAnsi="Times New Roman" w:cs="Times New Roman"/>
          <w:b/>
          <w:color w:val="000000"/>
          <w:szCs w:val="24"/>
        </w:rPr>
        <w:t>biodegradibility</w:t>
      </w:r>
      <w:proofErr w:type="spellEnd"/>
    </w:p>
    <w:p w:rsidR="0039278C" w:rsidRPr="0039278C" w:rsidRDefault="0039278C" w:rsidP="0039278C">
      <w:pPr>
        <w:spacing w:after="0" w:line="240" w:lineRule="auto"/>
        <w:ind w:left="720"/>
        <w:rPr>
          <w:rFonts w:ascii="Times New Roman" w:hAnsi="Times New Roman" w:cs="Times New Roman"/>
          <w:szCs w:val="24"/>
        </w:rPr>
      </w:pPr>
      <w:r w:rsidRPr="0039278C">
        <w:rPr>
          <w:rFonts w:ascii="Times New Roman" w:hAnsi="Times New Roman" w:cs="Times New Roman"/>
          <w:szCs w:val="24"/>
        </w:rPr>
        <w:t>&gt;0.7 capable of aerobic biodegradation</w:t>
      </w:r>
    </w:p>
    <w:p w:rsidR="0039278C" w:rsidRPr="0039278C" w:rsidRDefault="0039278C" w:rsidP="0039278C">
      <w:pPr>
        <w:spacing w:after="0" w:line="240" w:lineRule="auto"/>
        <w:ind w:left="720"/>
        <w:rPr>
          <w:rFonts w:ascii="Times New Roman" w:hAnsi="Times New Roman" w:cs="Times New Roman"/>
          <w:szCs w:val="24"/>
        </w:rPr>
      </w:pPr>
      <w:r w:rsidRPr="0039278C">
        <w:rPr>
          <w:rFonts w:ascii="Times New Roman" w:hAnsi="Times New Roman" w:cs="Times New Roman"/>
          <w:szCs w:val="24"/>
        </w:rPr>
        <w:t>0.3 - 0.7 indeterminate</w:t>
      </w:r>
    </w:p>
    <w:p w:rsidR="0039278C" w:rsidRPr="0039278C" w:rsidRDefault="0039278C" w:rsidP="0039278C">
      <w:pPr>
        <w:spacing w:line="240" w:lineRule="auto"/>
        <w:ind w:left="720"/>
        <w:rPr>
          <w:rFonts w:ascii="Times New Roman" w:hAnsi="Times New Roman" w:cs="Times New Roman"/>
          <w:szCs w:val="24"/>
        </w:rPr>
      </w:pPr>
      <w:r w:rsidRPr="0039278C">
        <w:rPr>
          <w:rFonts w:ascii="Times New Roman" w:hAnsi="Times New Roman" w:cs="Times New Roman"/>
          <w:szCs w:val="24"/>
        </w:rPr>
        <w:t xml:space="preserve">&lt;0.3 </w:t>
      </w:r>
      <w:r w:rsidRPr="0039278C">
        <w:rPr>
          <w:rFonts w:ascii="Times New Roman" w:hAnsi="Times New Roman" w:cs="Times New Roman"/>
        </w:rPr>
        <w:t>incapable</w:t>
      </w:r>
    </w:p>
    <w:p w:rsidR="0039278C" w:rsidRPr="0039278C" w:rsidRDefault="0039278C" w:rsidP="0039278C">
      <w:pPr>
        <w:tabs>
          <w:tab w:val="left" w:pos="843"/>
          <w:tab w:val="left" w:pos="1680"/>
          <w:tab w:val="left" w:pos="2897"/>
          <w:tab w:val="left" w:pos="4256"/>
          <w:tab w:val="left" w:pos="5563"/>
          <w:tab w:val="left" w:pos="8345"/>
          <w:tab w:val="left" w:pos="10499"/>
          <w:tab w:val="left" w:pos="11796"/>
          <w:tab w:val="left" w:pos="12626"/>
          <w:tab w:val="left" w:pos="13456"/>
        </w:tabs>
        <w:spacing w:after="0" w:line="240" w:lineRule="auto"/>
        <w:rPr>
          <w:rFonts w:ascii="Times New Roman" w:eastAsia="Times New Roman" w:hAnsi="Times New Roman" w:cs="Times New Roman"/>
          <w:b/>
          <w:color w:val="000000"/>
          <w:szCs w:val="24"/>
        </w:rPr>
      </w:pPr>
      <w:r w:rsidRPr="0039278C">
        <w:rPr>
          <w:rFonts w:ascii="Times New Roman" w:eastAsia="Times New Roman" w:hAnsi="Times New Roman" w:cs="Times New Roman"/>
          <w:b/>
          <w:color w:val="000000"/>
          <w:szCs w:val="24"/>
        </w:rPr>
        <w:t>Carcinogen and AMES toxicity</w:t>
      </w:r>
    </w:p>
    <w:p w:rsidR="0039278C" w:rsidRPr="0039278C" w:rsidRDefault="0039278C" w:rsidP="0039278C">
      <w:pPr>
        <w:spacing w:after="0" w:line="240" w:lineRule="auto"/>
        <w:ind w:left="720"/>
        <w:rPr>
          <w:rFonts w:ascii="Times New Roman" w:hAnsi="Times New Roman" w:cs="Times New Roman"/>
          <w:szCs w:val="24"/>
        </w:rPr>
      </w:pPr>
      <w:r w:rsidRPr="0039278C">
        <w:rPr>
          <w:rFonts w:ascii="Times New Roman" w:hAnsi="Times New Roman" w:cs="Times New Roman"/>
          <w:szCs w:val="24"/>
        </w:rPr>
        <w:t>&gt; 0.00 active</w:t>
      </w:r>
    </w:p>
    <w:p w:rsidR="0039278C" w:rsidRPr="0039278C" w:rsidRDefault="0039278C" w:rsidP="0039278C">
      <w:pPr>
        <w:spacing w:after="0" w:line="240" w:lineRule="auto"/>
        <w:ind w:left="720"/>
        <w:rPr>
          <w:rFonts w:ascii="Times New Roman" w:hAnsi="Times New Roman" w:cs="Times New Roman"/>
          <w:szCs w:val="24"/>
        </w:rPr>
      </w:pPr>
      <w:r w:rsidRPr="0039278C">
        <w:rPr>
          <w:rFonts w:ascii="Times New Roman" w:hAnsi="Times New Roman" w:cs="Times New Roman"/>
          <w:szCs w:val="24"/>
        </w:rPr>
        <w:t xml:space="preserve"> -0.50 - 0.00 moderate  </w:t>
      </w:r>
    </w:p>
    <w:p w:rsidR="0039278C" w:rsidRPr="00FA2731" w:rsidRDefault="0039278C" w:rsidP="004B5107">
      <w:pPr>
        <w:spacing w:after="0" w:line="240" w:lineRule="auto"/>
        <w:ind w:left="720"/>
        <w:rPr>
          <w:b/>
          <w:bCs/>
        </w:rPr>
      </w:pPr>
      <w:r w:rsidRPr="0039278C">
        <w:rPr>
          <w:rFonts w:ascii="Times New Roman" w:hAnsi="Times New Roman" w:cs="Times New Roman"/>
          <w:szCs w:val="24"/>
        </w:rPr>
        <w:t>&lt; -0.50 inactive</w:t>
      </w:r>
    </w:p>
    <w:sectPr w:rsidR="0039278C" w:rsidRPr="00FA27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TQwMDOzMDQ0MjAyM7ZU0lEKTi0uzszPAykwqgUAs62oliwAAAA="/>
  </w:docVars>
  <w:rsids>
    <w:rsidRoot w:val="001722EB"/>
    <w:rsid w:val="001722EB"/>
    <w:rsid w:val="001B623A"/>
    <w:rsid w:val="0039278C"/>
    <w:rsid w:val="004B5107"/>
    <w:rsid w:val="006F4573"/>
    <w:rsid w:val="0087381E"/>
    <w:rsid w:val="009A53AB"/>
    <w:rsid w:val="00A245E2"/>
    <w:rsid w:val="00E4549C"/>
    <w:rsid w:val="00F9001D"/>
    <w:rsid w:val="00FA273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024A8"/>
  <w15:chartTrackingRefBased/>
  <w15:docId w15:val="{D235CDC8-CA7B-4515-9FF8-8DA6A9508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001D"/>
    <w:pPr>
      <w:spacing w:line="360" w:lineRule="auto"/>
      <w:jc w:val="both"/>
    </w:pPr>
    <w:rPr>
      <w:rFonts w:ascii="Calibri Light" w:hAnsi="Calibri Light"/>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A27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009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9342</Words>
  <Characters>53251</Characters>
  <Application>Microsoft Office Word</Application>
  <DocSecurity>0</DocSecurity>
  <Lines>443</Lines>
  <Paragraphs>124</Paragraphs>
  <ScaleCrop>false</ScaleCrop>
  <Company/>
  <LinksUpToDate>false</LinksUpToDate>
  <CharactersWithSpaces>62469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Aditya Rao</dc:creator>
  <cp:keywords/>
  <dc:description/>
  <cp:lastModifiedBy>Aditya Rao</cp:lastModifiedBy>
  <cp:revision>9</cp:revision>
  <dcterms:created xsi:type="dcterms:W3CDTF">2021-01-27T06:08:00Z</dcterms:created>
  <dcterms:modified xsi:type="dcterms:W3CDTF">2021-05-08T05:13:00Z</dcterms:modified>
</cp:coreProperties>
</file>