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C6EF" w14:textId="77777777" w:rsidR="00683A4F" w:rsidRPr="004805FE" w:rsidRDefault="00B15D9C" w:rsidP="005473B8">
      <w:pPr>
        <w:spacing w:line="360" w:lineRule="auto"/>
        <w:rPr>
          <w:rFonts w:cstheme="minorHAnsi"/>
          <w:b/>
          <w:bCs/>
          <w:lang w:val="en-GB"/>
        </w:rPr>
      </w:pPr>
      <w:r w:rsidRPr="004805FE">
        <w:rPr>
          <w:rFonts w:cstheme="minorHAnsi"/>
          <w:b/>
          <w:bCs/>
          <w:lang w:val="en-GB"/>
        </w:rPr>
        <w:t>Title</w:t>
      </w:r>
    </w:p>
    <w:p w14:paraId="076E04F3" w14:textId="77777777" w:rsidR="005473B8" w:rsidRPr="005473B8" w:rsidRDefault="005473B8" w:rsidP="005473B8">
      <w:pPr>
        <w:pStyle w:val="NormalWeb"/>
        <w:spacing w:line="360" w:lineRule="auto"/>
        <w:rPr>
          <w:rFonts w:asciiTheme="minorHAnsi" w:hAnsiTheme="minorHAnsi" w:cstheme="minorHAnsi"/>
          <w:b/>
          <w:lang w:val="en-GB"/>
        </w:rPr>
      </w:pPr>
      <w:r w:rsidRPr="005473B8">
        <w:rPr>
          <w:rFonts w:asciiTheme="minorHAnsi" w:hAnsiTheme="minorHAnsi" w:cstheme="minorHAnsi"/>
          <w:b/>
          <w:lang w:val="en-GB"/>
        </w:rPr>
        <w:t>Long-term outcome of laparoscopic ventral rectopexy for full-thickness rectal prolapse: The PEXITY Study</w:t>
      </w:r>
    </w:p>
    <w:p w14:paraId="41C143A4" w14:textId="77777777" w:rsidR="005473B8" w:rsidRDefault="005473B8" w:rsidP="005473B8">
      <w:pPr>
        <w:pStyle w:val="NormalWeb"/>
        <w:spacing w:line="360" w:lineRule="auto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Authors</w:t>
      </w:r>
    </w:p>
    <w:p w14:paraId="71A8CB9A" w14:textId="66B2C1F6" w:rsidR="005473B8" w:rsidRPr="005473B8" w:rsidRDefault="005473B8" w:rsidP="005473B8">
      <w:pPr>
        <w:pStyle w:val="NormalWeb"/>
        <w:spacing w:line="360" w:lineRule="auto"/>
        <w:rPr>
          <w:rFonts w:asciiTheme="minorHAnsi" w:hAnsiTheme="minorHAnsi" w:cstheme="minorHAnsi"/>
          <w:bCs/>
          <w:lang w:val="en-GB"/>
        </w:rPr>
      </w:pPr>
      <w:r w:rsidRPr="005473B8">
        <w:rPr>
          <w:rFonts w:asciiTheme="minorHAnsi" w:hAnsiTheme="minorHAnsi" w:cstheme="minorHAnsi"/>
          <w:bCs/>
          <w:lang w:val="en-GB"/>
        </w:rPr>
        <w:t>Morgane Barra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Bertrand Trilling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proofErr w:type="gramStart"/>
      <w:r w:rsidRPr="005473B8">
        <w:rPr>
          <w:rFonts w:asciiTheme="minorHAnsi" w:hAnsiTheme="minorHAnsi" w:cstheme="minorHAnsi"/>
          <w:bCs/>
          <w:vertAlign w:val="superscript"/>
          <w:lang w:val="en-GB"/>
        </w:rPr>
        <w:t>,2</w:t>
      </w:r>
      <w:proofErr w:type="gramEnd"/>
      <w:r w:rsidRPr="005473B8">
        <w:rPr>
          <w:rFonts w:asciiTheme="minorHAnsi" w:hAnsiTheme="minorHAnsi" w:cstheme="minorHAnsi"/>
          <w:bCs/>
          <w:lang w:val="en-GB"/>
        </w:rPr>
        <w:t>, Giorgia Mastronicola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Pierre-Yves Sage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Anouk Roudier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Alison Foote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Fatah Tidadini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</w:t>
      </w:r>
      <w:r w:rsidRPr="005473B8">
        <w:rPr>
          <w:rFonts w:asciiTheme="minorHAnsi" w:hAnsiTheme="minorHAnsi" w:cstheme="minorHAnsi"/>
          <w:bCs/>
          <w:lang w:val="en-GB"/>
        </w:rPr>
        <w:t>, Joey Fournier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3</w:t>
      </w:r>
      <w:r w:rsidRPr="005473B8">
        <w:rPr>
          <w:rFonts w:asciiTheme="minorHAnsi" w:hAnsiTheme="minorHAnsi" w:cstheme="minorHAnsi"/>
          <w:bCs/>
          <w:lang w:val="en-GB"/>
        </w:rPr>
        <w:t>, Jean-Luc Faucheron</w:t>
      </w:r>
      <w:r w:rsidRPr="005473B8">
        <w:rPr>
          <w:rFonts w:asciiTheme="minorHAnsi" w:hAnsiTheme="minorHAnsi" w:cstheme="minorHAnsi"/>
          <w:bCs/>
          <w:vertAlign w:val="superscript"/>
          <w:lang w:val="en-GB"/>
        </w:rPr>
        <w:t>1,2</w:t>
      </w:r>
      <w:r w:rsidRPr="005473B8">
        <w:rPr>
          <w:rFonts w:asciiTheme="minorHAnsi" w:hAnsiTheme="minorHAnsi" w:cstheme="minorHAnsi"/>
          <w:bCs/>
          <w:lang w:val="en-GB"/>
        </w:rPr>
        <w:t>*</w:t>
      </w:r>
    </w:p>
    <w:p w14:paraId="6D16D659" w14:textId="77777777" w:rsidR="004B5FEC" w:rsidRDefault="00683A4F" w:rsidP="005473B8">
      <w:pPr>
        <w:spacing w:line="360" w:lineRule="auto"/>
        <w:rPr>
          <w:rFonts w:cstheme="minorHAnsi"/>
          <w:b/>
          <w:color w:val="000000" w:themeColor="text1"/>
          <w:lang w:val="en-GB"/>
        </w:rPr>
      </w:pPr>
      <w:r w:rsidRPr="004805FE">
        <w:rPr>
          <w:rFonts w:cstheme="minorHAnsi"/>
          <w:b/>
          <w:color w:val="000000" w:themeColor="text1"/>
          <w:lang w:val="en-GB"/>
        </w:rPr>
        <w:t>Af</w:t>
      </w:r>
      <w:r w:rsidR="00594805" w:rsidRPr="004805FE">
        <w:rPr>
          <w:rFonts w:cstheme="minorHAnsi"/>
          <w:b/>
          <w:color w:val="000000" w:themeColor="text1"/>
          <w:lang w:val="en-GB"/>
        </w:rPr>
        <w:t>f</w:t>
      </w:r>
      <w:r w:rsidRPr="004805FE">
        <w:rPr>
          <w:rFonts w:cstheme="minorHAnsi"/>
          <w:b/>
          <w:color w:val="000000" w:themeColor="text1"/>
          <w:lang w:val="en-GB"/>
        </w:rPr>
        <w:t>iliations</w:t>
      </w:r>
    </w:p>
    <w:p w14:paraId="2029F391" w14:textId="77777777" w:rsidR="004B5FEC" w:rsidRPr="004B5FEC" w:rsidRDefault="004B5FEC" w:rsidP="005473B8">
      <w:pPr>
        <w:spacing w:line="360" w:lineRule="auto"/>
        <w:rPr>
          <w:rFonts w:cstheme="minorHAnsi"/>
          <w:color w:val="000000" w:themeColor="text1"/>
          <w:sz w:val="22"/>
          <w:szCs w:val="22"/>
          <w:lang w:val="en-GB"/>
        </w:rPr>
      </w:pPr>
      <w:r>
        <w:rPr>
          <w:rFonts w:cstheme="minorHAnsi"/>
          <w:color w:val="000000" w:themeColor="text1"/>
          <w:sz w:val="22"/>
          <w:szCs w:val="22"/>
          <w:lang w:val="en-GB"/>
        </w:rPr>
        <w:t xml:space="preserve">1 - </w:t>
      </w:r>
      <w:r w:rsidRPr="004B5FEC">
        <w:rPr>
          <w:rFonts w:cstheme="minorHAnsi"/>
          <w:color w:val="000000" w:themeColor="text1"/>
          <w:sz w:val="22"/>
          <w:szCs w:val="22"/>
          <w:lang w:val="en-GB"/>
        </w:rPr>
        <w:t>Colorectal Surgery Unit, Department of Digestive and Emergency Surgery, Grenoble Alpes University Hospital, 38000 Grenoble, France</w:t>
      </w:r>
    </w:p>
    <w:p w14:paraId="0471D66C" w14:textId="77777777" w:rsidR="004B5FEC" w:rsidRPr="004B5FEC" w:rsidRDefault="004B5FEC" w:rsidP="005473B8">
      <w:pPr>
        <w:spacing w:line="360" w:lineRule="auto"/>
        <w:rPr>
          <w:rFonts w:cstheme="minorHAnsi"/>
          <w:color w:val="000000" w:themeColor="text1"/>
          <w:sz w:val="22"/>
          <w:szCs w:val="22"/>
          <w:lang w:val="en-GB"/>
        </w:rPr>
      </w:pPr>
      <w:r w:rsidRPr="004B5FEC">
        <w:rPr>
          <w:rFonts w:cstheme="minorHAnsi"/>
          <w:color w:val="000000" w:themeColor="text1"/>
          <w:sz w:val="22"/>
          <w:szCs w:val="22"/>
          <w:lang w:val="en-GB"/>
        </w:rPr>
        <w:t>2</w:t>
      </w:r>
      <w:r>
        <w:rPr>
          <w:rFonts w:cstheme="minorHAnsi"/>
          <w:color w:val="000000" w:themeColor="text1"/>
          <w:sz w:val="22"/>
          <w:szCs w:val="22"/>
          <w:lang w:val="en-GB"/>
        </w:rPr>
        <w:t xml:space="preserve"> - </w:t>
      </w:r>
      <w:r w:rsidRPr="004B5FEC">
        <w:rPr>
          <w:rFonts w:cstheme="minorHAnsi"/>
          <w:color w:val="000000" w:themeColor="text1"/>
          <w:sz w:val="22"/>
          <w:szCs w:val="22"/>
          <w:lang w:val="en-GB"/>
        </w:rPr>
        <w:t xml:space="preserve">University Grenoble Alpes, CNRS, UMR 5525, </w:t>
      </w:r>
      <w:proofErr w:type="spellStart"/>
      <w:r w:rsidRPr="004B5FEC">
        <w:rPr>
          <w:rFonts w:cstheme="minorHAnsi"/>
          <w:color w:val="000000" w:themeColor="text1"/>
          <w:sz w:val="22"/>
          <w:szCs w:val="22"/>
          <w:lang w:val="en-GB"/>
        </w:rPr>
        <w:t>VetAgro</w:t>
      </w:r>
      <w:proofErr w:type="spellEnd"/>
      <w:r w:rsidRPr="004B5FEC">
        <w:rPr>
          <w:rFonts w:cstheme="minorHAnsi"/>
          <w:color w:val="000000" w:themeColor="text1"/>
          <w:sz w:val="22"/>
          <w:szCs w:val="22"/>
          <w:lang w:val="en-GB"/>
        </w:rPr>
        <w:t xml:space="preserve"> Sup, Grenoble INP, TIMC, 38000 Grenoble, France </w:t>
      </w:r>
    </w:p>
    <w:p w14:paraId="1E3BB16C" w14:textId="6C459DBE" w:rsidR="00683A4F" w:rsidRPr="004805FE" w:rsidRDefault="004B5FEC" w:rsidP="005473B8">
      <w:pPr>
        <w:spacing w:line="360" w:lineRule="auto"/>
        <w:rPr>
          <w:rFonts w:cstheme="minorHAnsi"/>
          <w:color w:val="000000" w:themeColor="text1"/>
          <w:sz w:val="22"/>
          <w:szCs w:val="22"/>
          <w:lang w:val="en-GB"/>
        </w:rPr>
      </w:pPr>
      <w:r>
        <w:rPr>
          <w:rFonts w:cstheme="minorHAnsi"/>
          <w:color w:val="000000" w:themeColor="text1"/>
          <w:sz w:val="22"/>
          <w:szCs w:val="22"/>
          <w:lang w:val="en-GB"/>
        </w:rPr>
        <w:t xml:space="preserve">3 - </w:t>
      </w:r>
      <w:r w:rsidRPr="004B5FEC">
        <w:rPr>
          <w:rFonts w:cstheme="minorHAnsi"/>
          <w:color w:val="000000" w:themeColor="text1"/>
          <w:sz w:val="22"/>
          <w:szCs w:val="22"/>
          <w:lang w:val="en-GB"/>
        </w:rPr>
        <w:t>Clinical Investigation Centre</w:t>
      </w:r>
      <w:r w:rsidR="005473B8" w:rsidRPr="005473B8">
        <w:rPr>
          <w:rFonts w:cstheme="minorHAnsi"/>
          <w:color w:val="000000" w:themeColor="text1"/>
          <w:sz w:val="22"/>
          <w:szCs w:val="22"/>
          <w:lang w:val="en-GB"/>
        </w:rPr>
        <w:t>, INSERM CIC 1406</w:t>
      </w:r>
      <w:r w:rsidR="005473B8">
        <w:rPr>
          <w:rFonts w:cstheme="minorHAnsi"/>
          <w:color w:val="000000" w:themeColor="text1"/>
          <w:sz w:val="22"/>
          <w:szCs w:val="22"/>
          <w:lang w:val="en-GB"/>
        </w:rPr>
        <w:t>, G</w:t>
      </w:r>
      <w:r w:rsidRPr="004B5FEC">
        <w:rPr>
          <w:rFonts w:cstheme="minorHAnsi"/>
          <w:color w:val="000000" w:themeColor="text1"/>
          <w:sz w:val="22"/>
          <w:szCs w:val="22"/>
          <w:lang w:val="en-GB"/>
        </w:rPr>
        <w:t>renoble Alpes University Hospital, Grenoble, France</w:t>
      </w:r>
    </w:p>
    <w:p w14:paraId="4738F9CA" w14:textId="77777777" w:rsidR="005473B8" w:rsidRDefault="005473B8" w:rsidP="005473B8">
      <w:pPr>
        <w:spacing w:line="360" w:lineRule="auto"/>
        <w:rPr>
          <w:rFonts w:cstheme="minorHAnsi"/>
          <w:b/>
          <w:color w:val="212121"/>
          <w:lang w:val="en-GB"/>
        </w:rPr>
      </w:pPr>
    </w:p>
    <w:p w14:paraId="1D6C5765" w14:textId="4F2E888A" w:rsidR="00E02201" w:rsidRPr="004805FE" w:rsidRDefault="00E93849" w:rsidP="005473B8">
      <w:pPr>
        <w:spacing w:line="360" w:lineRule="auto"/>
        <w:rPr>
          <w:rFonts w:cstheme="minorHAnsi"/>
          <w:b/>
          <w:color w:val="212121"/>
          <w:lang w:val="en-GB"/>
        </w:rPr>
      </w:pPr>
      <w:r w:rsidRPr="004805FE">
        <w:rPr>
          <w:rFonts w:cstheme="minorHAnsi"/>
          <w:b/>
          <w:color w:val="212121"/>
          <w:lang w:val="en-GB"/>
        </w:rPr>
        <w:t>Corresponding author</w:t>
      </w:r>
    </w:p>
    <w:p w14:paraId="60616C5F" w14:textId="77777777" w:rsidR="00E02201" w:rsidRPr="004805FE" w:rsidRDefault="00E02201" w:rsidP="005473B8">
      <w:pPr>
        <w:spacing w:line="360" w:lineRule="auto"/>
        <w:rPr>
          <w:rFonts w:cstheme="minorHAnsi"/>
          <w:color w:val="212121"/>
          <w:lang w:val="en-GB"/>
        </w:rPr>
      </w:pPr>
      <w:proofErr w:type="spellStart"/>
      <w:r w:rsidRPr="004805FE">
        <w:rPr>
          <w:rFonts w:cstheme="minorHAnsi"/>
          <w:color w:val="212121"/>
          <w:lang w:val="en-GB"/>
        </w:rPr>
        <w:t>Prof.</w:t>
      </w:r>
      <w:proofErr w:type="spellEnd"/>
      <w:r w:rsidRPr="004805FE">
        <w:rPr>
          <w:rFonts w:cstheme="minorHAnsi"/>
          <w:color w:val="212121"/>
          <w:lang w:val="en-GB"/>
        </w:rPr>
        <w:t xml:space="preserve"> Jean-Luc Faucheron, Colorectal Unit, Department of Surgery, Michallon Hospital, Grenoble Alpes University Hospital, CS 10 217, 3843 Grenoble </w:t>
      </w:r>
      <w:proofErr w:type="spellStart"/>
      <w:r w:rsidRPr="004805FE">
        <w:rPr>
          <w:rFonts w:cstheme="minorHAnsi"/>
          <w:color w:val="212121"/>
          <w:lang w:val="en-GB"/>
        </w:rPr>
        <w:t>cedex</w:t>
      </w:r>
      <w:proofErr w:type="spellEnd"/>
      <w:r w:rsidRPr="004805FE">
        <w:rPr>
          <w:rFonts w:cstheme="minorHAnsi"/>
          <w:color w:val="212121"/>
          <w:lang w:val="en-GB"/>
        </w:rPr>
        <w:t xml:space="preserve">, France - Tel: 33.4.76.76.53.71. Fax: 33.4.76.76.87.80. E-mail: </w:t>
      </w:r>
      <w:hyperlink r:id="rId10" w:history="1">
        <w:r w:rsidRPr="004805FE">
          <w:rPr>
            <w:rStyle w:val="Lienhypertexte"/>
            <w:rFonts w:cstheme="minorHAnsi"/>
            <w:lang w:val="en-GB"/>
          </w:rPr>
          <w:t>JLFaucheron@chu-grenoble.fr</w:t>
        </w:r>
      </w:hyperlink>
    </w:p>
    <w:p w14:paraId="14875893" w14:textId="77777777" w:rsidR="00E02201" w:rsidRPr="004805FE" w:rsidRDefault="00E02201" w:rsidP="005473B8">
      <w:pPr>
        <w:spacing w:line="360" w:lineRule="auto"/>
        <w:rPr>
          <w:rFonts w:cstheme="minorHAnsi"/>
          <w:color w:val="212121"/>
          <w:lang w:val="en-GB"/>
        </w:rPr>
      </w:pPr>
      <w:r w:rsidRPr="004805FE">
        <w:rPr>
          <w:rFonts w:cstheme="minorHAnsi"/>
          <w:color w:val="212121"/>
          <w:lang w:val="en-GB"/>
        </w:rPr>
        <w:t>ORCID</w:t>
      </w:r>
      <w:r w:rsidR="004C148C" w:rsidRPr="004805FE">
        <w:rPr>
          <w:rFonts w:cstheme="minorHAnsi"/>
          <w:color w:val="212121"/>
          <w:lang w:val="en-GB"/>
        </w:rPr>
        <w:t xml:space="preserve"> ID</w:t>
      </w:r>
      <w:r w:rsidRPr="004805FE">
        <w:rPr>
          <w:rFonts w:cstheme="minorHAnsi"/>
          <w:color w:val="212121"/>
          <w:lang w:val="en-GB"/>
        </w:rPr>
        <w:t>: 0000-0002-0837-2277</w:t>
      </w:r>
    </w:p>
    <w:p w14:paraId="275DADA3" w14:textId="77777777" w:rsidR="00E93849" w:rsidRPr="004805FE" w:rsidRDefault="00E93849" w:rsidP="005473B8">
      <w:pPr>
        <w:spacing w:line="360" w:lineRule="auto"/>
        <w:rPr>
          <w:rFonts w:cstheme="minorHAnsi"/>
          <w:b/>
          <w:bCs/>
          <w:sz w:val="22"/>
          <w:szCs w:val="22"/>
          <w:lang w:val="en-GB"/>
        </w:rPr>
      </w:pPr>
    </w:p>
    <w:p w14:paraId="4FDAFC76" w14:textId="77777777" w:rsidR="00862305" w:rsidRPr="004805FE" w:rsidRDefault="001F47C8" w:rsidP="0024097B">
      <w:pPr>
        <w:spacing w:line="276" w:lineRule="auto"/>
        <w:jc w:val="both"/>
        <w:rPr>
          <w:b/>
          <w:bCs/>
          <w:lang w:val="en-GB"/>
        </w:rPr>
      </w:pPr>
      <w:r w:rsidRPr="004805FE">
        <w:rPr>
          <w:b/>
          <w:bCs/>
          <w:lang w:val="en-GB"/>
        </w:rPr>
        <w:t>Supplementary Materials - Index</w:t>
      </w:r>
    </w:p>
    <w:p w14:paraId="1F142831" w14:textId="77777777" w:rsidR="001F47C8" w:rsidRPr="004805FE" w:rsidRDefault="001F47C8" w:rsidP="0024097B">
      <w:pPr>
        <w:spacing w:line="276" w:lineRule="auto"/>
        <w:jc w:val="both"/>
        <w:rPr>
          <w:sz w:val="22"/>
          <w:szCs w:val="22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21"/>
      </w:tblGrid>
      <w:tr w:rsidR="001F47C8" w:rsidRPr="004805FE" w14:paraId="086F7FDC" w14:textId="77777777" w:rsidTr="00C833A3">
        <w:tc>
          <w:tcPr>
            <w:tcW w:w="4721" w:type="dxa"/>
          </w:tcPr>
          <w:p w14:paraId="635693CD" w14:textId="77777777" w:rsidR="001F47C8" w:rsidRPr="004805FE" w:rsidRDefault="00BA67BD" w:rsidP="0024097B">
            <w:pPr>
              <w:spacing w:line="360" w:lineRule="auto"/>
              <w:jc w:val="both"/>
              <w:rPr>
                <w:b/>
                <w:bCs/>
                <w:lang w:val="en-GB"/>
              </w:rPr>
            </w:pPr>
            <w:r w:rsidRPr="004805FE">
              <w:rPr>
                <w:b/>
                <w:bCs/>
                <w:lang w:val="en-GB"/>
              </w:rPr>
              <w:t>Supplementary Methods</w:t>
            </w:r>
          </w:p>
        </w:tc>
        <w:tc>
          <w:tcPr>
            <w:tcW w:w="4721" w:type="dxa"/>
          </w:tcPr>
          <w:p w14:paraId="0B70FB90" w14:textId="77777777" w:rsidR="001F47C8" w:rsidRPr="004805FE" w:rsidRDefault="001F47C8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</w:p>
        </w:tc>
      </w:tr>
      <w:tr w:rsidR="001F47C8" w:rsidRPr="004805FE" w14:paraId="04B84616" w14:textId="77777777" w:rsidTr="00C833A3">
        <w:tc>
          <w:tcPr>
            <w:tcW w:w="4721" w:type="dxa"/>
          </w:tcPr>
          <w:p w14:paraId="58C22864" w14:textId="2A3072E6" w:rsidR="001F47C8" w:rsidRDefault="0070474F" w:rsidP="0024097B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Supplement 1</w:t>
            </w:r>
          </w:p>
          <w:p w14:paraId="3888C568" w14:textId="0A7A1403" w:rsidR="005473B8" w:rsidRPr="004805FE" w:rsidRDefault="005473B8" w:rsidP="0024097B">
            <w:pPr>
              <w:spacing w:line="360" w:lineRule="auto"/>
              <w:jc w:val="both"/>
              <w:rPr>
                <w:lang w:val="en-GB"/>
              </w:rPr>
            </w:pPr>
            <w:r w:rsidRPr="005473B8">
              <w:rPr>
                <w:lang w:val="en-GB"/>
              </w:rPr>
              <w:t>Supplement 2</w:t>
            </w:r>
          </w:p>
        </w:tc>
        <w:tc>
          <w:tcPr>
            <w:tcW w:w="4721" w:type="dxa"/>
          </w:tcPr>
          <w:p w14:paraId="67EEDC4B" w14:textId="17308867" w:rsidR="005473B8" w:rsidRDefault="0055456C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Page 2</w:t>
            </w:r>
          </w:p>
          <w:p w14:paraId="3C1C9C93" w14:textId="19E5A707" w:rsidR="0055456C" w:rsidRDefault="0055456C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Page 2</w:t>
            </w:r>
          </w:p>
          <w:p w14:paraId="720A003E" w14:textId="77777777" w:rsidR="005473B8" w:rsidRPr="004805FE" w:rsidRDefault="005473B8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</w:p>
        </w:tc>
      </w:tr>
      <w:tr w:rsidR="0070474F" w:rsidRPr="004805FE" w14:paraId="5940FE8D" w14:textId="77777777" w:rsidTr="00C833A3">
        <w:tc>
          <w:tcPr>
            <w:tcW w:w="4721" w:type="dxa"/>
          </w:tcPr>
          <w:p w14:paraId="2C655B56" w14:textId="4816703C" w:rsidR="0070474F" w:rsidRPr="004805FE" w:rsidRDefault="0070474F" w:rsidP="0024097B">
            <w:pPr>
              <w:spacing w:line="360" w:lineRule="auto"/>
              <w:jc w:val="both"/>
              <w:rPr>
                <w:lang w:val="en-GB"/>
              </w:rPr>
            </w:pPr>
          </w:p>
        </w:tc>
        <w:tc>
          <w:tcPr>
            <w:tcW w:w="4721" w:type="dxa"/>
          </w:tcPr>
          <w:p w14:paraId="476DC590" w14:textId="77777777" w:rsidR="0070474F" w:rsidRPr="004805FE" w:rsidRDefault="00E7791A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                                                                             </w:t>
            </w:r>
          </w:p>
        </w:tc>
      </w:tr>
      <w:tr w:rsidR="00C833A3" w:rsidRPr="004805FE" w14:paraId="628B2DBD" w14:textId="77777777" w:rsidTr="00C833A3">
        <w:tc>
          <w:tcPr>
            <w:tcW w:w="4721" w:type="dxa"/>
          </w:tcPr>
          <w:p w14:paraId="2D724DE0" w14:textId="400F7154" w:rsidR="00C833A3" w:rsidRPr="004805FE" w:rsidRDefault="00C833A3" w:rsidP="0024097B">
            <w:pPr>
              <w:jc w:val="both"/>
              <w:rPr>
                <w:rFonts w:cstheme="minorHAnsi"/>
                <w:b/>
                <w:lang w:val="en-GB"/>
              </w:rPr>
            </w:pPr>
            <w:r w:rsidRPr="004805FE">
              <w:rPr>
                <w:b/>
                <w:bCs/>
                <w:lang w:val="en-GB"/>
              </w:rPr>
              <w:t xml:space="preserve">Supplementary Figures </w:t>
            </w:r>
            <w:r w:rsidR="0024097B">
              <w:rPr>
                <w:b/>
                <w:bCs/>
                <w:lang w:val="en-GB"/>
              </w:rPr>
              <w:t>and tables</w:t>
            </w:r>
          </w:p>
        </w:tc>
        <w:tc>
          <w:tcPr>
            <w:tcW w:w="4721" w:type="dxa"/>
          </w:tcPr>
          <w:p w14:paraId="15225E5F" w14:textId="77777777" w:rsidR="00C833A3" w:rsidRPr="004805FE" w:rsidRDefault="00C833A3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</w:p>
        </w:tc>
      </w:tr>
      <w:tr w:rsidR="00C833A3" w:rsidRPr="004805FE" w14:paraId="7D18A1D1" w14:textId="77777777" w:rsidTr="00C833A3">
        <w:tc>
          <w:tcPr>
            <w:tcW w:w="4721" w:type="dxa"/>
          </w:tcPr>
          <w:p w14:paraId="69328C4B" w14:textId="77777777" w:rsidR="00C833A3" w:rsidRDefault="001F6068" w:rsidP="0024097B">
            <w:pPr>
              <w:spacing w:line="360" w:lineRule="auto"/>
              <w:jc w:val="both"/>
              <w:rPr>
                <w:lang w:val="en-GB"/>
              </w:rPr>
            </w:pPr>
            <w:r w:rsidRPr="004805FE">
              <w:rPr>
                <w:lang w:val="en-GB"/>
              </w:rPr>
              <w:t>Fig. S1</w:t>
            </w:r>
          </w:p>
          <w:p w14:paraId="10669397" w14:textId="53CE319E" w:rsidR="005473B8" w:rsidRPr="004805FE" w:rsidRDefault="005473B8" w:rsidP="0024097B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Fig. S2</w:t>
            </w:r>
          </w:p>
        </w:tc>
        <w:tc>
          <w:tcPr>
            <w:tcW w:w="4721" w:type="dxa"/>
          </w:tcPr>
          <w:p w14:paraId="0E9B82FB" w14:textId="77777777" w:rsidR="00C833A3" w:rsidRDefault="0055456C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Page 3</w:t>
            </w:r>
          </w:p>
          <w:p w14:paraId="4A38B8DC" w14:textId="3588CD05" w:rsidR="0055456C" w:rsidRPr="004805FE" w:rsidRDefault="0055456C" w:rsidP="0024097B">
            <w:pPr>
              <w:spacing w:line="360" w:lineRule="auto"/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Page 3</w:t>
            </w:r>
          </w:p>
        </w:tc>
      </w:tr>
    </w:tbl>
    <w:p w14:paraId="3504BD39" w14:textId="77777777" w:rsidR="00BA67BD" w:rsidRPr="004805FE" w:rsidRDefault="001F47C8" w:rsidP="005473B8">
      <w:pPr>
        <w:rPr>
          <w:b/>
          <w:bCs/>
          <w:sz w:val="22"/>
          <w:szCs w:val="22"/>
          <w:lang w:val="en-GB"/>
        </w:rPr>
      </w:pPr>
      <w:r w:rsidRPr="004805FE">
        <w:rPr>
          <w:b/>
          <w:bCs/>
          <w:sz w:val="22"/>
          <w:szCs w:val="22"/>
          <w:lang w:val="en-GB"/>
        </w:rPr>
        <w:br w:type="page"/>
      </w:r>
    </w:p>
    <w:p w14:paraId="11DBF592" w14:textId="77777777" w:rsidR="00BA67BD" w:rsidRPr="004805FE" w:rsidRDefault="00BA67BD" w:rsidP="005473B8">
      <w:pPr>
        <w:rPr>
          <w:b/>
          <w:bCs/>
          <w:lang w:val="en-GB"/>
        </w:rPr>
      </w:pPr>
      <w:r w:rsidRPr="004805FE">
        <w:rPr>
          <w:b/>
          <w:bCs/>
          <w:lang w:val="en-GB"/>
        </w:rPr>
        <w:lastRenderedPageBreak/>
        <w:t>Supplementary Methods</w:t>
      </w:r>
    </w:p>
    <w:p w14:paraId="3E68AEEA" w14:textId="77777777" w:rsidR="00594805" w:rsidRPr="004805FE" w:rsidRDefault="00594805" w:rsidP="005473B8">
      <w:pPr>
        <w:rPr>
          <w:b/>
          <w:bCs/>
          <w:lang w:val="en-GB"/>
        </w:rPr>
      </w:pPr>
    </w:p>
    <w:p w14:paraId="3C848110" w14:textId="77777777" w:rsidR="0055456C" w:rsidRDefault="0055456C" w:rsidP="005473B8">
      <w:pPr>
        <w:spacing w:line="360" w:lineRule="auto"/>
        <w:rPr>
          <w:b/>
          <w:bCs/>
          <w:sz w:val="22"/>
          <w:szCs w:val="22"/>
          <w:lang w:val="en-GB"/>
        </w:rPr>
      </w:pPr>
    </w:p>
    <w:p w14:paraId="510B2EC8" w14:textId="5F128325" w:rsidR="00E1751D" w:rsidRPr="00580E67" w:rsidRDefault="00E1751D" w:rsidP="005473B8">
      <w:pPr>
        <w:spacing w:line="360" w:lineRule="auto"/>
        <w:rPr>
          <w:b/>
          <w:bCs/>
          <w:sz w:val="22"/>
          <w:szCs w:val="22"/>
          <w:vertAlign w:val="superscript"/>
          <w:lang w:val="en-GB"/>
        </w:rPr>
      </w:pPr>
      <w:r w:rsidRPr="007146A6">
        <w:rPr>
          <w:b/>
          <w:bCs/>
          <w:sz w:val="22"/>
          <w:szCs w:val="22"/>
          <w:lang w:val="en-GB"/>
        </w:rPr>
        <w:t xml:space="preserve">Supplement </w:t>
      </w:r>
      <w:proofErr w:type="gramStart"/>
      <w:r w:rsidRPr="007146A6">
        <w:rPr>
          <w:b/>
          <w:bCs/>
          <w:sz w:val="22"/>
          <w:szCs w:val="22"/>
          <w:lang w:val="en-GB"/>
        </w:rPr>
        <w:t>1</w:t>
      </w:r>
      <w:proofErr w:type="gramEnd"/>
      <w:r w:rsidRPr="007146A6">
        <w:rPr>
          <w:b/>
          <w:bCs/>
          <w:sz w:val="22"/>
          <w:szCs w:val="22"/>
          <w:lang w:val="en-GB"/>
        </w:rPr>
        <w:t xml:space="preserve"> </w:t>
      </w:r>
      <w:r w:rsidR="008C4DB5" w:rsidRPr="008C4DB5">
        <w:rPr>
          <w:bCs/>
          <w:sz w:val="22"/>
          <w:szCs w:val="22"/>
          <w:lang w:val="en-GB"/>
        </w:rPr>
        <w:t>R</w:t>
      </w:r>
      <w:r w:rsidR="004B5FEC" w:rsidRPr="008C4DB5">
        <w:rPr>
          <w:bCs/>
          <w:sz w:val="22"/>
          <w:szCs w:val="22"/>
          <w:lang w:val="en-GB"/>
        </w:rPr>
        <w:t xml:space="preserve">easons for </w:t>
      </w:r>
      <w:r w:rsidR="008C4DB5" w:rsidRPr="008C4DB5">
        <w:rPr>
          <w:bCs/>
          <w:sz w:val="22"/>
          <w:szCs w:val="22"/>
          <w:lang w:val="en-GB"/>
        </w:rPr>
        <w:t xml:space="preserve">open </w:t>
      </w:r>
      <w:r w:rsidR="005473B8">
        <w:rPr>
          <w:bCs/>
          <w:sz w:val="22"/>
          <w:szCs w:val="22"/>
          <w:lang w:val="en-GB"/>
        </w:rPr>
        <w:t>or</w:t>
      </w:r>
      <w:r w:rsidR="005473B8" w:rsidRPr="008C4DB5">
        <w:rPr>
          <w:bCs/>
          <w:sz w:val="22"/>
          <w:szCs w:val="22"/>
          <w:lang w:val="en-GB"/>
        </w:rPr>
        <w:t xml:space="preserve"> </w:t>
      </w:r>
      <w:r w:rsidR="008C4DB5" w:rsidRPr="008C4DB5">
        <w:rPr>
          <w:bCs/>
          <w:sz w:val="22"/>
          <w:szCs w:val="22"/>
          <w:lang w:val="en-GB"/>
        </w:rPr>
        <w:t>perineal</w:t>
      </w:r>
      <w:r w:rsidR="004B5FEC" w:rsidRPr="008C4DB5">
        <w:rPr>
          <w:bCs/>
          <w:sz w:val="22"/>
          <w:szCs w:val="22"/>
          <w:lang w:val="en-GB"/>
        </w:rPr>
        <w:t xml:space="preserve"> approach</w:t>
      </w:r>
      <w:r w:rsidR="008C4DB5" w:rsidRPr="008C4DB5">
        <w:rPr>
          <w:bCs/>
          <w:sz w:val="22"/>
          <w:szCs w:val="22"/>
          <w:lang w:val="en-GB"/>
        </w:rPr>
        <w:t xml:space="preserve"> in patients with RP in </w:t>
      </w:r>
      <w:r w:rsidR="000E5A58">
        <w:rPr>
          <w:bCs/>
          <w:sz w:val="22"/>
          <w:szCs w:val="22"/>
          <w:lang w:val="en-GB"/>
        </w:rPr>
        <w:t>our</w:t>
      </w:r>
      <w:r w:rsidR="000E5A58" w:rsidRPr="008C4DB5">
        <w:rPr>
          <w:bCs/>
          <w:sz w:val="22"/>
          <w:szCs w:val="22"/>
          <w:lang w:val="en-GB"/>
        </w:rPr>
        <w:t xml:space="preserve"> </w:t>
      </w:r>
      <w:r w:rsidR="008C4DB5" w:rsidRPr="008C4DB5">
        <w:rPr>
          <w:bCs/>
          <w:sz w:val="22"/>
          <w:szCs w:val="22"/>
          <w:lang w:val="en-GB"/>
        </w:rPr>
        <w:t>previously published series</w:t>
      </w:r>
      <w:r w:rsidR="00580E67">
        <w:rPr>
          <w:bCs/>
          <w:sz w:val="22"/>
          <w:szCs w:val="22"/>
          <w:vertAlign w:val="superscript"/>
          <w:lang w:val="en-GB"/>
        </w:rPr>
        <w:t>20</w:t>
      </w:r>
    </w:p>
    <w:p w14:paraId="350E9E73" w14:textId="77777777" w:rsidR="0070474F" w:rsidRDefault="0070474F" w:rsidP="005473B8">
      <w:pPr>
        <w:spacing w:line="360" w:lineRule="auto"/>
        <w:rPr>
          <w:i/>
          <w:sz w:val="22"/>
          <w:szCs w:val="22"/>
        </w:rPr>
      </w:pPr>
    </w:p>
    <w:p w14:paraId="0CE17BEB" w14:textId="77777777" w:rsidR="00580E67" w:rsidRDefault="004B5FEC" w:rsidP="005473B8">
      <w:pPr>
        <w:spacing w:line="360" w:lineRule="auto"/>
        <w:rPr>
          <w:sz w:val="22"/>
          <w:szCs w:val="22"/>
          <w:lang w:val="en-US"/>
        </w:rPr>
      </w:pPr>
      <w:proofErr w:type="gramStart"/>
      <w:r w:rsidRPr="008C4DB5">
        <w:rPr>
          <w:sz w:val="22"/>
          <w:szCs w:val="22"/>
          <w:lang w:val="en-US"/>
        </w:rPr>
        <w:t xml:space="preserve">Laparotomy was chosen as the first-intention approach in 2 patients with a history of brain surgery (resection of an </w:t>
      </w:r>
      <w:proofErr w:type="spellStart"/>
      <w:r w:rsidRPr="008C4DB5">
        <w:rPr>
          <w:sz w:val="22"/>
          <w:szCs w:val="22"/>
          <w:lang w:val="en-US"/>
        </w:rPr>
        <w:t>oligodendroglioma</w:t>
      </w:r>
      <w:proofErr w:type="spellEnd"/>
      <w:r w:rsidRPr="008C4DB5">
        <w:rPr>
          <w:sz w:val="22"/>
          <w:szCs w:val="22"/>
          <w:lang w:val="en-US"/>
        </w:rPr>
        <w:t xml:space="preserve"> in one and treatment of an intracerebral aneurysm </w:t>
      </w:r>
      <w:r w:rsidR="000E5A58">
        <w:rPr>
          <w:sz w:val="22"/>
          <w:szCs w:val="22"/>
          <w:lang w:val="en-US"/>
        </w:rPr>
        <w:t xml:space="preserve">with epileptic </w:t>
      </w:r>
      <w:proofErr w:type="spellStart"/>
      <w:r w:rsidR="000E5A58">
        <w:rPr>
          <w:sz w:val="22"/>
          <w:szCs w:val="22"/>
          <w:lang w:val="en-US"/>
        </w:rPr>
        <w:t>sequalae</w:t>
      </w:r>
      <w:proofErr w:type="spellEnd"/>
      <w:r w:rsidR="000E5A58" w:rsidRPr="000E5A58">
        <w:t xml:space="preserve"> </w:t>
      </w:r>
      <w:r w:rsidR="000E5A58" w:rsidRPr="000E5A58">
        <w:rPr>
          <w:sz w:val="22"/>
          <w:szCs w:val="22"/>
          <w:lang w:val="en-US"/>
        </w:rPr>
        <w:t>in the other</w:t>
      </w:r>
      <w:r w:rsidRPr="008C4DB5">
        <w:rPr>
          <w:sz w:val="22"/>
          <w:szCs w:val="22"/>
          <w:lang w:val="en-US"/>
        </w:rPr>
        <w:t>), in 7 patients with recurrent RP after laparotomy performed in another institution, in 4 patients treated for postoperative complications after pelvic surgery, and in 1 patient with a recent history of myocardial infarction.</w:t>
      </w:r>
      <w:proofErr w:type="gramEnd"/>
      <w:r w:rsidRPr="008C4DB5">
        <w:rPr>
          <w:sz w:val="22"/>
          <w:szCs w:val="22"/>
          <w:lang w:val="en-US"/>
        </w:rPr>
        <w:t xml:space="preserve"> </w:t>
      </w:r>
    </w:p>
    <w:p w14:paraId="415BAD8E" w14:textId="339E2268" w:rsidR="004B5FEC" w:rsidRDefault="004B5FEC" w:rsidP="005473B8">
      <w:pPr>
        <w:spacing w:line="360" w:lineRule="auto"/>
        <w:rPr>
          <w:sz w:val="22"/>
          <w:szCs w:val="22"/>
          <w:lang w:val="en-US"/>
        </w:rPr>
      </w:pPr>
      <w:r w:rsidRPr="008C4DB5">
        <w:rPr>
          <w:sz w:val="22"/>
          <w:szCs w:val="22"/>
          <w:lang w:val="en-US"/>
        </w:rPr>
        <w:t xml:space="preserve">The perineal approach </w:t>
      </w:r>
      <w:proofErr w:type="gramStart"/>
      <w:r w:rsidRPr="008C4DB5">
        <w:rPr>
          <w:sz w:val="22"/>
          <w:szCs w:val="22"/>
          <w:lang w:val="en-US"/>
        </w:rPr>
        <w:t>was chosen</w:t>
      </w:r>
      <w:proofErr w:type="gramEnd"/>
      <w:r w:rsidRPr="008C4DB5">
        <w:rPr>
          <w:sz w:val="22"/>
          <w:szCs w:val="22"/>
          <w:lang w:val="en-US"/>
        </w:rPr>
        <w:t xml:space="preserve"> in 17 patients because of their age and/or major comorbid conditions that were incompatible with general </w:t>
      </w:r>
      <w:proofErr w:type="spellStart"/>
      <w:r w:rsidRPr="008C4DB5">
        <w:rPr>
          <w:sz w:val="22"/>
          <w:szCs w:val="22"/>
          <w:lang w:val="en-US"/>
        </w:rPr>
        <w:t>anaesthesia</w:t>
      </w:r>
      <w:proofErr w:type="spellEnd"/>
      <w:r w:rsidRPr="008C4DB5">
        <w:rPr>
          <w:sz w:val="22"/>
          <w:szCs w:val="22"/>
          <w:lang w:val="en-US"/>
        </w:rPr>
        <w:t>.</w:t>
      </w:r>
    </w:p>
    <w:p w14:paraId="751DE97D" w14:textId="77777777" w:rsidR="0045501E" w:rsidRDefault="0045501E" w:rsidP="005473B8">
      <w:pPr>
        <w:spacing w:line="360" w:lineRule="auto"/>
        <w:rPr>
          <w:sz w:val="22"/>
          <w:szCs w:val="22"/>
          <w:lang w:val="en-US"/>
        </w:rPr>
      </w:pPr>
    </w:p>
    <w:p w14:paraId="17935680" w14:textId="41325061" w:rsidR="0045501E" w:rsidRDefault="0045501E" w:rsidP="005473B8">
      <w:pPr>
        <w:spacing w:line="360" w:lineRule="auto"/>
        <w:rPr>
          <w:sz w:val="22"/>
          <w:szCs w:val="22"/>
          <w:vertAlign w:val="superscript"/>
          <w:lang w:val="en-US"/>
        </w:rPr>
      </w:pPr>
      <w:r w:rsidRPr="0024097B">
        <w:rPr>
          <w:b/>
          <w:bCs/>
          <w:sz w:val="22"/>
          <w:szCs w:val="22"/>
          <w:lang w:val="en-US"/>
        </w:rPr>
        <w:t xml:space="preserve">Supplement </w:t>
      </w:r>
      <w:proofErr w:type="gramStart"/>
      <w:r w:rsidRPr="0024097B">
        <w:rPr>
          <w:b/>
          <w:bCs/>
          <w:sz w:val="22"/>
          <w:szCs w:val="22"/>
          <w:lang w:val="en-US"/>
        </w:rPr>
        <w:t>2</w:t>
      </w:r>
      <w:proofErr w:type="gramEnd"/>
      <w:r>
        <w:rPr>
          <w:sz w:val="22"/>
          <w:szCs w:val="22"/>
          <w:lang w:val="en-US"/>
        </w:rPr>
        <w:t xml:space="preserve"> Procedure </w:t>
      </w:r>
      <w:r w:rsidR="00B437A8">
        <w:rPr>
          <w:sz w:val="22"/>
          <w:szCs w:val="22"/>
          <w:lang w:val="en-US"/>
        </w:rPr>
        <w:t>for</w:t>
      </w:r>
      <w:r>
        <w:rPr>
          <w:sz w:val="22"/>
          <w:szCs w:val="22"/>
          <w:lang w:val="en-US"/>
        </w:rPr>
        <w:t xml:space="preserve"> LVR used for the study</w:t>
      </w:r>
      <w:r>
        <w:rPr>
          <w:sz w:val="22"/>
          <w:szCs w:val="22"/>
          <w:vertAlign w:val="superscript"/>
          <w:lang w:val="en-US"/>
        </w:rPr>
        <w:t>20</w:t>
      </w:r>
    </w:p>
    <w:p w14:paraId="0A6A2A2B" w14:textId="77777777" w:rsidR="0045501E" w:rsidRPr="0024097B" w:rsidRDefault="0045501E" w:rsidP="005473B8">
      <w:pPr>
        <w:spacing w:line="360" w:lineRule="auto"/>
        <w:rPr>
          <w:sz w:val="22"/>
          <w:szCs w:val="22"/>
          <w:vertAlign w:val="superscript"/>
          <w:lang w:val="en-US"/>
        </w:rPr>
      </w:pPr>
    </w:p>
    <w:p w14:paraId="257BB726" w14:textId="2ECA7222" w:rsidR="0055456C" w:rsidRDefault="0045501E" w:rsidP="005473B8">
      <w:pPr>
        <w:spacing w:line="360" w:lineRule="auto"/>
        <w:rPr>
          <w:b/>
          <w:bCs/>
          <w:lang w:val="en-US"/>
        </w:rPr>
      </w:pPr>
      <w:r w:rsidRPr="0045501E">
        <w:rPr>
          <w:sz w:val="22"/>
          <w:szCs w:val="22"/>
          <w:lang w:val="en-GB"/>
        </w:rPr>
        <w:t xml:space="preserve">The table </w:t>
      </w:r>
      <w:proofErr w:type="gramStart"/>
      <w:r w:rsidRPr="0045501E">
        <w:rPr>
          <w:sz w:val="22"/>
          <w:szCs w:val="22"/>
          <w:lang w:val="en-GB"/>
        </w:rPr>
        <w:t>is tilted</w:t>
      </w:r>
      <w:proofErr w:type="gramEnd"/>
      <w:r w:rsidRPr="0045501E">
        <w:rPr>
          <w:sz w:val="22"/>
          <w:szCs w:val="22"/>
          <w:lang w:val="en-GB"/>
        </w:rPr>
        <w:t xml:space="preserve"> in a marked </w:t>
      </w:r>
      <w:proofErr w:type="spellStart"/>
      <w:r w:rsidRPr="0045501E">
        <w:rPr>
          <w:sz w:val="22"/>
          <w:szCs w:val="22"/>
          <w:lang w:val="en-GB"/>
        </w:rPr>
        <w:t>Trendelenbourg</w:t>
      </w:r>
      <w:proofErr w:type="spellEnd"/>
      <w:r w:rsidRPr="0045501E">
        <w:rPr>
          <w:sz w:val="22"/>
          <w:szCs w:val="22"/>
          <w:lang w:val="en-GB"/>
        </w:rPr>
        <w:t xml:space="preserve"> position to facilitate small-bowel abdominal retraction. The anterior aspect of the promontory </w:t>
      </w:r>
      <w:proofErr w:type="gramStart"/>
      <w:r w:rsidRPr="0045501E">
        <w:rPr>
          <w:sz w:val="22"/>
          <w:szCs w:val="22"/>
          <w:lang w:val="en-GB"/>
        </w:rPr>
        <w:t>is then exposed</w:t>
      </w:r>
      <w:proofErr w:type="gramEnd"/>
      <w:r w:rsidRPr="0045501E">
        <w:rPr>
          <w:sz w:val="22"/>
          <w:szCs w:val="22"/>
          <w:lang w:val="en-GB"/>
        </w:rPr>
        <w:t xml:space="preserve"> on the right of the </w:t>
      </w:r>
      <w:proofErr w:type="spellStart"/>
      <w:r w:rsidRPr="0045501E">
        <w:rPr>
          <w:sz w:val="22"/>
          <w:szCs w:val="22"/>
          <w:lang w:val="en-GB"/>
        </w:rPr>
        <w:t>mesosigmoid</w:t>
      </w:r>
      <w:proofErr w:type="spellEnd"/>
      <w:r w:rsidRPr="0045501E">
        <w:rPr>
          <w:sz w:val="22"/>
          <w:szCs w:val="22"/>
          <w:lang w:val="en-GB"/>
        </w:rPr>
        <w:t xml:space="preserve"> using a hook dissector with </w:t>
      </w:r>
      <w:proofErr w:type="spellStart"/>
      <w:r w:rsidRPr="0045501E">
        <w:rPr>
          <w:sz w:val="22"/>
          <w:szCs w:val="22"/>
          <w:lang w:val="en-GB"/>
        </w:rPr>
        <w:t>monopolar</w:t>
      </w:r>
      <w:proofErr w:type="spellEnd"/>
      <w:r w:rsidRPr="0045501E">
        <w:rPr>
          <w:sz w:val="22"/>
          <w:szCs w:val="22"/>
          <w:lang w:val="en-GB"/>
        </w:rPr>
        <w:t xml:space="preserve"> diathermy, over a surface measuring 3 cm wide and 2 cm high, avoiding damage to the superior hypogastric plexus. The peritoneum of the Douglas pouch </w:t>
      </w:r>
      <w:proofErr w:type="gramStart"/>
      <w:r w:rsidRPr="0045501E">
        <w:rPr>
          <w:sz w:val="22"/>
          <w:szCs w:val="22"/>
          <w:lang w:val="en-GB"/>
        </w:rPr>
        <w:t>is excised</w:t>
      </w:r>
      <w:proofErr w:type="gramEnd"/>
      <w:r w:rsidRPr="0045501E">
        <w:rPr>
          <w:sz w:val="22"/>
          <w:szCs w:val="22"/>
          <w:lang w:val="en-GB"/>
        </w:rPr>
        <w:t xml:space="preserve"> to free 8 cm of the anterior rectal muscular wall and the entire posterior vaginal wall in female patients, reaching the pelvic floor. No posterior or lateral dissection of the rectum </w:t>
      </w:r>
      <w:proofErr w:type="gramStart"/>
      <w:r w:rsidRPr="0045501E">
        <w:rPr>
          <w:sz w:val="22"/>
          <w:szCs w:val="22"/>
          <w:lang w:val="en-GB"/>
        </w:rPr>
        <w:t>is performed</w:t>
      </w:r>
      <w:proofErr w:type="gramEnd"/>
      <w:r w:rsidRPr="0045501E">
        <w:rPr>
          <w:sz w:val="22"/>
          <w:szCs w:val="22"/>
          <w:lang w:val="en-GB"/>
        </w:rPr>
        <w:t xml:space="preserve"> to avoid any nerve damage. A synthetic mesh measuring 20 x 3 cm (</w:t>
      </w:r>
      <w:proofErr w:type="spellStart"/>
      <w:r w:rsidRPr="0045501E">
        <w:rPr>
          <w:sz w:val="22"/>
          <w:szCs w:val="22"/>
          <w:lang w:val="en-GB"/>
        </w:rPr>
        <w:t>Parietex</w:t>
      </w:r>
      <w:proofErr w:type="spellEnd"/>
      <w:r w:rsidRPr="0045501E">
        <w:rPr>
          <w:sz w:val="22"/>
          <w:szCs w:val="22"/>
          <w:lang w:val="en-GB"/>
        </w:rPr>
        <w:t xml:space="preserve"> </w:t>
      </w:r>
      <w:proofErr w:type="spellStart"/>
      <w:r w:rsidRPr="0045501E">
        <w:rPr>
          <w:sz w:val="22"/>
          <w:szCs w:val="22"/>
          <w:lang w:val="en-GB"/>
        </w:rPr>
        <w:t>Prosup</w:t>
      </w:r>
      <w:proofErr w:type="spellEnd"/>
      <w:r w:rsidRPr="0045501E">
        <w:rPr>
          <w:sz w:val="22"/>
          <w:szCs w:val="22"/>
          <w:lang w:val="en-GB"/>
        </w:rPr>
        <w:t xml:space="preserve"> Tyco Healthcare, United States Surgical, Norwalk, CT) is fixed onto the anterior aspect of the lower</w:t>
      </w:r>
      <w:bookmarkStart w:id="0" w:name="_GoBack"/>
      <w:bookmarkEnd w:id="0"/>
      <w:r w:rsidRPr="0045501E">
        <w:rPr>
          <w:sz w:val="22"/>
          <w:szCs w:val="22"/>
          <w:lang w:val="en-GB"/>
        </w:rPr>
        <w:t xml:space="preserve"> rectum using six 4-mm titanium staples (Endo Universal 65° 4.0 mm, ref 173,054, </w:t>
      </w:r>
      <w:proofErr w:type="spellStart"/>
      <w:r w:rsidRPr="0045501E">
        <w:rPr>
          <w:sz w:val="22"/>
          <w:szCs w:val="22"/>
          <w:lang w:val="en-GB"/>
        </w:rPr>
        <w:t>Autosuture</w:t>
      </w:r>
      <w:proofErr w:type="spellEnd"/>
      <w:r w:rsidRPr="0045501E">
        <w:rPr>
          <w:sz w:val="22"/>
          <w:szCs w:val="22"/>
          <w:lang w:val="en-GB"/>
        </w:rPr>
        <w:t>, Tyco Healthcare, United States Surgical, Norwalk, CT), and fixed to the right side of the promontory using  3 spiked chromium staples (</w:t>
      </w:r>
      <w:proofErr w:type="spellStart"/>
      <w:r w:rsidRPr="0045501E">
        <w:rPr>
          <w:sz w:val="22"/>
          <w:szCs w:val="22"/>
          <w:lang w:val="en-GB"/>
        </w:rPr>
        <w:t>Protack</w:t>
      </w:r>
      <w:proofErr w:type="spellEnd"/>
      <w:r w:rsidRPr="0045501E">
        <w:rPr>
          <w:sz w:val="22"/>
          <w:szCs w:val="22"/>
          <w:lang w:val="en-GB"/>
        </w:rPr>
        <w:t xml:space="preserve"> 5.0 mm, ref 174,006, </w:t>
      </w:r>
      <w:proofErr w:type="spellStart"/>
      <w:r w:rsidRPr="0045501E">
        <w:rPr>
          <w:sz w:val="22"/>
          <w:szCs w:val="22"/>
          <w:lang w:val="en-GB"/>
        </w:rPr>
        <w:t>Autosuture</w:t>
      </w:r>
      <w:proofErr w:type="spellEnd"/>
      <w:r w:rsidRPr="0045501E">
        <w:rPr>
          <w:sz w:val="22"/>
          <w:szCs w:val="22"/>
          <w:lang w:val="en-GB"/>
        </w:rPr>
        <w:t xml:space="preserve">, Tyco Health care, United States Surgical, Norwalk, CT) (Fig. S2). Lastly, the peritoneum </w:t>
      </w:r>
      <w:proofErr w:type="gramStart"/>
      <w:r w:rsidRPr="0045501E">
        <w:rPr>
          <w:sz w:val="22"/>
          <w:szCs w:val="22"/>
          <w:lang w:val="en-GB"/>
        </w:rPr>
        <w:t>is closed</w:t>
      </w:r>
      <w:proofErr w:type="gramEnd"/>
      <w:r w:rsidRPr="0045501E">
        <w:rPr>
          <w:sz w:val="22"/>
          <w:szCs w:val="22"/>
          <w:lang w:val="en-GB"/>
        </w:rPr>
        <w:t xml:space="preserve"> with a continuous </w:t>
      </w:r>
      <w:proofErr w:type="spellStart"/>
      <w:r w:rsidRPr="0045501E">
        <w:rPr>
          <w:sz w:val="22"/>
          <w:szCs w:val="22"/>
          <w:lang w:val="en-GB"/>
        </w:rPr>
        <w:t>nonabsorbable</w:t>
      </w:r>
      <w:proofErr w:type="spellEnd"/>
      <w:r w:rsidRPr="0045501E">
        <w:rPr>
          <w:sz w:val="22"/>
          <w:szCs w:val="22"/>
          <w:lang w:val="en-GB"/>
        </w:rPr>
        <w:t xml:space="preserve"> suture over the mesh to isolate it from the abdominal cavity and to create a shallow Douglas </w:t>
      </w:r>
      <w:proofErr w:type="spellStart"/>
      <w:r w:rsidRPr="0045501E">
        <w:rPr>
          <w:sz w:val="22"/>
          <w:szCs w:val="22"/>
          <w:lang w:val="en-GB"/>
        </w:rPr>
        <w:t>neopouch</w:t>
      </w:r>
      <w:proofErr w:type="spellEnd"/>
      <w:r w:rsidRPr="0045501E">
        <w:rPr>
          <w:sz w:val="22"/>
          <w:szCs w:val="22"/>
          <w:lang w:val="en-GB"/>
        </w:rPr>
        <w:t>. Local anaesthetic (</w:t>
      </w:r>
      <w:proofErr w:type="spellStart"/>
      <w:r w:rsidRPr="0045501E">
        <w:rPr>
          <w:sz w:val="22"/>
          <w:szCs w:val="22"/>
          <w:lang w:val="en-GB"/>
        </w:rPr>
        <w:t>ropivacaine</w:t>
      </w:r>
      <w:proofErr w:type="spellEnd"/>
      <w:r w:rsidRPr="0045501E">
        <w:rPr>
          <w:sz w:val="22"/>
          <w:szCs w:val="22"/>
          <w:lang w:val="en-GB"/>
        </w:rPr>
        <w:t xml:space="preserve">) </w:t>
      </w:r>
      <w:proofErr w:type="gramStart"/>
      <w:r w:rsidRPr="0045501E">
        <w:rPr>
          <w:sz w:val="22"/>
          <w:szCs w:val="22"/>
          <w:lang w:val="en-GB"/>
        </w:rPr>
        <w:t>is systematically injected</w:t>
      </w:r>
      <w:proofErr w:type="gramEnd"/>
      <w:r w:rsidRPr="0045501E">
        <w:rPr>
          <w:sz w:val="22"/>
          <w:szCs w:val="22"/>
          <w:lang w:val="en-GB"/>
        </w:rPr>
        <w:t xml:space="preserve"> into the trocar orifices to reduce postoperative pain</w:t>
      </w:r>
      <w:r w:rsidRPr="0045501E">
        <w:rPr>
          <w:sz w:val="22"/>
          <w:szCs w:val="22"/>
          <w:vertAlign w:val="superscript"/>
          <w:lang w:val="en-GB"/>
        </w:rPr>
        <w:t>20</w:t>
      </w:r>
      <w:r w:rsidRPr="0045501E">
        <w:rPr>
          <w:sz w:val="22"/>
          <w:szCs w:val="22"/>
          <w:lang w:val="en-GB"/>
        </w:rPr>
        <w:t>.</w:t>
      </w:r>
    </w:p>
    <w:p w14:paraId="06B046CD" w14:textId="77777777" w:rsidR="0055456C" w:rsidRDefault="0055456C" w:rsidP="005473B8">
      <w:pPr>
        <w:spacing w:line="360" w:lineRule="auto"/>
        <w:rPr>
          <w:b/>
          <w:bCs/>
          <w:lang w:val="en-US"/>
        </w:rPr>
      </w:pPr>
    </w:p>
    <w:p w14:paraId="2C5AC3A8" w14:textId="77777777" w:rsidR="0055456C" w:rsidRPr="0045501E" w:rsidRDefault="0055456C" w:rsidP="005473B8">
      <w:pPr>
        <w:spacing w:line="360" w:lineRule="auto"/>
        <w:rPr>
          <w:sz w:val="22"/>
          <w:szCs w:val="22"/>
          <w:lang w:val="en-US"/>
        </w:rPr>
      </w:pPr>
    </w:p>
    <w:p w14:paraId="1D56B2BA" w14:textId="77777777" w:rsidR="00E32830" w:rsidRDefault="00E32830" w:rsidP="005473B8">
      <w:pPr>
        <w:spacing w:line="360" w:lineRule="auto"/>
        <w:rPr>
          <w:b/>
          <w:bCs/>
          <w:lang w:val="en-US"/>
        </w:rPr>
      </w:pPr>
      <w:r w:rsidRPr="00E1751D">
        <w:rPr>
          <w:b/>
          <w:bCs/>
          <w:lang w:val="en-US"/>
        </w:rPr>
        <w:t>Supplementary Figures and Tables</w:t>
      </w:r>
    </w:p>
    <w:p w14:paraId="16C36344" w14:textId="77777777" w:rsidR="0055456C" w:rsidRDefault="0055456C" w:rsidP="005473B8">
      <w:pPr>
        <w:spacing w:line="360" w:lineRule="auto"/>
        <w:rPr>
          <w:b/>
          <w:sz w:val="22"/>
          <w:szCs w:val="22"/>
        </w:rPr>
      </w:pPr>
    </w:p>
    <w:p w14:paraId="17636961" w14:textId="77777777" w:rsidR="0055456C" w:rsidRDefault="0055456C" w:rsidP="005473B8">
      <w:pPr>
        <w:spacing w:line="360" w:lineRule="auto"/>
        <w:rPr>
          <w:b/>
          <w:sz w:val="22"/>
          <w:szCs w:val="22"/>
        </w:rPr>
      </w:pPr>
    </w:p>
    <w:p w14:paraId="22135CAB" w14:textId="6137090F" w:rsidR="00E32830" w:rsidRDefault="00E32830" w:rsidP="005473B8">
      <w:pPr>
        <w:spacing w:line="360" w:lineRule="auto"/>
        <w:rPr>
          <w:sz w:val="22"/>
          <w:szCs w:val="22"/>
        </w:rPr>
      </w:pPr>
      <w:r w:rsidRPr="001666B3">
        <w:rPr>
          <w:b/>
          <w:sz w:val="22"/>
          <w:szCs w:val="22"/>
        </w:rPr>
        <w:lastRenderedPageBreak/>
        <w:t xml:space="preserve">Fig. S1 </w:t>
      </w:r>
      <w:r w:rsidR="00580E67" w:rsidRPr="001666B3">
        <w:rPr>
          <w:sz w:val="22"/>
          <w:szCs w:val="22"/>
        </w:rPr>
        <w:t>Laparoscopic approach for an anterior rectopexy to the promontory</w:t>
      </w:r>
    </w:p>
    <w:p w14:paraId="420BCD57" w14:textId="4BEE4AB3" w:rsidR="0024097B" w:rsidRDefault="0024097B" w:rsidP="005473B8">
      <w:pPr>
        <w:spacing w:line="360" w:lineRule="auto"/>
        <w:rPr>
          <w:sz w:val="22"/>
          <w:szCs w:val="22"/>
        </w:rPr>
      </w:pPr>
      <w:r>
        <w:rPr>
          <w:noProof/>
          <w:lang w:val="fr-FR" w:eastAsia="fr-FR"/>
        </w:rPr>
        <w:drawing>
          <wp:inline distT="0" distB="0" distL="0" distR="0" wp14:anchorId="313F6DDB" wp14:editId="17344957">
            <wp:extent cx="5655310" cy="3969385"/>
            <wp:effectExtent l="0" t="0" r="0" b="0"/>
            <wp:docPr id="5235779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F624" w14:textId="77777777" w:rsidR="0024097B" w:rsidRDefault="0024097B" w:rsidP="0024097B">
      <w:pPr>
        <w:rPr>
          <w:b/>
          <w:bCs/>
          <w:sz w:val="22"/>
          <w:szCs w:val="22"/>
        </w:rPr>
      </w:pPr>
    </w:p>
    <w:p w14:paraId="5CDFBE0C" w14:textId="07E0E024" w:rsidR="00BA67BD" w:rsidRDefault="0045501E" w:rsidP="0024097B">
      <w:pPr>
        <w:spacing w:line="360" w:lineRule="auto"/>
        <w:rPr>
          <w:sz w:val="22"/>
          <w:szCs w:val="22"/>
        </w:rPr>
      </w:pPr>
      <w:r w:rsidRPr="0024097B">
        <w:rPr>
          <w:b/>
          <w:bCs/>
          <w:sz w:val="22"/>
          <w:szCs w:val="22"/>
        </w:rPr>
        <w:t>Fig. S2</w:t>
      </w:r>
      <w:r>
        <w:rPr>
          <w:sz w:val="22"/>
          <w:szCs w:val="22"/>
        </w:rPr>
        <w:t xml:space="preserve"> </w:t>
      </w:r>
      <w:r w:rsidR="0024097B" w:rsidRPr="0024097B">
        <w:t xml:space="preserve"> </w:t>
      </w:r>
      <w:r w:rsidR="0024097B" w:rsidRPr="0024097B">
        <w:rPr>
          <w:sz w:val="22"/>
          <w:szCs w:val="22"/>
        </w:rPr>
        <w:t>Operative photograph of the mesh fixed to the lower part of the rectum and the promontory in a male patient. Note that the peritoneum from the Douglas pouch has been stripped from the deep pelvis</w:t>
      </w:r>
    </w:p>
    <w:p w14:paraId="0D96228B" w14:textId="7570C731" w:rsidR="0055456C" w:rsidRDefault="0055456C" w:rsidP="0024097B">
      <w:pPr>
        <w:spacing w:line="360" w:lineRule="auto"/>
        <w:rPr>
          <w:b/>
          <w:bCs/>
          <w:sz w:val="22"/>
          <w:szCs w:val="22"/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68511ECC" wp14:editId="38EA48FE">
            <wp:extent cx="6002020" cy="3375660"/>
            <wp:effectExtent l="0" t="0" r="0" b="0"/>
            <wp:docPr id="1407927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56C" w:rsidSect="00CC4E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F5A8" w14:textId="77777777" w:rsidR="00C00FF7" w:rsidRDefault="00C00FF7" w:rsidP="0073633C">
      <w:r>
        <w:separator/>
      </w:r>
    </w:p>
  </w:endnote>
  <w:endnote w:type="continuationSeparator" w:id="0">
    <w:p w14:paraId="447D4B83" w14:textId="77777777" w:rsidR="00C00FF7" w:rsidRDefault="00C00FF7" w:rsidP="0073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2902677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2F5B4C" w14:textId="77777777" w:rsidR="0049724B" w:rsidRDefault="00006D6D" w:rsidP="00B20B3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49724B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CE341A" w14:textId="77777777" w:rsidR="0049724B" w:rsidRDefault="0049724B" w:rsidP="007363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4518877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E6147DA" w14:textId="68D85BB9" w:rsidR="0049724B" w:rsidRDefault="00006D6D" w:rsidP="00B20B3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49724B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6493A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50E3E34" w14:textId="77777777" w:rsidR="0049724B" w:rsidRDefault="0049724B" w:rsidP="0073633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0B39" w14:textId="77777777" w:rsidR="00C833A3" w:rsidRDefault="00C833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17F6" w14:textId="77777777" w:rsidR="00C00FF7" w:rsidRDefault="00C00FF7" w:rsidP="0073633C">
      <w:r>
        <w:separator/>
      </w:r>
    </w:p>
  </w:footnote>
  <w:footnote w:type="continuationSeparator" w:id="0">
    <w:p w14:paraId="5E9A9144" w14:textId="77777777" w:rsidR="00C00FF7" w:rsidRDefault="00C00FF7" w:rsidP="0073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B761" w14:textId="77777777" w:rsidR="00C833A3" w:rsidRDefault="00C833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F4EA9" w14:textId="77777777" w:rsidR="00C833A3" w:rsidRDefault="00C833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96F6" w14:textId="77777777" w:rsidR="00C833A3" w:rsidRDefault="00C833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15"/>
    <w:multiLevelType w:val="hybridMultilevel"/>
    <w:tmpl w:val="116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A59"/>
    <w:multiLevelType w:val="hybridMultilevel"/>
    <w:tmpl w:val="4D0665DA"/>
    <w:lvl w:ilvl="0" w:tplc="6204C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0"/>
    <w:rsid w:val="0000007D"/>
    <w:rsid w:val="00006D6D"/>
    <w:rsid w:val="00014489"/>
    <w:rsid w:val="000226D6"/>
    <w:rsid w:val="00083A4A"/>
    <w:rsid w:val="00097D47"/>
    <w:rsid w:val="000A20E9"/>
    <w:rsid w:val="000E5A58"/>
    <w:rsid w:val="000F4AD8"/>
    <w:rsid w:val="00106F29"/>
    <w:rsid w:val="0012077C"/>
    <w:rsid w:val="00135409"/>
    <w:rsid w:val="00141C1A"/>
    <w:rsid w:val="00151172"/>
    <w:rsid w:val="0015408F"/>
    <w:rsid w:val="001666B3"/>
    <w:rsid w:val="00166F29"/>
    <w:rsid w:val="00172010"/>
    <w:rsid w:val="00180DDE"/>
    <w:rsid w:val="001A086E"/>
    <w:rsid w:val="001C18AE"/>
    <w:rsid w:val="001C1B66"/>
    <w:rsid w:val="001C7448"/>
    <w:rsid w:val="001F47C8"/>
    <w:rsid w:val="001F6068"/>
    <w:rsid w:val="00206D84"/>
    <w:rsid w:val="00220515"/>
    <w:rsid w:val="002254FE"/>
    <w:rsid w:val="00225B31"/>
    <w:rsid w:val="00226591"/>
    <w:rsid w:val="00226BA6"/>
    <w:rsid w:val="00230B86"/>
    <w:rsid w:val="0024097B"/>
    <w:rsid w:val="00242C8C"/>
    <w:rsid w:val="00262812"/>
    <w:rsid w:val="002746B0"/>
    <w:rsid w:val="0027752A"/>
    <w:rsid w:val="002837F7"/>
    <w:rsid w:val="00291D3F"/>
    <w:rsid w:val="002B31FE"/>
    <w:rsid w:val="002B58D2"/>
    <w:rsid w:val="002C6388"/>
    <w:rsid w:val="002D6814"/>
    <w:rsid w:val="002E4F69"/>
    <w:rsid w:val="002F5710"/>
    <w:rsid w:val="00311890"/>
    <w:rsid w:val="00321A0F"/>
    <w:rsid w:val="00333333"/>
    <w:rsid w:val="0033381E"/>
    <w:rsid w:val="003765BC"/>
    <w:rsid w:val="00383BB7"/>
    <w:rsid w:val="003855F9"/>
    <w:rsid w:val="00396788"/>
    <w:rsid w:val="003A0A4F"/>
    <w:rsid w:val="003B40DC"/>
    <w:rsid w:val="003C45EF"/>
    <w:rsid w:val="003D4893"/>
    <w:rsid w:val="003D7562"/>
    <w:rsid w:val="003F4985"/>
    <w:rsid w:val="003F59DC"/>
    <w:rsid w:val="00410092"/>
    <w:rsid w:val="00417EE6"/>
    <w:rsid w:val="0042322F"/>
    <w:rsid w:val="00451A39"/>
    <w:rsid w:val="0045501E"/>
    <w:rsid w:val="00455904"/>
    <w:rsid w:val="00462F61"/>
    <w:rsid w:val="00464CDB"/>
    <w:rsid w:val="004659CE"/>
    <w:rsid w:val="0046713F"/>
    <w:rsid w:val="004805FE"/>
    <w:rsid w:val="00483741"/>
    <w:rsid w:val="0049724B"/>
    <w:rsid w:val="004A16E2"/>
    <w:rsid w:val="004B2695"/>
    <w:rsid w:val="004B5FEC"/>
    <w:rsid w:val="004C148C"/>
    <w:rsid w:val="004C4447"/>
    <w:rsid w:val="004E0C60"/>
    <w:rsid w:val="004E66C9"/>
    <w:rsid w:val="005006D5"/>
    <w:rsid w:val="0052202A"/>
    <w:rsid w:val="00525501"/>
    <w:rsid w:val="005324E0"/>
    <w:rsid w:val="00536261"/>
    <w:rsid w:val="005421DD"/>
    <w:rsid w:val="005460AE"/>
    <w:rsid w:val="005471CA"/>
    <w:rsid w:val="005473B8"/>
    <w:rsid w:val="005532CF"/>
    <w:rsid w:val="0055456C"/>
    <w:rsid w:val="00562A28"/>
    <w:rsid w:val="0056493A"/>
    <w:rsid w:val="00580E67"/>
    <w:rsid w:val="00592C4C"/>
    <w:rsid w:val="00594805"/>
    <w:rsid w:val="005C3568"/>
    <w:rsid w:val="005C5381"/>
    <w:rsid w:val="005E29CE"/>
    <w:rsid w:val="005E335C"/>
    <w:rsid w:val="006407ED"/>
    <w:rsid w:val="006409B8"/>
    <w:rsid w:val="00661FF7"/>
    <w:rsid w:val="00665893"/>
    <w:rsid w:val="00675020"/>
    <w:rsid w:val="006758E8"/>
    <w:rsid w:val="00677EDA"/>
    <w:rsid w:val="00683A4F"/>
    <w:rsid w:val="006932FE"/>
    <w:rsid w:val="006A1F9F"/>
    <w:rsid w:val="006A69CC"/>
    <w:rsid w:val="006D3A3C"/>
    <w:rsid w:val="006D41C8"/>
    <w:rsid w:val="006F4EA4"/>
    <w:rsid w:val="006F55AB"/>
    <w:rsid w:val="0070474F"/>
    <w:rsid w:val="00707ED3"/>
    <w:rsid w:val="007146A6"/>
    <w:rsid w:val="00715470"/>
    <w:rsid w:val="007173D9"/>
    <w:rsid w:val="00722B4C"/>
    <w:rsid w:val="007357B8"/>
    <w:rsid w:val="0073633C"/>
    <w:rsid w:val="0074022E"/>
    <w:rsid w:val="00766B1B"/>
    <w:rsid w:val="007677E1"/>
    <w:rsid w:val="007708D4"/>
    <w:rsid w:val="00772374"/>
    <w:rsid w:val="007B63C6"/>
    <w:rsid w:val="007D5290"/>
    <w:rsid w:val="007D6929"/>
    <w:rsid w:val="007E705B"/>
    <w:rsid w:val="008101FE"/>
    <w:rsid w:val="00811DFE"/>
    <w:rsid w:val="00817019"/>
    <w:rsid w:val="008404CF"/>
    <w:rsid w:val="008518FA"/>
    <w:rsid w:val="008615B6"/>
    <w:rsid w:val="00862305"/>
    <w:rsid w:val="0087497B"/>
    <w:rsid w:val="00881236"/>
    <w:rsid w:val="008A26E1"/>
    <w:rsid w:val="008B1950"/>
    <w:rsid w:val="008C4DB5"/>
    <w:rsid w:val="008E6BBE"/>
    <w:rsid w:val="00902761"/>
    <w:rsid w:val="009455F0"/>
    <w:rsid w:val="00952695"/>
    <w:rsid w:val="009564DE"/>
    <w:rsid w:val="00965B4D"/>
    <w:rsid w:val="00971FD0"/>
    <w:rsid w:val="00975276"/>
    <w:rsid w:val="009804EA"/>
    <w:rsid w:val="009824A8"/>
    <w:rsid w:val="00990A47"/>
    <w:rsid w:val="009B19B1"/>
    <w:rsid w:val="00A04F3A"/>
    <w:rsid w:val="00A050C3"/>
    <w:rsid w:val="00A079E0"/>
    <w:rsid w:val="00A105FD"/>
    <w:rsid w:val="00A10F92"/>
    <w:rsid w:val="00A42E2F"/>
    <w:rsid w:val="00A430A4"/>
    <w:rsid w:val="00A50934"/>
    <w:rsid w:val="00A527DA"/>
    <w:rsid w:val="00A52EDE"/>
    <w:rsid w:val="00A65B53"/>
    <w:rsid w:val="00A72633"/>
    <w:rsid w:val="00A870C7"/>
    <w:rsid w:val="00A90676"/>
    <w:rsid w:val="00AA260D"/>
    <w:rsid w:val="00AD50B4"/>
    <w:rsid w:val="00AE2C56"/>
    <w:rsid w:val="00AF1E8A"/>
    <w:rsid w:val="00B07CF2"/>
    <w:rsid w:val="00B11347"/>
    <w:rsid w:val="00B15D9C"/>
    <w:rsid w:val="00B20B36"/>
    <w:rsid w:val="00B31308"/>
    <w:rsid w:val="00B437A8"/>
    <w:rsid w:val="00B50508"/>
    <w:rsid w:val="00B52062"/>
    <w:rsid w:val="00B5671C"/>
    <w:rsid w:val="00B64D09"/>
    <w:rsid w:val="00B74171"/>
    <w:rsid w:val="00B755EE"/>
    <w:rsid w:val="00B81F51"/>
    <w:rsid w:val="00B84732"/>
    <w:rsid w:val="00B978BD"/>
    <w:rsid w:val="00BA555E"/>
    <w:rsid w:val="00BA5610"/>
    <w:rsid w:val="00BA67BD"/>
    <w:rsid w:val="00BB3F38"/>
    <w:rsid w:val="00BC1C35"/>
    <w:rsid w:val="00BE5B33"/>
    <w:rsid w:val="00BE61B6"/>
    <w:rsid w:val="00C00960"/>
    <w:rsid w:val="00C00FF7"/>
    <w:rsid w:val="00C06863"/>
    <w:rsid w:val="00C153D2"/>
    <w:rsid w:val="00C16541"/>
    <w:rsid w:val="00C2270B"/>
    <w:rsid w:val="00C31116"/>
    <w:rsid w:val="00C833A3"/>
    <w:rsid w:val="00C85EB2"/>
    <w:rsid w:val="00CB73C7"/>
    <w:rsid w:val="00CC4E0E"/>
    <w:rsid w:val="00CC7F5A"/>
    <w:rsid w:val="00CD598B"/>
    <w:rsid w:val="00CF6344"/>
    <w:rsid w:val="00D05C84"/>
    <w:rsid w:val="00D22FE9"/>
    <w:rsid w:val="00D31C0D"/>
    <w:rsid w:val="00D40CFD"/>
    <w:rsid w:val="00D4639A"/>
    <w:rsid w:val="00D53AED"/>
    <w:rsid w:val="00D556E6"/>
    <w:rsid w:val="00D70EFF"/>
    <w:rsid w:val="00D774EE"/>
    <w:rsid w:val="00E01251"/>
    <w:rsid w:val="00E02201"/>
    <w:rsid w:val="00E1751D"/>
    <w:rsid w:val="00E2292A"/>
    <w:rsid w:val="00E32830"/>
    <w:rsid w:val="00E34550"/>
    <w:rsid w:val="00E5651F"/>
    <w:rsid w:val="00E568DA"/>
    <w:rsid w:val="00E604F7"/>
    <w:rsid w:val="00E7177E"/>
    <w:rsid w:val="00E74699"/>
    <w:rsid w:val="00E7791A"/>
    <w:rsid w:val="00E93849"/>
    <w:rsid w:val="00EA535F"/>
    <w:rsid w:val="00EA68D9"/>
    <w:rsid w:val="00EA6A84"/>
    <w:rsid w:val="00EB4D87"/>
    <w:rsid w:val="00EB647D"/>
    <w:rsid w:val="00EB6DCD"/>
    <w:rsid w:val="00EC7F89"/>
    <w:rsid w:val="00EF1EAB"/>
    <w:rsid w:val="00EF4567"/>
    <w:rsid w:val="00F0403A"/>
    <w:rsid w:val="00F15C84"/>
    <w:rsid w:val="00F16269"/>
    <w:rsid w:val="00F51A04"/>
    <w:rsid w:val="00F51A6D"/>
    <w:rsid w:val="00F55F20"/>
    <w:rsid w:val="00F57E4B"/>
    <w:rsid w:val="00F860AE"/>
    <w:rsid w:val="00F87A59"/>
    <w:rsid w:val="00F943E1"/>
    <w:rsid w:val="00FA2403"/>
    <w:rsid w:val="00FA4A5E"/>
    <w:rsid w:val="00FA6FF5"/>
    <w:rsid w:val="00FC095D"/>
    <w:rsid w:val="00FC1C30"/>
    <w:rsid w:val="00FE2932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BA7ED"/>
  <w15:docId w15:val="{A6A3F4A3-5E3D-4C5E-82AB-E8993CD2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36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633C"/>
  </w:style>
  <w:style w:type="character" w:styleId="Numrodepage">
    <w:name w:val="page number"/>
    <w:basedOn w:val="Policepardfaut"/>
    <w:uiPriority w:val="99"/>
    <w:semiHidden/>
    <w:unhideWhenUsed/>
    <w:rsid w:val="0073633C"/>
  </w:style>
  <w:style w:type="paragraph" w:styleId="Paragraphedeliste">
    <w:name w:val="List Paragraph"/>
    <w:basedOn w:val="Normal"/>
    <w:uiPriority w:val="34"/>
    <w:qFormat/>
    <w:rsid w:val="00396788"/>
    <w:pPr>
      <w:spacing w:after="160" w:line="259" w:lineRule="auto"/>
      <w:ind w:left="720"/>
      <w:contextualSpacing/>
    </w:pPr>
    <w:rPr>
      <w:sz w:val="22"/>
      <w:szCs w:val="22"/>
    </w:rPr>
  </w:style>
  <w:style w:type="table" w:styleId="Grilledutableau">
    <w:name w:val="Table Grid"/>
    <w:basedOn w:val="TableauNormal"/>
    <w:uiPriority w:val="39"/>
    <w:rsid w:val="003967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5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6407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7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07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07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07E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722B4C"/>
  </w:style>
  <w:style w:type="table" w:customStyle="1" w:styleId="TableauGrille31">
    <w:name w:val="Tableau Grille 31"/>
    <w:basedOn w:val="TableauNormal"/>
    <w:uiPriority w:val="48"/>
    <w:rsid w:val="00840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1">
    <w:name w:val="Tableau Grille 7 Couleur1"/>
    <w:basedOn w:val="TableauNormal"/>
    <w:uiPriority w:val="52"/>
    <w:rsid w:val="003F59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simple21">
    <w:name w:val="Tableau simple 21"/>
    <w:basedOn w:val="TableauNormal"/>
    <w:uiPriority w:val="42"/>
    <w:rsid w:val="001F47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2837F7"/>
    <w:rPr>
      <w:color w:val="0563C1" w:themeColor="hyperlink"/>
      <w:u w:val="single"/>
    </w:rPr>
  </w:style>
  <w:style w:type="table" w:customStyle="1" w:styleId="TableauGrille5Fonc-Accentuation31">
    <w:name w:val="Tableau Grille 5 Foncé - Accentuation 31"/>
    <w:basedOn w:val="TableauNormal"/>
    <w:uiPriority w:val="50"/>
    <w:rsid w:val="002837F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pple-converted-space">
    <w:name w:val="apple-converted-space"/>
    <w:basedOn w:val="Policepardfaut"/>
    <w:rsid w:val="002837F7"/>
  </w:style>
  <w:style w:type="paragraph" w:styleId="Textedebulles">
    <w:name w:val="Balloon Text"/>
    <w:basedOn w:val="Normal"/>
    <w:link w:val="TextedebullesCar"/>
    <w:uiPriority w:val="99"/>
    <w:semiHidden/>
    <w:unhideWhenUsed/>
    <w:rsid w:val="00E746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69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F4EA4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6F4EA4"/>
  </w:style>
  <w:style w:type="paragraph" w:styleId="Rvision">
    <w:name w:val="Revision"/>
    <w:hidden/>
    <w:uiPriority w:val="99"/>
    <w:semiHidden/>
    <w:rsid w:val="006409B8"/>
  </w:style>
  <w:style w:type="character" w:customStyle="1" w:styleId="acopre1">
    <w:name w:val="acopre1"/>
    <w:basedOn w:val="Policepardfaut"/>
    <w:rsid w:val="00CB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LFaucheron@chu-grenoble.f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A5AA7AF97C49A48F09314C8A2CDD" ma:contentTypeVersion="16" ma:contentTypeDescription="Create a new document." ma:contentTypeScope="" ma:versionID="4605a637b0a1eb14291c75e85d5b741f">
  <xsd:schema xmlns:xsd="http://www.w3.org/2001/XMLSchema" xmlns:xs="http://www.w3.org/2001/XMLSchema" xmlns:p="http://schemas.microsoft.com/office/2006/metadata/properties" xmlns:ns2="c5929f35-73b7-4abc-aceb-cf7af2bedda3" xmlns:ns3="b93b4db5-4ee5-49a0-b904-497cad36c767" targetNamespace="http://schemas.microsoft.com/office/2006/metadata/properties" ma:root="true" ma:fieldsID="f7fa7c0602ff295020ad17c70f4c1861" ns2:_="" ns3:_="">
    <xsd:import namespace="c5929f35-73b7-4abc-aceb-cf7af2bedda3"/>
    <xsd:import namespace="b93b4db5-4ee5-49a0-b904-497cad36c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9f35-73b7-4abc-aceb-cf7af2bed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4db5-4ee5-49a0-b904-497cad36c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923227-b588-4afd-9305-37946c065067}" ma:internalName="TaxCatchAll" ma:showField="CatchAllData" ma:web="b93b4db5-4ee5-49a0-b904-497cad36c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5929f35-73b7-4abc-aceb-cf7af2bedda3" xsi:nil="true"/>
    <TaxCatchAll xmlns="b93b4db5-4ee5-49a0-b904-497cad36c767"/>
  </documentManagement>
</p:properties>
</file>

<file path=customXml/itemProps1.xml><?xml version="1.0" encoding="utf-8"?>
<ds:datastoreItem xmlns:ds="http://schemas.openxmlformats.org/officeDocument/2006/customXml" ds:itemID="{F6DFF347-C692-4B93-8D1F-525321D22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DFEC4-99B7-4260-ADE9-5C30C30C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29f35-73b7-4abc-aceb-cf7af2bedda3"/>
    <ds:schemaRef ds:uri="b93b4db5-4ee5-49a0-b904-497cad36c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FC6AF-6C89-40FE-9E36-C3A0FC14379D}">
  <ds:schemaRefs>
    <ds:schemaRef ds:uri="http://purl.org/dc/elements/1.1/"/>
    <ds:schemaRef ds:uri="http://schemas.openxmlformats.org/package/2006/metadata/core-properties"/>
    <ds:schemaRef ds:uri="c5929f35-73b7-4abc-aceb-cf7af2bedda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93b4db5-4ee5-49a0-b904-497cad36c7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Tidadini , Fatah</cp:lastModifiedBy>
  <cp:revision>3</cp:revision>
  <dcterms:created xsi:type="dcterms:W3CDTF">2024-07-09T13:43:00Z</dcterms:created>
  <dcterms:modified xsi:type="dcterms:W3CDTF">2024-07-09T14:05:00Z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2022-06-27T13:25:36Z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1f9d2863-bbf9-4942-adae-e903809cef95</vt:lpwstr>
  </property>
  <property fmtid="{D5CDD505-2E9C-101B-9397-08002B2CF9AE}" pid="8" name="MSIP_Label_be5cb09a-2992-49d6-8ac9-5f63e7b1ad2f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