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3E3A9" w14:textId="0B64A9AC" w:rsidR="00FA6B6D" w:rsidRPr="00FA6B6D" w:rsidRDefault="004A20E5" w:rsidP="00FA6B6D">
      <w:pPr>
        <w:adjustRightInd w:val="0"/>
        <w:snapToGrid w:val="0"/>
        <w:jc w:val="center"/>
        <w:rPr>
          <w:rFonts w:ascii="Times New Roman" w:eastAsia="等线" w:hAnsi="Times New Roman" w:cs="Times New Roman"/>
          <w:sz w:val="24"/>
          <w:szCs w:val="24"/>
        </w:rPr>
      </w:pPr>
      <w:r>
        <w:rPr>
          <w:rFonts w:ascii="Times New Roman" w:eastAsia="等线" w:hAnsi="Times New Roman" w:cs="Times New Roman"/>
          <w:noProof/>
          <w:sz w:val="24"/>
          <w:szCs w:val="24"/>
          <w:lang w:val="en-AU"/>
        </w:rPr>
        <w:drawing>
          <wp:inline distT="0" distB="0" distL="0" distR="0" wp14:anchorId="6250F36A" wp14:editId="6A037CAD">
            <wp:extent cx="5266055" cy="4208145"/>
            <wp:effectExtent l="0" t="0" r="0" b="1905"/>
            <wp:docPr id="1117944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6055" cy="4208145"/>
                    </a:xfrm>
                    <a:prstGeom prst="rect">
                      <a:avLst/>
                    </a:prstGeom>
                    <a:noFill/>
                    <a:ln>
                      <a:noFill/>
                    </a:ln>
                  </pic:spPr>
                </pic:pic>
              </a:graphicData>
            </a:graphic>
          </wp:inline>
        </w:drawing>
      </w:r>
    </w:p>
    <w:p w14:paraId="2541BA6A" w14:textId="77777777" w:rsidR="00FA6B6D" w:rsidRPr="00FA6B6D" w:rsidRDefault="00FA6B6D" w:rsidP="00FA6B6D">
      <w:pPr>
        <w:adjustRightInd w:val="0"/>
        <w:snapToGrid w:val="0"/>
        <w:spacing w:before="240" w:line="288" w:lineRule="auto"/>
        <w:rPr>
          <w:rFonts w:ascii="Times New Roman" w:eastAsia="等线" w:hAnsi="Times New Roman" w:cs="Times New Roman"/>
          <w:szCs w:val="21"/>
        </w:rPr>
      </w:pPr>
      <w:r w:rsidRPr="00FA6B6D">
        <w:rPr>
          <w:rFonts w:ascii="Arial" w:eastAsia="等线" w:hAnsi="Arial" w:cs="Arial"/>
          <w:b/>
          <w:bCs/>
          <w:szCs w:val="21"/>
        </w:rPr>
        <w:t>Extended Data Fig.1</w:t>
      </w:r>
      <w:r w:rsidRPr="00FA6B6D">
        <w:rPr>
          <w:rFonts w:ascii="Arial" w:eastAsia="等线" w:hAnsi="Arial" w:cs="Arial" w:hint="eastAsia"/>
          <w:b/>
          <w:bCs/>
          <w:szCs w:val="21"/>
        </w:rPr>
        <w:t xml:space="preserve"> </w:t>
      </w:r>
      <w:r w:rsidRPr="00FA6B6D">
        <w:rPr>
          <w:rFonts w:ascii="Arial" w:eastAsia="等线" w:hAnsi="Arial" w:cs="Arial"/>
          <w:b/>
          <w:bCs/>
          <w:szCs w:val="21"/>
        </w:rPr>
        <w:t>|</w:t>
      </w:r>
      <w:r w:rsidRPr="00FA6B6D">
        <w:rPr>
          <w:rFonts w:ascii="Arial" w:eastAsia="等线" w:hAnsi="Arial" w:cs="Arial" w:hint="eastAsia"/>
          <w:b/>
          <w:bCs/>
          <w:szCs w:val="21"/>
        </w:rPr>
        <w:t xml:space="preserve"> The iterative procedure of the developed ABM. </w:t>
      </w:r>
      <w:r w:rsidRPr="00FA6B6D">
        <w:rPr>
          <w:rFonts w:ascii="Arial" w:eastAsia="等线" w:hAnsi="Arial" w:cs="Arial"/>
          <w:szCs w:val="21"/>
        </w:rPr>
        <w:t xml:space="preserve">The baseline period for the simulation is set at 2015, with a forecast period extending from 2016 to 2050. In each simulation period, the outcomes of </w:t>
      </w:r>
      <w:r w:rsidRPr="00FA6B6D">
        <w:rPr>
          <w:rFonts w:ascii="Arial" w:eastAsia="等线" w:hAnsi="Arial" w:cs="Arial" w:hint="eastAsia"/>
          <w:szCs w:val="21"/>
        </w:rPr>
        <w:t>electricity</w:t>
      </w:r>
      <w:r w:rsidRPr="00FA6B6D">
        <w:rPr>
          <w:rFonts w:ascii="Arial" w:eastAsia="等线" w:hAnsi="Arial" w:cs="Arial"/>
          <w:szCs w:val="21"/>
        </w:rPr>
        <w:t xml:space="preserve"> supply and </w:t>
      </w:r>
      <w:r w:rsidRPr="00FA6B6D">
        <w:rPr>
          <w:rFonts w:ascii="Arial" w:eastAsia="等线" w:hAnsi="Arial" w:cs="Arial" w:hint="eastAsia"/>
          <w:szCs w:val="21"/>
        </w:rPr>
        <w:t>carbon allowances</w:t>
      </w:r>
      <w:r w:rsidRPr="00FA6B6D">
        <w:rPr>
          <w:rFonts w:ascii="Arial" w:eastAsia="等线" w:hAnsi="Arial" w:cs="Arial"/>
          <w:szCs w:val="21"/>
        </w:rPr>
        <w:t xml:space="preserve"> trading influence the technological investments of </w:t>
      </w:r>
      <w:r w:rsidRPr="00FA6B6D">
        <w:rPr>
          <w:rFonts w:ascii="Arial" w:eastAsia="等线" w:hAnsi="Arial" w:cs="Arial" w:hint="eastAsia"/>
          <w:szCs w:val="21"/>
        </w:rPr>
        <w:t>companie</w:t>
      </w:r>
      <w:r w:rsidRPr="00FA6B6D">
        <w:rPr>
          <w:rFonts w:ascii="Arial" w:eastAsia="等线" w:hAnsi="Arial" w:cs="Arial"/>
          <w:szCs w:val="21"/>
        </w:rPr>
        <w:t xml:space="preserve">s. Subsequently, the results of these technological investments affect the </w:t>
      </w:r>
      <w:r w:rsidRPr="00FA6B6D">
        <w:rPr>
          <w:rFonts w:ascii="Arial" w:eastAsia="等线" w:hAnsi="Arial" w:cs="Arial" w:hint="eastAsia"/>
          <w:szCs w:val="21"/>
        </w:rPr>
        <w:t>electricity</w:t>
      </w:r>
      <w:r w:rsidRPr="00FA6B6D">
        <w:rPr>
          <w:rFonts w:ascii="Arial" w:eastAsia="等线" w:hAnsi="Arial" w:cs="Arial"/>
          <w:szCs w:val="21"/>
        </w:rPr>
        <w:t xml:space="preserve"> supply and emission levels of </w:t>
      </w:r>
      <w:r w:rsidRPr="00FA6B6D">
        <w:rPr>
          <w:rFonts w:ascii="Arial" w:eastAsia="等线" w:hAnsi="Arial" w:cs="Arial" w:hint="eastAsia"/>
          <w:szCs w:val="21"/>
        </w:rPr>
        <w:t>companies</w:t>
      </w:r>
      <w:r w:rsidRPr="00FA6B6D">
        <w:rPr>
          <w:rFonts w:ascii="Arial" w:eastAsia="等线" w:hAnsi="Arial" w:cs="Arial"/>
          <w:szCs w:val="21"/>
        </w:rPr>
        <w:t xml:space="preserve"> in subsequent periods.</w:t>
      </w:r>
      <w:r w:rsidRPr="00FA6B6D">
        <w:rPr>
          <w:rFonts w:ascii="Times New Roman" w:eastAsia="等线" w:hAnsi="Times New Roman" w:cs="Times New Roman"/>
          <w:szCs w:val="21"/>
        </w:rPr>
        <w:br w:type="page"/>
      </w:r>
    </w:p>
    <w:p w14:paraId="65993D43" w14:textId="77777777" w:rsidR="00FA6B6D" w:rsidRPr="00FA6B6D" w:rsidRDefault="00FA6B6D" w:rsidP="00FA6B6D">
      <w:pPr>
        <w:adjustRightInd w:val="0"/>
        <w:snapToGrid w:val="0"/>
        <w:jc w:val="center"/>
        <w:rPr>
          <w:rFonts w:ascii="Times New Roman" w:eastAsia="等线" w:hAnsi="Times New Roman" w:cs="Times New Roman"/>
          <w:sz w:val="24"/>
          <w:szCs w:val="24"/>
        </w:rPr>
      </w:pPr>
      <w:r w:rsidRPr="00FA6B6D">
        <w:rPr>
          <w:rFonts w:ascii="等线" w:eastAsia="等线" w:hAnsi="等线" w:cs="Times New Roman"/>
          <w:noProof/>
          <w:lang w:val="en-AU"/>
        </w:rPr>
        <w:lastRenderedPageBreak/>
        <w:drawing>
          <wp:inline distT="0" distB="0" distL="0" distR="0" wp14:anchorId="35B962BA" wp14:editId="240D57FB">
            <wp:extent cx="5279390" cy="2425065"/>
            <wp:effectExtent l="0" t="0" r="0" b="0"/>
            <wp:docPr id="877032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32311" name="图片 1"/>
                    <pic:cNvPicPr>
                      <a:picLocks noChangeAspect="1"/>
                    </pic:cNvPicPr>
                  </pic:nvPicPr>
                  <pic:blipFill>
                    <a:blip r:embed="rId8"/>
                    <a:stretch>
                      <a:fillRect/>
                    </a:stretch>
                  </pic:blipFill>
                  <pic:spPr>
                    <a:xfrm>
                      <a:off x="0" y="0"/>
                      <a:ext cx="5287843" cy="2429376"/>
                    </a:xfrm>
                    <a:prstGeom prst="rect">
                      <a:avLst/>
                    </a:prstGeom>
                  </pic:spPr>
                </pic:pic>
              </a:graphicData>
            </a:graphic>
          </wp:inline>
        </w:drawing>
      </w:r>
    </w:p>
    <w:p w14:paraId="42D01B7E" w14:textId="77777777" w:rsidR="00FA6B6D" w:rsidRPr="00FA6B6D" w:rsidRDefault="00FA6B6D" w:rsidP="00FA6B6D">
      <w:pPr>
        <w:adjustRightInd w:val="0"/>
        <w:snapToGrid w:val="0"/>
        <w:spacing w:before="240"/>
        <w:rPr>
          <w:rFonts w:ascii="Times New Roman" w:eastAsia="等线" w:hAnsi="Times New Roman" w:cs="Times New Roman"/>
          <w:sz w:val="24"/>
          <w:szCs w:val="24"/>
        </w:rPr>
      </w:pPr>
      <w:r w:rsidRPr="00FA6B6D">
        <w:rPr>
          <w:rFonts w:ascii="等线" w:eastAsia="等线" w:hAnsi="等线" w:cs="Times New Roman"/>
          <w:noProof/>
          <w14:ligatures w14:val="none"/>
        </w:rPr>
        <w:drawing>
          <wp:inline distT="0" distB="0" distL="0" distR="0" wp14:anchorId="2EF50CEE" wp14:editId="09FDCAA6">
            <wp:extent cx="5274310" cy="2160905"/>
            <wp:effectExtent l="0" t="0" r="2540" b="0"/>
            <wp:docPr id="1571061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61471" name=""/>
                    <pic:cNvPicPr/>
                  </pic:nvPicPr>
                  <pic:blipFill>
                    <a:blip r:embed="rId9"/>
                    <a:stretch>
                      <a:fillRect/>
                    </a:stretch>
                  </pic:blipFill>
                  <pic:spPr>
                    <a:xfrm>
                      <a:off x="0" y="0"/>
                      <a:ext cx="5274310" cy="2160905"/>
                    </a:xfrm>
                    <a:prstGeom prst="rect">
                      <a:avLst/>
                    </a:prstGeom>
                  </pic:spPr>
                </pic:pic>
              </a:graphicData>
            </a:graphic>
          </wp:inline>
        </w:drawing>
      </w:r>
    </w:p>
    <w:p w14:paraId="44BB76AE" w14:textId="77777777" w:rsidR="00FA6B6D" w:rsidRPr="00FA6B6D" w:rsidRDefault="00FA6B6D" w:rsidP="00FA6B6D">
      <w:pPr>
        <w:adjustRightInd w:val="0"/>
        <w:snapToGrid w:val="0"/>
        <w:spacing w:before="240" w:line="288" w:lineRule="auto"/>
        <w:rPr>
          <w:rFonts w:ascii="Arial" w:eastAsia="等线" w:hAnsi="Arial" w:cs="Arial"/>
          <w:szCs w:val="21"/>
        </w:rPr>
      </w:pPr>
      <w:r w:rsidRPr="00FA6B6D">
        <w:rPr>
          <w:rFonts w:ascii="Arial" w:eastAsia="等线" w:hAnsi="Arial" w:cs="Arial"/>
          <w:b/>
          <w:bCs/>
          <w:szCs w:val="21"/>
        </w:rPr>
        <w:t>Extended Data Fig.</w:t>
      </w:r>
      <w:r w:rsidRPr="00FA6B6D">
        <w:rPr>
          <w:rFonts w:ascii="Arial" w:eastAsia="等线" w:hAnsi="Arial" w:cs="Arial" w:hint="eastAsia"/>
          <w:b/>
          <w:bCs/>
          <w:szCs w:val="21"/>
        </w:rPr>
        <w:t xml:space="preserve">2 </w:t>
      </w:r>
      <w:r w:rsidRPr="00FA6B6D">
        <w:rPr>
          <w:rFonts w:ascii="Arial" w:eastAsia="等线" w:hAnsi="Arial" w:cs="Arial"/>
          <w:b/>
          <w:bCs/>
          <w:szCs w:val="21"/>
        </w:rPr>
        <w:t>|</w:t>
      </w:r>
      <w:r w:rsidRPr="00FA6B6D">
        <w:rPr>
          <w:rFonts w:ascii="Arial" w:eastAsia="等线" w:hAnsi="Arial" w:cs="Arial" w:hint="eastAsia"/>
          <w:b/>
          <w:bCs/>
          <w:szCs w:val="21"/>
        </w:rPr>
        <w:t xml:space="preserve"> </w:t>
      </w:r>
      <w:r w:rsidRPr="00FA6B6D">
        <w:rPr>
          <w:rFonts w:ascii="Arial" w:eastAsia="等线" w:hAnsi="Arial" w:cs="Arial"/>
          <w:b/>
          <w:bCs/>
          <w:szCs w:val="21"/>
        </w:rPr>
        <w:t>The total CO</w:t>
      </w:r>
      <w:r w:rsidRPr="00FA6B6D">
        <w:rPr>
          <w:rFonts w:ascii="Arial" w:eastAsia="等线" w:hAnsi="Arial" w:cs="Arial"/>
          <w:b/>
          <w:bCs/>
          <w:szCs w:val="21"/>
          <w:vertAlign w:val="subscript"/>
        </w:rPr>
        <w:t>2</w:t>
      </w:r>
      <w:r w:rsidRPr="00FA6B6D">
        <w:rPr>
          <w:rFonts w:ascii="Arial" w:eastAsia="等线" w:hAnsi="Arial" w:cs="Arial"/>
          <w:b/>
          <w:bCs/>
          <w:szCs w:val="21"/>
        </w:rPr>
        <w:t xml:space="preserve"> emissions from companies under various scenarios</w:t>
      </w:r>
      <w:r w:rsidRPr="00FA6B6D">
        <w:rPr>
          <w:rFonts w:ascii="Arial" w:eastAsia="等线" w:hAnsi="Arial" w:cs="Arial" w:hint="eastAsia"/>
          <w:b/>
          <w:bCs/>
          <w:szCs w:val="21"/>
        </w:rPr>
        <w:t>. a.</w:t>
      </w:r>
      <w:r w:rsidRPr="00FA6B6D">
        <w:rPr>
          <w:rFonts w:ascii="Arial" w:eastAsia="等线" w:hAnsi="Arial" w:cs="Arial" w:hint="eastAsia"/>
          <w:szCs w:val="21"/>
        </w:rPr>
        <w:t xml:space="preserve"> </w:t>
      </w:r>
      <w:r w:rsidRPr="00FA6B6D">
        <w:rPr>
          <w:rFonts w:ascii="Arial" w:eastAsia="等线" w:hAnsi="Arial" w:cs="Arial"/>
          <w:szCs w:val="21"/>
        </w:rPr>
        <w:t>Electricity demand possesses a limited capacity to alter the originally planned trajectory of carbon allowances</w:t>
      </w:r>
      <w:r w:rsidRPr="00FA6B6D">
        <w:rPr>
          <w:rFonts w:ascii="Arial" w:eastAsia="等线" w:hAnsi="Arial" w:cs="Arial" w:hint="eastAsia"/>
          <w:szCs w:val="21"/>
        </w:rPr>
        <w:t xml:space="preserve">. However, </w:t>
      </w:r>
      <w:r w:rsidRPr="00FA6B6D">
        <w:rPr>
          <w:rFonts w:ascii="Arial" w:eastAsia="等线" w:hAnsi="Arial" w:cs="Arial"/>
          <w:szCs w:val="21"/>
        </w:rPr>
        <w:t>a surge in electricity demand</w:t>
      </w:r>
      <w:r w:rsidRPr="00FA6B6D">
        <w:rPr>
          <w:rFonts w:ascii="Arial" w:eastAsia="等线" w:hAnsi="Arial" w:cs="Arial" w:hint="eastAsia"/>
          <w:szCs w:val="21"/>
        </w:rPr>
        <w:t xml:space="preserve"> (</w:t>
      </w:r>
      <w:r w:rsidRPr="00FA6B6D">
        <w:rPr>
          <w:rFonts w:ascii="Arial" w:eastAsia="等线" w:hAnsi="Arial" w:cs="Arial"/>
          <w:szCs w:val="21"/>
        </w:rPr>
        <w:t xml:space="preserve">Peak scenario) can lead to a rebound in </w:t>
      </w:r>
      <w:r w:rsidRPr="00FA6B6D">
        <w:rPr>
          <w:rFonts w:ascii="Arial" w:eastAsia="等线" w:hAnsi="Arial" w:cs="Arial" w:hint="eastAsia"/>
          <w:szCs w:val="21"/>
        </w:rPr>
        <w:t>CO</w:t>
      </w:r>
      <w:r w:rsidRPr="00FA6B6D">
        <w:rPr>
          <w:rFonts w:ascii="Arial" w:eastAsia="等线" w:hAnsi="Arial" w:cs="Arial" w:hint="eastAsia"/>
          <w:szCs w:val="21"/>
          <w:vertAlign w:val="subscript"/>
        </w:rPr>
        <w:t>2</w:t>
      </w:r>
      <w:r w:rsidRPr="00FA6B6D">
        <w:rPr>
          <w:rFonts w:ascii="Arial" w:eastAsia="等线" w:hAnsi="Arial" w:cs="Arial"/>
          <w:szCs w:val="21"/>
        </w:rPr>
        <w:t xml:space="preserve"> emissions. This rebound is also a potential issue associated with the slow phase-out of coal-fired power </w:t>
      </w:r>
      <w:r w:rsidRPr="00FA6B6D">
        <w:rPr>
          <w:rFonts w:ascii="Arial" w:eastAsia="等线" w:hAnsi="Arial" w:cs="Arial" w:hint="eastAsia"/>
          <w:szCs w:val="21"/>
        </w:rPr>
        <w:t>technology</w:t>
      </w:r>
      <w:r w:rsidRPr="00FA6B6D">
        <w:rPr>
          <w:rFonts w:ascii="Arial" w:eastAsia="等线" w:hAnsi="Arial" w:cs="Arial"/>
          <w:szCs w:val="21"/>
        </w:rPr>
        <w:t>.</w:t>
      </w:r>
      <w:r w:rsidRPr="00FA6B6D">
        <w:rPr>
          <w:rFonts w:ascii="Arial" w:eastAsia="等线" w:hAnsi="Arial" w:cs="Arial" w:hint="eastAsia"/>
          <w:szCs w:val="21"/>
        </w:rPr>
        <w:t xml:space="preserve"> </w:t>
      </w:r>
      <w:r w:rsidRPr="00FA6B6D">
        <w:rPr>
          <w:rFonts w:ascii="Arial" w:eastAsia="等线" w:hAnsi="Arial" w:cs="Arial" w:hint="eastAsia"/>
          <w:b/>
          <w:bCs/>
          <w:szCs w:val="21"/>
        </w:rPr>
        <w:t>b.</w:t>
      </w:r>
      <w:r w:rsidRPr="00FA6B6D">
        <w:rPr>
          <w:rFonts w:ascii="Arial" w:eastAsia="等线" w:hAnsi="Arial" w:cs="Arial" w:hint="eastAsia"/>
          <w:szCs w:val="21"/>
        </w:rPr>
        <w:t xml:space="preserve"> In scenarios of emission factor, </w:t>
      </w:r>
      <w:r w:rsidRPr="00FA6B6D">
        <w:rPr>
          <w:rFonts w:ascii="Arial" w:eastAsia="等线" w:hAnsi="Arial" w:cs="Arial"/>
          <w:szCs w:val="21"/>
        </w:rPr>
        <w:t>the timing</w:t>
      </w:r>
      <w:r w:rsidRPr="00FA6B6D">
        <w:rPr>
          <w:rFonts w:ascii="Arial" w:eastAsia="等线" w:hAnsi="Arial" w:cs="Arial" w:hint="eastAsia"/>
          <w:szCs w:val="21"/>
        </w:rPr>
        <w:t xml:space="preserve"> and trends</w:t>
      </w:r>
      <w:r w:rsidRPr="00FA6B6D">
        <w:rPr>
          <w:rFonts w:ascii="Arial" w:eastAsia="等线" w:hAnsi="Arial" w:cs="Arial"/>
          <w:szCs w:val="21"/>
        </w:rPr>
        <w:t xml:space="preserve"> of peak emissions </w:t>
      </w:r>
      <w:r w:rsidRPr="00FA6B6D">
        <w:rPr>
          <w:rFonts w:ascii="Arial" w:eastAsia="等线" w:hAnsi="Arial" w:cs="Arial" w:hint="eastAsia"/>
          <w:szCs w:val="21"/>
        </w:rPr>
        <w:t>are</w:t>
      </w:r>
      <w:r w:rsidRPr="00FA6B6D">
        <w:rPr>
          <w:rFonts w:ascii="Arial" w:eastAsia="等线" w:hAnsi="Arial" w:cs="Arial"/>
          <w:szCs w:val="21"/>
        </w:rPr>
        <w:t xml:space="preserve"> similar</w:t>
      </w:r>
      <w:r w:rsidRPr="00FA6B6D">
        <w:rPr>
          <w:rFonts w:ascii="Arial" w:eastAsia="等线" w:hAnsi="Arial" w:cs="Arial" w:hint="eastAsia"/>
          <w:szCs w:val="21"/>
        </w:rPr>
        <w:t xml:space="preserve">. However, </w:t>
      </w:r>
      <w:r w:rsidRPr="00FA6B6D">
        <w:rPr>
          <w:rFonts w:ascii="Arial" w:eastAsia="等线" w:hAnsi="Arial" w:cs="Arial"/>
          <w:szCs w:val="21"/>
        </w:rPr>
        <w:t>the variation in sectoral emissions from the annually planned carbon allowances is quite pronounced under different scenarios</w:t>
      </w:r>
      <w:r w:rsidRPr="00FA6B6D">
        <w:rPr>
          <w:rFonts w:ascii="Arial" w:eastAsia="等线" w:hAnsi="Arial" w:cs="Arial" w:hint="eastAsia"/>
          <w:szCs w:val="21"/>
        </w:rPr>
        <w:t>. Consequently, a</w:t>
      </w:r>
      <w:r w:rsidRPr="00FA6B6D">
        <w:rPr>
          <w:rFonts w:ascii="Arial" w:eastAsia="等线" w:hAnsi="Arial" w:cs="Arial"/>
          <w:szCs w:val="21"/>
        </w:rPr>
        <w:t>ccurately estimating the long-term trend of CO</w:t>
      </w:r>
      <w:r w:rsidRPr="00FA6B6D">
        <w:rPr>
          <w:rFonts w:ascii="Arial" w:eastAsia="等线" w:hAnsi="Arial" w:cs="Arial"/>
          <w:szCs w:val="21"/>
          <w:vertAlign w:val="subscript"/>
        </w:rPr>
        <w:t>2</w:t>
      </w:r>
      <w:r w:rsidRPr="00FA6B6D">
        <w:rPr>
          <w:rFonts w:ascii="Arial" w:eastAsia="等线" w:hAnsi="Arial" w:cs="Arial"/>
          <w:szCs w:val="21"/>
        </w:rPr>
        <w:t xml:space="preserve"> emissions per unit power generation </w:t>
      </w:r>
      <w:r w:rsidRPr="00FA6B6D">
        <w:rPr>
          <w:rFonts w:ascii="Arial" w:eastAsia="等线" w:hAnsi="Arial" w:cs="Arial" w:hint="eastAsia"/>
          <w:szCs w:val="21"/>
        </w:rPr>
        <w:t>becomes crucial</w:t>
      </w:r>
      <w:r w:rsidRPr="00FA6B6D">
        <w:rPr>
          <w:rFonts w:ascii="Arial" w:eastAsia="等线" w:hAnsi="Arial" w:cs="Arial"/>
          <w:szCs w:val="21"/>
        </w:rPr>
        <w:t xml:space="preserve"> for the effecti</w:t>
      </w:r>
      <w:r w:rsidRPr="00FA6B6D">
        <w:rPr>
          <w:rFonts w:ascii="Arial" w:eastAsia="等线" w:hAnsi="Arial" w:cs="Arial" w:hint="eastAsia"/>
          <w:szCs w:val="21"/>
        </w:rPr>
        <w:t xml:space="preserve">ve </w:t>
      </w:r>
      <w:r w:rsidRPr="00FA6B6D">
        <w:rPr>
          <w:rFonts w:ascii="Arial" w:eastAsia="等线" w:hAnsi="Arial" w:cs="Arial"/>
          <w:szCs w:val="21"/>
        </w:rPr>
        <w:t xml:space="preserve">operation of the cap-and-trade system, </w:t>
      </w:r>
      <w:r w:rsidRPr="00FA6B6D">
        <w:rPr>
          <w:rFonts w:ascii="Arial" w:eastAsia="等线" w:hAnsi="Arial" w:cs="Arial" w:hint="eastAsia"/>
          <w:szCs w:val="21"/>
        </w:rPr>
        <w:t>ensuring a balance between</w:t>
      </w:r>
      <w:r w:rsidRPr="00FA6B6D">
        <w:rPr>
          <w:rFonts w:ascii="Arial" w:eastAsia="等线" w:hAnsi="Arial" w:cs="Arial"/>
          <w:szCs w:val="21"/>
        </w:rPr>
        <w:t xml:space="preserve"> supply and demand of carbon allowances</w:t>
      </w:r>
      <w:r w:rsidRPr="00FA6B6D">
        <w:rPr>
          <w:rFonts w:ascii="Arial" w:eastAsia="等线" w:hAnsi="Arial" w:cs="Arial" w:hint="eastAsia"/>
          <w:szCs w:val="21"/>
        </w:rPr>
        <w:t>.</w:t>
      </w:r>
      <w:r w:rsidRPr="00FA6B6D">
        <w:rPr>
          <w:rFonts w:ascii="Times New Roman" w:eastAsia="等线" w:hAnsi="Times New Roman" w:cs="Times New Roman"/>
          <w:sz w:val="24"/>
          <w:szCs w:val="24"/>
        </w:rPr>
        <w:br w:type="page"/>
      </w:r>
    </w:p>
    <w:p w14:paraId="66C4DD1B" w14:textId="77777777" w:rsidR="00FA6B6D" w:rsidRPr="00FA6B6D" w:rsidRDefault="00FA6B6D" w:rsidP="00FA6B6D">
      <w:pPr>
        <w:adjustRightInd w:val="0"/>
        <w:snapToGrid w:val="0"/>
        <w:rPr>
          <w:rFonts w:ascii="Times New Roman" w:eastAsia="等线" w:hAnsi="Times New Roman" w:cs="Times New Roman"/>
          <w:sz w:val="24"/>
          <w:szCs w:val="24"/>
        </w:rPr>
      </w:pPr>
      <w:r w:rsidRPr="00FA6B6D">
        <w:rPr>
          <w:rFonts w:ascii="等线" w:eastAsia="等线" w:hAnsi="等线" w:cs="Times New Roman"/>
          <w:noProof/>
          <w:lang w:val="en-AU"/>
        </w:rPr>
        <w:lastRenderedPageBreak/>
        <w:drawing>
          <wp:inline distT="0" distB="0" distL="0" distR="0" wp14:anchorId="68540104" wp14:editId="79B7F7ED">
            <wp:extent cx="5271135" cy="2381250"/>
            <wp:effectExtent l="0" t="0" r="5715" b="0"/>
            <wp:docPr id="229436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36398" name="图片 1"/>
                    <pic:cNvPicPr>
                      <a:picLocks noChangeAspect="1"/>
                    </pic:cNvPicPr>
                  </pic:nvPicPr>
                  <pic:blipFill>
                    <a:blip r:embed="rId10"/>
                    <a:stretch>
                      <a:fillRect/>
                    </a:stretch>
                  </pic:blipFill>
                  <pic:spPr>
                    <a:xfrm>
                      <a:off x="0" y="0"/>
                      <a:ext cx="5282519" cy="2386743"/>
                    </a:xfrm>
                    <a:prstGeom prst="rect">
                      <a:avLst/>
                    </a:prstGeom>
                  </pic:spPr>
                </pic:pic>
              </a:graphicData>
            </a:graphic>
          </wp:inline>
        </w:drawing>
      </w:r>
    </w:p>
    <w:p w14:paraId="2963443B" w14:textId="77777777" w:rsidR="00FA6B6D" w:rsidRPr="00FA6B6D" w:rsidRDefault="00FA6B6D" w:rsidP="00FA6B6D">
      <w:pPr>
        <w:adjustRightInd w:val="0"/>
        <w:snapToGrid w:val="0"/>
        <w:spacing w:before="240"/>
        <w:rPr>
          <w:rFonts w:ascii="Times New Roman" w:eastAsia="等线" w:hAnsi="Times New Roman" w:cs="Times New Roman"/>
          <w:sz w:val="24"/>
          <w:szCs w:val="24"/>
        </w:rPr>
      </w:pPr>
      <w:r w:rsidRPr="00FA6B6D">
        <w:rPr>
          <w:rFonts w:ascii="等线" w:eastAsia="等线" w:hAnsi="等线" w:cs="Times New Roman"/>
          <w:noProof/>
          <w:lang w:val="en-AU"/>
        </w:rPr>
        <w:drawing>
          <wp:inline distT="0" distB="0" distL="0" distR="0" wp14:anchorId="21AF3A82" wp14:editId="5A6446FF">
            <wp:extent cx="5275580" cy="2400300"/>
            <wp:effectExtent l="0" t="0" r="1270" b="0"/>
            <wp:docPr id="1336032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32799" name="图片 1"/>
                    <pic:cNvPicPr>
                      <a:picLocks noChangeAspect="1"/>
                    </pic:cNvPicPr>
                  </pic:nvPicPr>
                  <pic:blipFill>
                    <a:blip r:embed="rId11"/>
                    <a:stretch>
                      <a:fillRect/>
                    </a:stretch>
                  </pic:blipFill>
                  <pic:spPr>
                    <a:xfrm>
                      <a:off x="0" y="0"/>
                      <a:ext cx="5289603" cy="2406857"/>
                    </a:xfrm>
                    <a:prstGeom prst="rect">
                      <a:avLst/>
                    </a:prstGeom>
                  </pic:spPr>
                </pic:pic>
              </a:graphicData>
            </a:graphic>
          </wp:inline>
        </w:drawing>
      </w:r>
    </w:p>
    <w:p w14:paraId="603D42BB" w14:textId="77777777" w:rsidR="00FA6B6D" w:rsidRPr="00FA6B6D" w:rsidRDefault="00FA6B6D" w:rsidP="00FA6B6D">
      <w:pPr>
        <w:adjustRightInd w:val="0"/>
        <w:snapToGrid w:val="0"/>
        <w:spacing w:before="240" w:line="288" w:lineRule="auto"/>
        <w:rPr>
          <w:rFonts w:ascii="Arial" w:eastAsia="等线" w:hAnsi="Arial" w:cs="Arial"/>
          <w:b/>
          <w:bCs/>
          <w:szCs w:val="21"/>
        </w:rPr>
      </w:pPr>
      <w:r w:rsidRPr="00FA6B6D">
        <w:rPr>
          <w:rFonts w:ascii="Arial" w:eastAsia="等线" w:hAnsi="Arial" w:cs="Arial"/>
          <w:b/>
          <w:bCs/>
          <w:szCs w:val="21"/>
        </w:rPr>
        <w:t>Extended Data Fig.</w:t>
      </w:r>
      <w:r w:rsidRPr="00FA6B6D">
        <w:rPr>
          <w:rFonts w:ascii="Arial" w:eastAsia="等线" w:hAnsi="Arial" w:cs="Arial" w:hint="eastAsia"/>
          <w:b/>
          <w:bCs/>
          <w:szCs w:val="21"/>
        </w:rPr>
        <w:t xml:space="preserve">3 </w:t>
      </w:r>
      <w:r w:rsidRPr="00FA6B6D">
        <w:rPr>
          <w:rFonts w:ascii="Arial" w:eastAsia="等线" w:hAnsi="Arial" w:cs="Arial"/>
          <w:b/>
          <w:bCs/>
          <w:szCs w:val="21"/>
        </w:rPr>
        <w:t>|</w:t>
      </w:r>
      <w:r w:rsidRPr="00FA6B6D">
        <w:rPr>
          <w:rFonts w:ascii="Arial" w:eastAsia="等线" w:hAnsi="Arial" w:cs="Arial" w:hint="eastAsia"/>
          <w:b/>
          <w:bCs/>
          <w:szCs w:val="21"/>
        </w:rPr>
        <w:t xml:space="preserve"> Scenario setting of electricity demand and CO</w:t>
      </w:r>
      <w:r w:rsidRPr="00FA6B6D">
        <w:rPr>
          <w:rFonts w:ascii="Arial" w:eastAsia="等线" w:hAnsi="Arial" w:cs="Arial" w:hint="eastAsia"/>
          <w:b/>
          <w:bCs/>
          <w:szCs w:val="21"/>
          <w:vertAlign w:val="subscript"/>
        </w:rPr>
        <w:t>2</w:t>
      </w:r>
      <w:r w:rsidRPr="00FA6B6D">
        <w:rPr>
          <w:rFonts w:ascii="Arial" w:eastAsia="等线" w:hAnsi="Arial" w:cs="Arial" w:hint="eastAsia"/>
          <w:b/>
          <w:bCs/>
          <w:szCs w:val="21"/>
        </w:rPr>
        <w:t xml:space="preserve"> emission factor. </w:t>
      </w:r>
      <w:r w:rsidRPr="00FA6B6D">
        <w:rPr>
          <w:rFonts w:ascii="Arial" w:eastAsia="等线" w:hAnsi="Arial" w:cs="Arial"/>
          <w:szCs w:val="21"/>
        </w:rPr>
        <w:t>Electricity demand and the CO</w:t>
      </w:r>
      <w:r w:rsidRPr="00FA6B6D">
        <w:rPr>
          <w:rFonts w:ascii="Arial" w:eastAsia="等线" w:hAnsi="Arial" w:cs="Arial"/>
          <w:szCs w:val="21"/>
          <w:vertAlign w:val="subscript"/>
        </w:rPr>
        <w:t>2</w:t>
      </w:r>
      <w:r w:rsidRPr="00FA6B6D">
        <w:rPr>
          <w:rFonts w:ascii="Arial" w:eastAsia="等线" w:hAnsi="Arial" w:cs="Arial"/>
          <w:szCs w:val="21"/>
        </w:rPr>
        <w:t xml:space="preserve"> emission factor are two critical factors influencing the </w:t>
      </w:r>
      <w:r w:rsidRPr="00FA6B6D">
        <w:rPr>
          <w:rFonts w:ascii="Arial" w:eastAsia="等线" w:hAnsi="Arial" w:cs="Arial" w:hint="eastAsia"/>
          <w:szCs w:val="21"/>
        </w:rPr>
        <w:t>companies</w:t>
      </w:r>
      <w:r w:rsidRPr="00FA6B6D">
        <w:rPr>
          <w:rFonts w:ascii="Arial" w:eastAsia="等线" w:hAnsi="Arial" w:cs="Arial"/>
          <w:szCs w:val="21"/>
        </w:rPr>
        <w:t>’</w:t>
      </w:r>
      <w:r w:rsidRPr="00FA6B6D">
        <w:rPr>
          <w:rFonts w:ascii="Arial" w:eastAsia="等线" w:hAnsi="Arial" w:cs="Arial" w:hint="eastAsia"/>
          <w:szCs w:val="21"/>
        </w:rPr>
        <w:t xml:space="preserve"> investment and </w:t>
      </w:r>
      <w:r w:rsidRPr="00FA6B6D">
        <w:rPr>
          <w:rFonts w:ascii="Arial" w:eastAsia="等线" w:hAnsi="Arial" w:cs="Arial"/>
          <w:szCs w:val="21"/>
        </w:rPr>
        <w:t xml:space="preserve">emission reduction </w:t>
      </w:r>
      <w:proofErr w:type="spellStart"/>
      <w:r w:rsidRPr="00FA6B6D">
        <w:rPr>
          <w:rFonts w:ascii="Arial" w:eastAsia="等线" w:hAnsi="Arial" w:cs="Arial"/>
          <w:szCs w:val="21"/>
        </w:rPr>
        <w:t>behavio</w:t>
      </w:r>
      <w:r w:rsidRPr="00FA6B6D">
        <w:rPr>
          <w:rFonts w:ascii="Arial" w:eastAsia="等线" w:hAnsi="Arial" w:cs="Arial" w:hint="eastAsia"/>
          <w:szCs w:val="21"/>
        </w:rPr>
        <w:t>u</w:t>
      </w:r>
      <w:r w:rsidRPr="00FA6B6D">
        <w:rPr>
          <w:rFonts w:ascii="Arial" w:eastAsia="等线" w:hAnsi="Arial" w:cs="Arial"/>
          <w:szCs w:val="21"/>
        </w:rPr>
        <w:t>rs</w:t>
      </w:r>
      <w:proofErr w:type="spellEnd"/>
      <w:r w:rsidRPr="00FA6B6D">
        <w:rPr>
          <w:rFonts w:ascii="Arial" w:eastAsia="等线" w:hAnsi="Arial" w:cs="Arial" w:hint="eastAsia"/>
          <w:szCs w:val="21"/>
        </w:rPr>
        <w:t>.</w:t>
      </w:r>
      <w:r w:rsidRPr="00FA6B6D">
        <w:rPr>
          <w:rFonts w:ascii="Arial" w:eastAsia="等线" w:hAnsi="Arial" w:cs="Arial"/>
          <w:szCs w:val="21"/>
        </w:rPr>
        <w:t xml:space="preserve"> </w:t>
      </w:r>
      <w:r w:rsidRPr="00FA6B6D">
        <w:rPr>
          <w:rFonts w:ascii="Arial" w:eastAsia="等线" w:hAnsi="Arial" w:cs="Arial" w:hint="eastAsia"/>
          <w:szCs w:val="21"/>
        </w:rPr>
        <w:t>These</w:t>
      </w:r>
      <w:r w:rsidRPr="00FA6B6D">
        <w:rPr>
          <w:rFonts w:ascii="Arial" w:eastAsia="等线" w:hAnsi="Arial" w:cs="Arial"/>
          <w:szCs w:val="21"/>
        </w:rPr>
        <w:t xml:space="preserve"> are </w:t>
      </w:r>
      <w:r w:rsidRPr="00FA6B6D">
        <w:rPr>
          <w:rFonts w:ascii="Arial" w:eastAsia="等线" w:hAnsi="Arial" w:cs="Arial" w:hint="eastAsia"/>
          <w:szCs w:val="21"/>
        </w:rPr>
        <w:t>essential</w:t>
      </w:r>
      <w:r w:rsidRPr="00FA6B6D">
        <w:rPr>
          <w:rFonts w:ascii="Arial" w:eastAsia="等线" w:hAnsi="Arial" w:cs="Arial"/>
          <w:szCs w:val="21"/>
        </w:rPr>
        <w:t xml:space="preserve"> for designing </w:t>
      </w:r>
      <w:r w:rsidRPr="00FA6B6D">
        <w:rPr>
          <w:rFonts w:ascii="Arial" w:eastAsia="等线" w:hAnsi="Arial" w:cs="Arial" w:hint="eastAsia"/>
          <w:szCs w:val="21"/>
        </w:rPr>
        <w:t xml:space="preserve">the total </w:t>
      </w:r>
      <w:r w:rsidRPr="00FA6B6D">
        <w:rPr>
          <w:rFonts w:ascii="Arial" w:eastAsia="等线" w:hAnsi="Arial" w:cs="Arial"/>
          <w:szCs w:val="21"/>
        </w:rPr>
        <w:t>carbon allowance</w:t>
      </w:r>
      <w:r w:rsidRPr="00FA6B6D">
        <w:rPr>
          <w:rFonts w:ascii="Arial" w:eastAsia="等线" w:hAnsi="Arial" w:cs="Arial" w:hint="eastAsia"/>
          <w:szCs w:val="21"/>
        </w:rPr>
        <w:t>s</w:t>
      </w:r>
      <w:r w:rsidRPr="00FA6B6D">
        <w:rPr>
          <w:rFonts w:ascii="Arial" w:eastAsia="等线" w:hAnsi="Arial" w:cs="Arial"/>
          <w:szCs w:val="21"/>
        </w:rPr>
        <w:t xml:space="preserve"> and the MSR.</w:t>
      </w:r>
      <w:r w:rsidRPr="00FA6B6D">
        <w:rPr>
          <w:rFonts w:ascii="Times New Roman" w:eastAsia="等线" w:hAnsi="Times New Roman" w:cs="Times New Roman"/>
          <w:sz w:val="24"/>
          <w:szCs w:val="24"/>
        </w:rPr>
        <w:br w:type="page"/>
      </w:r>
    </w:p>
    <w:p w14:paraId="2935DBB9" w14:textId="794D4CBB" w:rsidR="00FA6B6D" w:rsidRPr="00FA6B6D" w:rsidRDefault="004A20E5" w:rsidP="00FA6B6D">
      <w:pPr>
        <w:adjustRightInd w:val="0"/>
        <w:snapToGrid w:val="0"/>
        <w:jc w:val="center"/>
        <w:rPr>
          <w:rFonts w:ascii="Times New Roman" w:eastAsia="等线" w:hAnsi="Times New Roman" w:cs="Times New Roman"/>
          <w:sz w:val="24"/>
          <w:szCs w:val="24"/>
        </w:rPr>
      </w:pPr>
      <w:r>
        <w:rPr>
          <w:rFonts w:ascii="等线" w:eastAsia="等线" w:hAnsi="等线" w:cs="Times New Roman"/>
          <w:noProof/>
          <w14:ligatures w14:val="none"/>
        </w:rPr>
        <w:lastRenderedPageBreak/>
        <w:drawing>
          <wp:inline distT="0" distB="0" distL="0" distR="0" wp14:anchorId="27586855" wp14:editId="76E92A2A">
            <wp:extent cx="5272405" cy="2047875"/>
            <wp:effectExtent l="0" t="0" r="4445" b="9525"/>
            <wp:docPr id="11901686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405" cy="2047875"/>
                    </a:xfrm>
                    <a:prstGeom prst="rect">
                      <a:avLst/>
                    </a:prstGeom>
                    <a:noFill/>
                    <a:ln>
                      <a:noFill/>
                    </a:ln>
                  </pic:spPr>
                </pic:pic>
              </a:graphicData>
            </a:graphic>
          </wp:inline>
        </w:drawing>
      </w:r>
    </w:p>
    <w:p w14:paraId="123B0F3E" w14:textId="77777777" w:rsidR="00FA6B6D" w:rsidRPr="00FA6B6D" w:rsidRDefault="00FA6B6D" w:rsidP="00FA6B6D">
      <w:pPr>
        <w:adjustRightInd w:val="0"/>
        <w:snapToGrid w:val="0"/>
        <w:spacing w:before="240"/>
        <w:jc w:val="center"/>
        <w:rPr>
          <w:rFonts w:ascii="Times New Roman" w:eastAsia="等线" w:hAnsi="Times New Roman" w:cs="Times New Roman"/>
          <w:sz w:val="24"/>
          <w:szCs w:val="24"/>
        </w:rPr>
      </w:pPr>
      <w:r w:rsidRPr="00FA6B6D">
        <w:rPr>
          <w:rFonts w:ascii="等线" w:eastAsia="等线" w:hAnsi="等线" w:cs="Times New Roman"/>
          <w:noProof/>
          <w14:ligatures w14:val="none"/>
        </w:rPr>
        <w:drawing>
          <wp:inline distT="0" distB="0" distL="0" distR="0" wp14:anchorId="46157026" wp14:editId="3F7C38A6">
            <wp:extent cx="5274310" cy="2121535"/>
            <wp:effectExtent l="0" t="0" r="2540" b="0"/>
            <wp:docPr id="1417106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06460" name=""/>
                    <pic:cNvPicPr/>
                  </pic:nvPicPr>
                  <pic:blipFill>
                    <a:blip r:embed="rId13"/>
                    <a:stretch>
                      <a:fillRect/>
                    </a:stretch>
                  </pic:blipFill>
                  <pic:spPr>
                    <a:xfrm>
                      <a:off x="0" y="0"/>
                      <a:ext cx="5274310" cy="2121535"/>
                    </a:xfrm>
                    <a:prstGeom prst="rect">
                      <a:avLst/>
                    </a:prstGeom>
                  </pic:spPr>
                </pic:pic>
              </a:graphicData>
            </a:graphic>
          </wp:inline>
        </w:drawing>
      </w:r>
    </w:p>
    <w:p w14:paraId="7EC4787D" w14:textId="77777777" w:rsidR="00FA6B6D" w:rsidRPr="00FA6B6D" w:rsidRDefault="00FA6B6D" w:rsidP="00FA6B6D">
      <w:pPr>
        <w:adjustRightInd w:val="0"/>
        <w:snapToGrid w:val="0"/>
        <w:spacing w:before="240" w:line="288" w:lineRule="auto"/>
        <w:rPr>
          <w:rFonts w:ascii="Times New Roman" w:eastAsia="等线" w:hAnsi="Times New Roman" w:cs="Times New Roman"/>
          <w:sz w:val="24"/>
          <w:szCs w:val="24"/>
        </w:rPr>
      </w:pPr>
      <w:r w:rsidRPr="00FA6B6D">
        <w:rPr>
          <w:rFonts w:ascii="Arial" w:eastAsia="等线" w:hAnsi="Arial" w:cs="Arial"/>
          <w:b/>
          <w:bCs/>
          <w:szCs w:val="21"/>
        </w:rPr>
        <w:t>Extended Data Fig.</w:t>
      </w:r>
      <w:r w:rsidRPr="00FA6B6D">
        <w:rPr>
          <w:rFonts w:ascii="Arial" w:eastAsia="等线" w:hAnsi="Arial" w:cs="Arial" w:hint="eastAsia"/>
          <w:b/>
          <w:bCs/>
          <w:szCs w:val="21"/>
        </w:rPr>
        <w:t xml:space="preserve">4 </w:t>
      </w:r>
      <w:r w:rsidRPr="00FA6B6D">
        <w:rPr>
          <w:rFonts w:ascii="Arial" w:eastAsia="等线" w:hAnsi="Arial" w:cs="Arial"/>
          <w:b/>
          <w:bCs/>
          <w:szCs w:val="21"/>
        </w:rPr>
        <w:t>|</w:t>
      </w:r>
      <w:r w:rsidRPr="00FA6B6D">
        <w:rPr>
          <w:rFonts w:ascii="Arial" w:eastAsia="等线" w:hAnsi="Arial" w:cs="Arial" w:hint="eastAsia"/>
          <w:b/>
          <w:bCs/>
          <w:szCs w:val="21"/>
        </w:rPr>
        <w:t xml:space="preserve"> Simulation results of renewable energy percentage and sectoral CO</w:t>
      </w:r>
      <w:r w:rsidRPr="00FA6B6D">
        <w:rPr>
          <w:rFonts w:ascii="Arial" w:eastAsia="等线" w:hAnsi="Arial" w:cs="Arial" w:hint="eastAsia"/>
          <w:b/>
          <w:bCs/>
          <w:szCs w:val="21"/>
          <w:vertAlign w:val="subscript"/>
        </w:rPr>
        <w:t>2</w:t>
      </w:r>
      <w:r w:rsidRPr="00FA6B6D">
        <w:rPr>
          <w:rFonts w:ascii="Arial" w:eastAsia="等线" w:hAnsi="Arial" w:cs="Arial" w:hint="eastAsia"/>
          <w:b/>
          <w:bCs/>
          <w:szCs w:val="21"/>
        </w:rPr>
        <w:t xml:space="preserve"> emissions considering </w:t>
      </w:r>
      <w:r w:rsidRPr="00FA6B6D">
        <w:rPr>
          <w:rFonts w:ascii="Arial" w:eastAsia="等线" w:hAnsi="Arial" w:cs="Arial"/>
          <w:b/>
          <w:bCs/>
          <w:szCs w:val="21"/>
        </w:rPr>
        <w:t>the randomness of important variables</w:t>
      </w:r>
      <w:r w:rsidRPr="00FA6B6D">
        <w:rPr>
          <w:rFonts w:ascii="Arial" w:eastAsia="等线" w:hAnsi="Arial" w:cs="Arial" w:hint="eastAsia"/>
          <w:b/>
          <w:bCs/>
          <w:szCs w:val="21"/>
        </w:rPr>
        <w:t xml:space="preserve">. </w:t>
      </w:r>
      <w:r w:rsidRPr="00FA6B6D">
        <w:rPr>
          <w:rFonts w:ascii="Arial" w:eastAsia="等线" w:hAnsi="Arial" w:cs="Arial" w:hint="eastAsia"/>
          <w:szCs w:val="21"/>
        </w:rPr>
        <w:t xml:space="preserve">To </w:t>
      </w:r>
      <w:r w:rsidRPr="00FA6B6D">
        <w:rPr>
          <w:rFonts w:ascii="Arial" w:eastAsia="等线" w:hAnsi="Arial" w:cs="Arial"/>
          <w:szCs w:val="21"/>
        </w:rPr>
        <w:t>investigate the impact of the randomness of some important variables</w:t>
      </w:r>
      <w:r w:rsidRPr="00FA6B6D">
        <w:rPr>
          <w:rFonts w:ascii="Arial" w:eastAsia="等线" w:hAnsi="Arial" w:cs="Arial" w:hint="eastAsia"/>
          <w:szCs w:val="21"/>
        </w:rPr>
        <w:t xml:space="preserve"> including </w:t>
      </w:r>
      <w:r w:rsidRPr="00FA6B6D">
        <w:rPr>
          <w:rFonts w:ascii="Arial" w:eastAsia="等线" w:hAnsi="Arial" w:cs="Arial"/>
          <w:szCs w:val="21"/>
        </w:rPr>
        <w:t>capacity factor, generation cost and on-grid price of renewable energy technologies.</w:t>
      </w:r>
      <w:r w:rsidRPr="00FA6B6D">
        <w:rPr>
          <w:rFonts w:ascii="Arial" w:eastAsia="等线" w:hAnsi="Arial" w:cs="Arial" w:hint="eastAsia"/>
          <w:szCs w:val="21"/>
        </w:rPr>
        <w:t xml:space="preserve"> </w:t>
      </w:r>
      <w:r w:rsidRPr="00FA6B6D">
        <w:rPr>
          <w:rFonts w:ascii="Arial" w:eastAsia="等线" w:hAnsi="Arial" w:cs="Arial"/>
          <w:szCs w:val="21"/>
        </w:rPr>
        <w:t>Numbers 1-10 are chosen as the range of random seeds</w:t>
      </w:r>
      <w:r w:rsidRPr="00FA6B6D">
        <w:rPr>
          <w:rFonts w:ascii="Arial" w:eastAsia="等线" w:hAnsi="Arial" w:cs="Arial" w:hint="eastAsia"/>
          <w:szCs w:val="21"/>
        </w:rPr>
        <w:t xml:space="preserve"> in </w:t>
      </w:r>
      <w:proofErr w:type="spellStart"/>
      <w:r w:rsidRPr="00FA6B6D">
        <w:rPr>
          <w:rFonts w:ascii="Arial" w:eastAsia="等线" w:hAnsi="Arial" w:cs="Arial" w:hint="eastAsia"/>
          <w:szCs w:val="21"/>
        </w:rPr>
        <w:t>Netlogo</w:t>
      </w:r>
      <w:proofErr w:type="spellEnd"/>
      <w:r w:rsidRPr="00FA6B6D">
        <w:rPr>
          <w:rFonts w:ascii="Arial" w:eastAsia="等线" w:hAnsi="Arial" w:cs="Arial" w:hint="eastAsia"/>
          <w:szCs w:val="21"/>
        </w:rPr>
        <w:t xml:space="preserve"> software. T</w:t>
      </w:r>
      <w:r w:rsidRPr="00FA6B6D">
        <w:rPr>
          <w:rFonts w:ascii="Arial" w:eastAsia="等线" w:hAnsi="Arial" w:cs="Arial"/>
          <w:szCs w:val="21"/>
        </w:rPr>
        <w:t xml:space="preserve">he percentage of renewable installed capacity fluctuates in the range of 40-55% in 2030 and 60-70% in 2050. The emission factor in the scenarios of different random seeds fluctuates in the range of 0.30-0.35 t/MWh in 2030 and 0.15-0.20 t/MWh in 2050. The randomness of the variables has a small impact on the macro results. Meanwhile, the small fluctuation </w:t>
      </w:r>
      <w:r w:rsidRPr="00FA6B6D">
        <w:rPr>
          <w:rFonts w:ascii="Arial" w:eastAsia="等线" w:hAnsi="Arial" w:cs="Arial" w:hint="eastAsia"/>
          <w:szCs w:val="21"/>
        </w:rPr>
        <w:t>serves as evidence of</w:t>
      </w:r>
      <w:r w:rsidRPr="00FA6B6D">
        <w:rPr>
          <w:rFonts w:ascii="Arial" w:eastAsia="等线" w:hAnsi="Arial" w:cs="Arial"/>
          <w:szCs w:val="21"/>
        </w:rPr>
        <w:t xml:space="preserve"> the validity of the </w:t>
      </w:r>
      <w:r w:rsidRPr="00FA6B6D">
        <w:rPr>
          <w:rFonts w:ascii="Arial" w:eastAsia="等线" w:hAnsi="Arial" w:cs="Arial" w:hint="eastAsia"/>
          <w:szCs w:val="21"/>
        </w:rPr>
        <w:t>ABM</w:t>
      </w:r>
      <w:r w:rsidRPr="00FA6B6D">
        <w:rPr>
          <w:rFonts w:ascii="Arial" w:eastAsia="等线" w:hAnsi="Arial" w:cs="Arial"/>
          <w:szCs w:val="21"/>
        </w:rPr>
        <w:t xml:space="preserve"> </w:t>
      </w:r>
      <w:r w:rsidRPr="00FA6B6D">
        <w:rPr>
          <w:rFonts w:ascii="Arial" w:eastAsia="等线" w:hAnsi="Arial" w:cs="Arial" w:hint="eastAsia"/>
          <w:szCs w:val="21"/>
        </w:rPr>
        <w:t xml:space="preserve">developed </w:t>
      </w:r>
      <w:r w:rsidRPr="00FA6B6D">
        <w:rPr>
          <w:rFonts w:ascii="Arial" w:eastAsia="等线" w:hAnsi="Arial" w:cs="Arial"/>
          <w:szCs w:val="21"/>
        </w:rPr>
        <w:t>in this study</w:t>
      </w:r>
      <w:r w:rsidRPr="00FA6B6D">
        <w:rPr>
          <w:rFonts w:ascii="Arial" w:eastAsia="等线" w:hAnsi="Arial" w:cs="Arial" w:hint="eastAsia"/>
          <w:szCs w:val="21"/>
        </w:rPr>
        <w:t>.</w:t>
      </w:r>
      <w:r w:rsidRPr="00FA6B6D">
        <w:rPr>
          <w:rFonts w:ascii="Times New Roman" w:eastAsia="等线" w:hAnsi="Times New Roman" w:cs="Times New Roman"/>
          <w:sz w:val="24"/>
          <w:szCs w:val="24"/>
        </w:rPr>
        <w:br w:type="page"/>
      </w:r>
    </w:p>
    <w:p w14:paraId="524F51BD" w14:textId="77777777" w:rsidR="00FA6B6D" w:rsidRPr="00FA6B6D" w:rsidRDefault="00FA6B6D" w:rsidP="00FA6B6D">
      <w:pPr>
        <w:adjustRightInd w:val="0"/>
        <w:snapToGrid w:val="0"/>
        <w:rPr>
          <w:rFonts w:ascii="Times New Roman" w:eastAsia="等线" w:hAnsi="Times New Roman" w:cs="Times New Roman"/>
          <w:sz w:val="24"/>
          <w:szCs w:val="24"/>
        </w:rPr>
      </w:pPr>
      <w:r w:rsidRPr="00FA6B6D">
        <w:rPr>
          <w:rFonts w:ascii="等线" w:eastAsia="等线" w:hAnsi="等线" w:cs="Times New Roman"/>
          <w:noProof/>
          <w:lang w:val="en-AU"/>
        </w:rPr>
        <w:lastRenderedPageBreak/>
        <w:drawing>
          <wp:inline distT="0" distB="0" distL="0" distR="0" wp14:anchorId="1B95FFCA" wp14:editId="6482A6CC">
            <wp:extent cx="5278120" cy="3164205"/>
            <wp:effectExtent l="0" t="0" r="0" b="0"/>
            <wp:docPr id="1413864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64919" name="图片 1"/>
                    <pic:cNvPicPr>
                      <a:picLocks noChangeAspect="1"/>
                    </pic:cNvPicPr>
                  </pic:nvPicPr>
                  <pic:blipFill>
                    <a:blip r:embed="rId14"/>
                    <a:stretch>
                      <a:fillRect/>
                    </a:stretch>
                  </pic:blipFill>
                  <pic:spPr>
                    <a:xfrm>
                      <a:off x="0" y="0"/>
                      <a:ext cx="5287925" cy="3170423"/>
                    </a:xfrm>
                    <a:prstGeom prst="rect">
                      <a:avLst/>
                    </a:prstGeom>
                  </pic:spPr>
                </pic:pic>
              </a:graphicData>
            </a:graphic>
          </wp:inline>
        </w:drawing>
      </w:r>
    </w:p>
    <w:p w14:paraId="47FFA317" w14:textId="77777777" w:rsidR="00FA6B6D" w:rsidRPr="00FA6B6D" w:rsidRDefault="00FA6B6D" w:rsidP="00FA6B6D">
      <w:pPr>
        <w:adjustRightInd w:val="0"/>
        <w:snapToGrid w:val="0"/>
        <w:spacing w:before="240" w:line="288" w:lineRule="auto"/>
        <w:rPr>
          <w:rFonts w:ascii="Arial" w:eastAsia="等线" w:hAnsi="Arial" w:cs="Arial"/>
          <w:szCs w:val="21"/>
        </w:rPr>
      </w:pPr>
      <w:r w:rsidRPr="00FA6B6D">
        <w:rPr>
          <w:rFonts w:ascii="Arial" w:eastAsia="等线" w:hAnsi="Arial" w:cs="Arial"/>
          <w:b/>
          <w:bCs/>
          <w:szCs w:val="21"/>
        </w:rPr>
        <w:t>Extended Data Fig.</w:t>
      </w:r>
      <w:r w:rsidRPr="00FA6B6D">
        <w:rPr>
          <w:rFonts w:ascii="Arial" w:eastAsia="等线" w:hAnsi="Arial" w:cs="Arial" w:hint="eastAsia"/>
          <w:b/>
          <w:bCs/>
          <w:szCs w:val="21"/>
        </w:rPr>
        <w:t xml:space="preserve">5 </w:t>
      </w:r>
      <w:r w:rsidRPr="00FA6B6D">
        <w:rPr>
          <w:rFonts w:ascii="Arial" w:eastAsia="等线" w:hAnsi="Arial" w:cs="Arial"/>
          <w:b/>
          <w:bCs/>
          <w:szCs w:val="21"/>
        </w:rPr>
        <w:t>|</w:t>
      </w:r>
      <w:r w:rsidRPr="00FA6B6D">
        <w:rPr>
          <w:rFonts w:ascii="Arial" w:eastAsia="等线" w:hAnsi="Arial" w:cs="Arial" w:hint="eastAsia"/>
          <w:b/>
          <w:bCs/>
          <w:szCs w:val="21"/>
        </w:rPr>
        <w:t xml:space="preserve"> The </w:t>
      </w:r>
      <w:r w:rsidRPr="00FA6B6D">
        <w:rPr>
          <w:rFonts w:ascii="Arial" w:eastAsia="等线" w:hAnsi="Arial" w:cs="Arial"/>
          <w:b/>
          <w:bCs/>
          <w:szCs w:val="21"/>
        </w:rPr>
        <w:t>market</w:t>
      </w:r>
      <w:r w:rsidRPr="00FA6B6D">
        <w:rPr>
          <w:rFonts w:ascii="Arial" w:eastAsia="等线" w:hAnsi="Arial" w:cs="Arial" w:hint="eastAsia"/>
          <w:b/>
          <w:bCs/>
          <w:szCs w:val="21"/>
        </w:rPr>
        <w:t xml:space="preserve"> operation of the CO</w:t>
      </w:r>
      <w:r w:rsidRPr="00FA6B6D">
        <w:rPr>
          <w:rFonts w:ascii="Arial" w:eastAsia="等线" w:hAnsi="Arial" w:cs="Arial" w:hint="eastAsia"/>
          <w:b/>
          <w:bCs/>
          <w:szCs w:val="21"/>
          <w:vertAlign w:val="subscript"/>
        </w:rPr>
        <w:t>2</w:t>
      </w:r>
      <w:r w:rsidRPr="00FA6B6D">
        <w:rPr>
          <w:rFonts w:ascii="Arial" w:eastAsia="等线" w:hAnsi="Arial" w:cs="Arial" w:hint="eastAsia"/>
          <w:b/>
          <w:bCs/>
          <w:szCs w:val="21"/>
        </w:rPr>
        <w:t xml:space="preserve"> emission trading. </w:t>
      </w:r>
      <w:r w:rsidRPr="00FA6B6D">
        <w:rPr>
          <w:rFonts w:ascii="Arial" w:eastAsia="等线" w:hAnsi="Arial" w:cs="Arial"/>
          <w:szCs w:val="21"/>
        </w:rPr>
        <w:t xml:space="preserve">The average price of </w:t>
      </w:r>
      <w:r w:rsidRPr="00FA6B6D">
        <w:rPr>
          <w:rFonts w:ascii="Arial" w:eastAsia="等线" w:hAnsi="Arial" w:cs="Arial" w:hint="eastAsia"/>
          <w:szCs w:val="21"/>
        </w:rPr>
        <w:t>carbon allowances</w:t>
      </w:r>
      <w:r w:rsidRPr="00FA6B6D">
        <w:rPr>
          <w:rFonts w:ascii="Arial" w:eastAsia="等线" w:hAnsi="Arial" w:cs="Arial"/>
          <w:szCs w:val="21"/>
        </w:rPr>
        <w:t xml:space="preserve"> exhibits a gently increasing trend initially, followed by dramatic fluctuations in later stages. This is primarily due to some </w:t>
      </w:r>
      <w:r w:rsidRPr="00FA6B6D">
        <w:rPr>
          <w:rFonts w:ascii="Arial" w:eastAsia="等线" w:hAnsi="Arial" w:cs="Arial" w:hint="eastAsia"/>
          <w:szCs w:val="21"/>
        </w:rPr>
        <w:t>companies</w:t>
      </w:r>
      <w:r w:rsidRPr="00FA6B6D">
        <w:rPr>
          <w:rFonts w:ascii="Arial" w:eastAsia="等线" w:hAnsi="Arial" w:cs="Arial"/>
          <w:szCs w:val="21"/>
        </w:rPr>
        <w:t xml:space="preserve"> gradually reducing their emissions, thereby raising the marginal cost of further reductions. </w:t>
      </w:r>
      <w:r w:rsidRPr="00FA6B6D">
        <w:rPr>
          <w:rFonts w:ascii="Arial" w:eastAsia="等线" w:hAnsi="Arial" w:cs="Arial" w:hint="eastAsia"/>
          <w:szCs w:val="21"/>
        </w:rPr>
        <w:t>Additionally</w:t>
      </w:r>
      <w:r w:rsidRPr="00FA6B6D">
        <w:rPr>
          <w:rFonts w:ascii="Arial" w:eastAsia="等线" w:hAnsi="Arial" w:cs="Arial"/>
          <w:szCs w:val="21"/>
        </w:rPr>
        <w:t>, the stringent carbon allowance planning is designed to steer the electricity production of companies towards a low-carbon supply. This situation thus fosters the creation of a seller’s market, which, in turn, encourages a virtuous cycle between emission trading and emission reduction. If companies wish to lower the cost burden of purchasing carbon allowances, they must reduce emissions over several consecutive years and strive to maintain their status as sellers as much as possible.</w:t>
      </w:r>
      <w:r w:rsidRPr="00FA6B6D">
        <w:rPr>
          <w:rFonts w:ascii="Times New Roman" w:eastAsia="等线" w:hAnsi="Times New Roman" w:cs="Times New Roman"/>
          <w:sz w:val="24"/>
          <w:szCs w:val="24"/>
        </w:rPr>
        <w:br w:type="page"/>
      </w:r>
    </w:p>
    <w:p w14:paraId="3520849E" w14:textId="77777777" w:rsidR="00FA6B6D" w:rsidRPr="00FA6B6D" w:rsidRDefault="00FA6B6D" w:rsidP="00FA6B6D">
      <w:pPr>
        <w:widowControl/>
        <w:adjustRightInd w:val="0"/>
        <w:snapToGrid w:val="0"/>
        <w:spacing w:after="240"/>
        <w:rPr>
          <w:rFonts w:ascii="Arial" w:eastAsia="等线" w:hAnsi="Arial" w:cs="Arial"/>
          <w:b/>
          <w:bCs/>
          <w:szCs w:val="21"/>
        </w:rPr>
      </w:pPr>
      <w:r w:rsidRPr="00FA6B6D">
        <w:rPr>
          <w:rFonts w:ascii="Arial" w:eastAsia="等线" w:hAnsi="Arial" w:cs="Arial" w:hint="eastAsia"/>
          <w:b/>
          <w:bCs/>
          <w:szCs w:val="21"/>
        </w:rPr>
        <w:lastRenderedPageBreak/>
        <w:t>Extended Data</w:t>
      </w:r>
      <w:r w:rsidRPr="00FA6B6D">
        <w:rPr>
          <w:rFonts w:ascii="Arial" w:eastAsia="等线" w:hAnsi="Arial" w:cs="Arial"/>
          <w:b/>
          <w:bCs/>
          <w:szCs w:val="21"/>
        </w:rPr>
        <w:t xml:space="preserve"> Table 1</w:t>
      </w:r>
      <w:r w:rsidRPr="00FA6B6D">
        <w:rPr>
          <w:rFonts w:ascii="Arial" w:eastAsia="等线" w:hAnsi="Arial" w:cs="Arial" w:hint="eastAsia"/>
          <w:b/>
          <w:bCs/>
          <w:szCs w:val="21"/>
        </w:rPr>
        <w:t xml:space="preserve"> </w:t>
      </w:r>
      <w:r w:rsidRPr="00FA6B6D">
        <w:rPr>
          <w:rFonts w:ascii="Arial" w:eastAsia="等线" w:hAnsi="Arial" w:cs="Arial"/>
          <w:b/>
          <w:bCs/>
          <w:szCs w:val="21"/>
        </w:rPr>
        <w:t>|</w:t>
      </w:r>
      <w:r w:rsidRPr="00FA6B6D">
        <w:rPr>
          <w:rFonts w:ascii="Arial" w:eastAsia="等线" w:hAnsi="Arial" w:cs="Arial" w:hint="eastAsia"/>
          <w:b/>
          <w:bCs/>
          <w:szCs w:val="21"/>
        </w:rPr>
        <w:t xml:space="preserve"> </w:t>
      </w:r>
      <w:r w:rsidRPr="00FA6B6D">
        <w:rPr>
          <w:rFonts w:ascii="Arial" w:eastAsia="等线" w:hAnsi="Arial" w:cs="Arial"/>
          <w:b/>
          <w:bCs/>
          <w:szCs w:val="21"/>
        </w:rPr>
        <w:t>The results of China’s future electricity demand (thousand TWh)</w:t>
      </w:r>
      <w:r w:rsidRPr="00FA6B6D">
        <w:rPr>
          <w:rFonts w:ascii="Arial" w:eastAsia="等线" w:hAnsi="Arial" w:cs="Arial" w:hint="eastAsia"/>
          <w:b/>
          <w:bCs/>
          <w:szCs w:val="21"/>
        </w:rPr>
        <w:t xml:space="preserve"> from different studies</w:t>
      </w:r>
    </w:p>
    <w:tbl>
      <w:tblPr>
        <w:tblStyle w:val="3"/>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709"/>
        <w:gridCol w:w="709"/>
        <w:gridCol w:w="636"/>
        <w:gridCol w:w="783"/>
        <w:gridCol w:w="709"/>
        <w:gridCol w:w="709"/>
        <w:gridCol w:w="709"/>
        <w:gridCol w:w="708"/>
      </w:tblGrid>
      <w:tr w:rsidR="00FA6B6D" w:rsidRPr="00FA6B6D" w14:paraId="20CDB147" w14:textId="77777777" w:rsidTr="00FA6B6D">
        <w:trPr>
          <w:trHeight w:val="360"/>
          <w:jc w:val="center"/>
        </w:trPr>
        <w:tc>
          <w:tcPr>
            <w:tcW w:w="2833" w:type="dxa"/>
            <w:tcBorders>
              <w:top w:val="single" w:sz="12" w:space="0" w:color="auto"/>
              <w:bottom w:val="single" w:sz="12" w:space="0" w:color="auto"/>
            </w:tcBorders>
            <w:vAlign w:val="center"/>
          </w:tcPr>
          <w:p w14:paraId="3B8C8461" w14:textId="77777777" w:rsidR="00FA6B6D" w:rsidRPr="00FA6B6D" w:rsidRDefault="00FA6B6D" w:rsidP="00FA6B6D">
            <w:pPr>
              <w:widowControl/>
              <w:jc w:val="left"/>
              <w:rPr>
                <w:rFonts w:ascii="Times New Roman" w:eastAsia="等线" w:hAnsi="Times New Roman" w:cs="Times New Roman"/>
                <w:sz w:val="21"/>
                <w:szCs w:val="21"/>
              </w:rPr>
            </w:pPr>
            <w:r w:rsidRPr="00FA6B6D">
              <w:rPr>
                <w:rFonts w:ascii="Times New Roman" w:eastAsia="等线" w:hAnsi="Times New Roman" w:cs="Times New Roman"/>
                <w:sz w:val="21"/>
                <w:szCs w:val="21"/>
              </w:rPr>
              <w:t>Resource</w:t>
            </w:r>
          </w:p>
        </w:tc>
        <w:tc>
          <w:tcPr>
            <w:tcW w:w="709" w:type="dxa"/>
            <w:tcBorders>
              <w:top w:val="single" w:sz="12" w:space="0" w:color="auto"/>
              <w:bottom w:val="single" w:sz="12" w:space="0" w:color="auto"/>
            </w:tcBorders>
            <w:vAlign w:val="center"/>
          </w:tcPr>
          <w:p w14:paraId="18BF550F"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2015</w:t>
            </w:r>
          </w:p>
        </w:tc>
        <w:tc>
          <w:tcPr>
            <w:tcW w:w="709" w:type="dxa"/>
            <w:tcBorders>
              <w:top w:val="single" w:sz="12" w:space="0" w:color="auto"/>
              <w:bottom w:val="single" w:sz="12" w:space="0" w:color="auto"/>
            </w:tcBorders>
            <w:vAlign w:val="center"/>
          </w:tcPr>
          <w:p w14:paraId="7F2ECF6D"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2020</w:t>
            </w:r>
          </w:p>
        </w:tc>
        <w:tc>
          <w:tcPr>
            <w:tcW w:w="636" w:type="dxa"/>
            <w:tcBorders>
              <w:top w:val="single" w:sz="12" w:space="0" w:color="auto"/>
              <w:bottom w:val="single" w:sz="12" w:space="0" w:color="auto"/>
            </w:tcBorders>
            <w:vAlign w:val="center"/>
          </w:tcPr>
          <w:p w14:paraId="41D88487"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2025</w:t>
            </w:r>
          </w:p>
        </w:tc>
        <w:tc>
          <w:tcPr>
            <w:tcW w:w="783" w:type="dxa"/>
            <w:tcBorders>
              <w:top w:val="single" w:sz="12" w:space="0" w:color="auto"/>
              <w:bottom w:val="single" w:sz="12" w:space="0" w:color="auto"/>
            </w:tcBorders>
            <w:vAlign w:val="center"/>
          </w:tcPr>
          <w:p w14:paraId="2A6119AB"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2030</w:t>
            </w:r>
          </w:p>
        </w:tc>
        <w:tc>
          <w:tcPr>
            <w:tcW w:w="709" w:type="dxa"/>
            <w:tcBorders>
              <w:top w:val="single" w:sz="12" w:space="0" w:color="auto"/>
              <w:bottom w:val="single" w:sz="12" w:space="0" w:color="auto"/>
            </w:tcBorders>
            <w:vAlign w:val="center"/>
          </w:tcPr>
          <w:p w14:paraId="6A227ACD"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2035</w:t>
            </w:r>
          </w:p>
        </w:tc>
        <w:tc>
          <w:tcPr>
            <w:tcW w:w="709" w:type="dxa"/>
            <w:tcBorders>
              <w:top w:val="single" w:sz="12" w:space="0" w:color="auto"/>
              <w:bottom w:val="single" w:sz="12" w:space="0" w:color="auto"/>
            </w:tcBorders>
            <w:vAlign w:val="center"/>
          </w:tcPr>
          <w:p w14:paraId="47CE07D4"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2040</w:t>
            </w:r>
          </w:p>
        </w:tc>
        <w:tc>
          <w:tcPr>
            <w:tcW w:w="709" w:type="dxa"/>
            <w:tcBorders>
              <w:top w:val="single" w:sz="12" w:space="0" w:color="auto"/>
              <w:bottom w:val="single" w:sz="12" w:space="0" w:color="auto"/>
            </w:tcBorders>
            <w:vAlign w:val="center"/>
          </w:tcPr>
          <w:p w14:paraId="460F256F"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2045</w:t>
            </w:r>
          </w:p>
        </w:tc>
        <w:tc>
          <w:tcPr>
            <w:tcW w:w="708" w:type="dxa"/>
            <w:tcBorders>
              <w:top w:val="single" w:sz="12" w:space="0" w:color="auto"/>
              <w:bottom w:val="single" w:sz="12" w:space="0" w:color="auto"/>
            </w:tcBorders>
            <w:vAlign w:val="center"/>
          </w:tcPr>
          <w:p w14:paraId="4E1BEFDC"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2050</w:t>
            </w:r>
          </w:p>
        </w:tc>
      </w:tr>
      <w:tr w:rsidR="00FA6B6D" w:rsidRPr="00FA6B6D" w14:paraId="4FA807D8" w14:textId="77777777" w:rsidTr="00FA6B6D">
        <w:trPr>
          <w:trHeight w:val="360"/>
          <w:jc w:val="center"/>
        </w:trPr>
        <w:tc>
          <w:tcPr>
            <w:tcW w:w="2833" w:type="dxa"/>
            <w:tcBorders>
              <w:top w:val="single" w:sz="12" w:space="0" w:color="auto"/>
            </w:tcBorders>
            <w:shd w:val="clear" w:color="auto" w:fill="D9D9D9"/>
            <w:vAlign w:val="center"/>
          </w:tcPr>
          <w:p w14:paraId="0E16A8EB" w14:textId="77777777" w:rsidR="00FA6B6D" w:rsidRPr="00FA6B6D" w:rsidRDefault="00FA6B6D" w:rsidP="00FA6B6D">
            <w:pPr>
              <w:widowControl/>
              <w:jc w:val="left"/>
              <w:rPr>
                <w:rFonts w:ascii="Times New Roman" w:eastAsia="等线" w:hAnsi="Times New Roman" w:cs="Times New Roman"/>
                <w:sz w:val="21"/>
                <w:szCs w:val="21"/>
              </w:rPr>
            </w:pPr>
            <w:r w:rsidRPr="00FA6B6D">
              <w:rPr>
                <w:rFonts w:ascii="Times New Roman" w:eastAsia="等线" w:hAnsi="Times New Roman" w:cs="Times New Roman"/>
                <w:sz w:val="21"/>
                <w:szCs w:val="21"/>
              </w:rPr>
              <w:t>This study</w:t>
            </w:r>
          </w:p>
        </w:tc>
        <w:tc>
          <w:tcPr>
            <w:tcW w:w="709" w:type="dxa"/>
            <w:tcBorders>
              <w:top w:val="single" w:sz="12" w:space="0" w:color="auto"/>
            </w:tcBorders>
            <w:shd w:val="clear" w:color="auto" w:fill="D9D9D9"/>
            <w:vAlign w:val="center"/>
          </w:tcPr>
          <w:p w14:paraId="165AF4B9"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5.64</w:t>
            </w:r>
          </w:p>
        </w:tc>
        <w:tc>
          <w:tcPr>
            <w:tcW w:w="709" w:type="dxa"/>
            <w:tcBorders>
              <w:top w:val="single" w:sz="12" w:space="0" w:color="auto"/>
            </w:tcBorders>
            <w:shd w:val="clear" w:color="auto" w:fill="D9D9D9"/>
            <w:vAlign w:val="center"/>
          </w:tcPr>
          <w:p w14:paraId="3A6B1D45"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7.70</w:t>
            </w:r>
          </w:p>
        </w:tc>
        <w:tc>
          <w:tcPr>
            <w:tcW w:w="636" w:type="dxa"/>
            <w:tcBorders>
              <w:top w:val="single" w:sz="12" w:space="0" w:color="auto"/>
            </w:tcBorders>
            <w:shd w:val="clear" w:color="auto" w:fill="D9D9D9"/>
            <w:vAlign w:val="center"/>
          </w:tcPr>
          <w:p w14:paraId="3A4EC585"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8.91</w:t>
            </w:r>
          </w:p>
        </w:tc>
        <w:tc>
          <w:tcPr>
            <w:tcW w:w="783" w:type="dxa"/>
            <w:tcBorders>
              <w:top w:val="single" w:sz="12" w:space="0" w:color="auto"/>
            </w:tcBorders>
            <w:shd w:val="clear" w:color="auto" w:fill="D9D9D9"/>
            <w:vAlign w:val="center"/>
          </w:tcPr>
          <w:p w14:paraId="7AFC56E8"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10.30</w:t>
            </w:r>
          </w:p>
        </w:tc>
        <w:tc>
          <w:tcPr>
            <w:tcW w:w="709" w:type="dxa"/>
            <w:tcBorders>
              <w:top w:val="single" w:sz="12" w:space="0" w:color="auto"/>
            </w:tcBorders>
            <w:shd w:val="clear" w:color="auto" w:fill="D9D9D9"/>
            <w:vAlign w:val="center"/>
          </w:tcPr>
          <w:p w14:paraId="3D9EE915"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10.92</w:t>
            </w:r>
          </w:p>
        </w:tc>
        <w:tc>
          <w:tcPr>
            <w:tcW w:w="709" w:type="dxa"/>
            <w:tcBorders>
              <w:top w:val="single" w:sz="12" w:space="0" w:color="auto"/>
            </w:tcBorders>
            <w:shd w:val="clear" w:color="auto" w:fill="D9D9D9"/>
            <w:vAlign w:val="center"/>
          </w:tcPr>
          <w:p w14:paraId="1460AC90"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11.57</w:t>
            </w:r>
          </w:p>
        </w:tc>
        <w:tc>
          <w:tcPr>
            <w:tcW w:w="709" w:type="dxa"/>
            <w:tcBorders>
              <w:top w:val="single" w:sz="12" w:space="0" w:color="auto"/>
            </w:tcBorders>
            <w:shd w:val="clear" w:color="auto" w:fill="D9D9D9"/>
            <w:vAlign w:val="center"/>
          </w:tcPr>
          <w:p w14:paraId="5BC8D34C"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12.26</w:t>
            </w:r>
          </w:p>
        </w:tc>
        <w:tc>
          <w:tcPr>
            <w:tcW w:w="708" w:type="dxa"/>
            <w:tcBorders>
              <w:top w:val="single" w:sz="12" w:space="0" w:color="auto"/>
            </w:tcBorders>
            <w:shd w:val="clear" w:color="auto" w:fill="D9D9D9"/>
            <w:vAlign w:val="center"/>
          </w:tcPr>
          <w:p w14:paraId="425EF349"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13.00</w:t>
            </w:r>
          </w:p>
        </w:tc>
      </w:tr>
      <w:tr w:rsidR="00FA6B6D" w:rsidRPr="00FA6B6D" w14:paraId="1AA5F50C" w14:textId="77777777" w:rsidTr="00FA6B6D">
        <w:trPr>
          <w:trHeight w:val="360"/>
          <w:jc w:val="center"/>
        </w:trPr>
        <w:tc>
          <w:tcPr>
            <w:tcW w:w="2833" w:type="dxa"/>
            <w:vMerge w:val="restart"/>
            <w:vAlign w:val="center"/>
          </w:tcPr>
          <w:p w14:paraId="7C41B884" w14:textId="77777777" w:rsidR="00FA6B6D" w:rsidRPr="00FA6B6D" w:rsidRDefault="00FA6B6D" w:rsidP="00FA6B6D">
            <w:pPr>
              <w:widowControl/>
              <w:jc w:val="left"/>
              <w:rPr>
                <w:rFonts w:ascii="Times New Roman" w:eastAsia="等线" w:hAnsi="Times New Roman" w:cs="Times New Roman"/>
                <w:sz w:val="21"/>
                <w:szCs w:val="21"/>
              </w:rPr>
            </w:pPr>
            <w:r w:rsidRPr="00FA6B6D">
              <w:rPr>
                <w:rFonts w:ascii="Times New Roman" w:eastAsia="等线" w:hAnsi="Times New Roman" w:cs="Times New Roman" w:hint="eastAsia"/>
                <w:sz w:val="21"/>
                <w:szCs w:val="21"/>
              </w:rPr>
              <w:t>State Grid Energy Research Institute Co. Ltd. (2018)</w:t>
            </w:r>
          </w:p>
        </w:tc>
        <w:tc>
          <w:tcPr>
            <w:tcW w:w="709" w:type="dxa"/>
            <w:vAlign w:val="center"/>
          </w:tcPr>
          <w:p w14:paraId="00509200"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5.70</w:t>
            </w:r>
          </w:p>
        </w:tc>
        <w:tc>
          <w:tcPr>
            <w:tcW w:w="709" w:type="dxa"/>
            <w:vAlign w:val="center"/>
          </w:tcPr>
          <w:p w14:paraId="2DFDA8CC"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7.50</w:t>
            </w:r>
          </w:p>
        </w:tc>
        <w:tc>
          <w:tcPr>
            <w:tcW w:w="636" w:type="dxa"/>
            <w:vAlign w:val="center"/>
          </w:tcPr>
          <w:p w14:paraId="774166AF"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9.10</w:t>
            </w:r>
          </w:p>
        </w:tc>
        <w:tc>
          <w:tcPr>
            <w:tcW w:w="783" w:type="dxa"/>
            <w:vAlign w:val="center"/>
          </w:tcPr>
          <w:p w14:paraId="230D483A"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10.30</w:t>
            </w:r>
          </w:p>
        </w:tc>
        <w:tc>
          <w:tcPr>
            <w:tcW w:w="709" w:type="dxa"/>
            <w:vAlign w:val="center"/>
          </w:tcPr>
          <w:p w14:paraId="4F98AE43"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10.90</w:t>
            </w:r>
          </w:p>
        </w:tc>
        <w:tc>
          <w:tcPr>
            <w:tcW w:w="709" w:type="dxa"/>
            <w:vAlign w:val="center"/>
          </w:tcPr>
          <w:p w14:paraId="2F622E56"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11.60</w:t>
            </w:r>
          </w:p>
        </w:tc>
        <w:tc>
          <w:tcPr>
            <w:tcW w:w="709" w:type="dxa"/>
            <w:vAlign w:val="center"/>
          </w:tcPr>
          <w:p w14:paraId="64986598"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12.00</w:t>
            </w:r>
          </w:p>
        </w:tc>
        <w:tc>
          <w:tcPr>
            <w:tcW w:w="708" w:type="dxa"/>
            <w:vAlign w:val="center"/>
          </w:tcPr>
          <w:p w14:paraId="457E5594"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12.40</w:t>
            </w:r>
          </w:p>
        </w:tc>
      </w:tr>
      <w:tr w:rsidR="00FA6B6D" w:rsidRPr="00FA6B6D" w14:paraId="65DE375A" w14:textId="77777777" w:rsidTr="00FA6B6D">
        <w:trPr>
          <w:trHeight w:val="360"/>
          <w:jc w:val="center"/>
        </w:trPr>
        <w:tc>
          <w:tcPr>
            <w:tcW w:w="2833" w:type="dxa"/>
            <w:vMerge/>
            <w:vAlign w:val="center"/>
          </w:tcPr>
          <w:p w14:paraId="6BB67E83" w14:textId="77777777" w:rsidR="00FA6B6D" w:rsidRPr="00FA6B6D" w:rsidRDefault="00FA6B6D" w:rsidP="00FA6B6D">
            <w:pPr>
              <w:widowControl/>
              <w:jc w:val="left"/>
              <w:rPr>
                <w:rFonts w:ascii="Times New Roman" w:eastAsia="等线" w:hAnsi="Times New Roman" w:cs="Times New Roman"/>
                <w:sz w:val="21"/>
                <w:szCs w:val="21"/>
              </w:rPr>
            </w:pPr>
          </w:p>
        </w:tc>
        <w:tc>
          <w:tcPr>
            <w:tcW w:w="709" w:type="dxa"/>
            <w:vAlign w:val="center"/>
          </w:tcPr>
          <w:p w14:paraId="5320476C"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5.70</w:t>
            </w:r>
          </w:p>
        </w:tc>
        <w:tc>
          <w:tcPr>
            <w:tcW w:w="709" w:type="dxa"/>
            <w:vAlign w:val="center"/>
          </w:tcPr>
          <w:p w14:paraId="1860E05D"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7.70</w:t>
            </w:r>
          </w:p>
        </w:tc>
        <w:tc>
          <w:tcPr>
            <w:tcW w:w="636" w:type="dxa"/>
            <w:vAlign w:val="center"/>
          </w:tcPr>
          <w:p w14:paraId="578C195D"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9.50</w:t>
            </w:r>
          </w:p>
        </w:tc>
        <w:tc>
          <w:tcPr>
            <w:tcW w:w="783" w:type="dxa"/>
            <w:vAlign w:val="center"/>
          </w:tcPr>
          <w:p w14:paraId="34B5ECDD"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11.10</w:t>
            </w:r>
          </w:p>
        </w:tc>
        <w:tc>
          <w:tcPr>
            <w:tcW w:w="709" w:type="dxa"/>
            <w:vAlign w:val="center"/>
          </w:tcPr>
          <w:p w14:paraId="424C993A"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12.10</w:t>
            </w:r>
          </w:p>
        </w:tc>
        <w:tc>
          <w:tcPr>
            <w:tcW w:w="709" w:type="dxa"/>
            <w:vAlign w:val="center"/>
          </w:tcPr>
          <w:p w14:paraId="0F9F0FBA"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12.80</w:t>
            </w:r>
          </w:p>
        </w:tc>
        <w:tc>
          <w:tcPr>
            <w:tcW w:w="709" w:type="dxa"/>
            <w:vAlign w:val="center"/>
          </w:tcPr>
          <w:p w14:paraId="642B1B40"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13.50</w:t>
            </w:r>
          </w:p>
        </w:tc>
        <w:tc>
          <w:tcPr>
            <w:tcW w:w="708" w:type="dxa"/>
            <w:vAlign w:val="center"/>
          </w:tcPr>
          <w:p w14:paraId="64C1476E"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13.90</w:t>
            </w:r>
          </w:p>
        </w:tc>
      </w:tr>
      <w:tr w:rsidR="00FA6B6D" w:rsidRPr="00FA6B6D" w14:paraId="150DBCED" w14:textId="77777777" w:rsidTr="00FA6B6D">
        <w:trPr>
          <w:trHeight w:val="360"/>
          <w:jc w:val="center"/>
        </w:trPr>
        <w:tc>
          <w:tcPr>
            <w:tcW w:w="2833" w:type="dxa"/>
            <w:vAlign w:val="center"/>
          </w:tcPr>
          <w:p w14:paraId="18FE6338" w14:textId="77777777" w:rsidR="00FA6B6D" w:rsidRPr="00FA6B6D" w:rsidRDefault="00FA6B6D" w:rsidP="00FA6B6D">
            <w:pPr>
              <w:widowControl/>
              <w:jc w:val="left"/>
              <w:rPr>
                <w:rFonts w:ascii="Times New Roman" w:eastAsia="等线" w:hAnsi="Times New Roman" w:cs="Times New Roman"/>
                <w:sz w:val="21"/>
                <w:szCs w:val="21"/>
              </w:rPr>
            </w:pPr>
            <w:r w:rsidRPr="00FA6B6D">
              <w:rPr>
                <w:rFonts w:ascii="Times New Roman" w:eastAsia="等线" w:hAnsi="Times New Roman" w:cs="Times New Roman" w:hint="eastAsia"/>
                <w:sz w:val="21"/>
                <w:szCs w:val="21"/>
              </w:rPr>
              <w:t>China Electric Power Planning &amp; Engineering Institute (2018)</w:t>
            </w:r>
          </w:p>
        </w:tc>
        <w:tc>
          <w:tcPr>
            <w:tcW w:w="709" w:type="dxa"/>
            <w:vAlign w:val="center"/>
          </w:tcPr>
          <w:p w14:paraId="723127EB"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vAlign w:val="center"/>
          </w:tcPr>
          <w:p w14:paraId="62D554A3"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7.40</w:t>
            </w:r>
          </w:p>
        </w:tc>
        <w:tc>
          <w:tcPr>
            <w:tcW w:w="636" w:type="dxa"/>
            <w:vAlign w:val="center"/>
          </w:tcPr>
          <w:p w14:paraId="2D1CCB35" w14:textId="77777777" w:rsidR="00FA6B6D" w:rsidRPr="00FA6B6D" w:rsidRDefault="00FA6B6D" w:rsidP="00FA6B6D">
            <w:pPr>
              <w:widowControl/>
              <w:jc w:val="center"/>
              <w:rPr>
                <w:rFonts w:ascii="Times New Roman" w:eastAsia="等线" w:hAnsi="Times New Roman" w:cs="Times New Roman"/>
                <w:sz w:val="21"/>
                <w:szCs w:val="21"/>
              </w:rPr>
            </w:pPr>
          </w:p>
        </w:tc>
        <w:tc>
          <w:tcPr>
            <w:tcW w:w="783" w:type="dxa"/>
            <w:vAlign w:val="center"/>
          </w:tcPr>
          <w:p w14:paraId="44AC6980"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vAlign w:val="center"/>
          </w:tcPr>
          <w:p w14:paraId="255824A6"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10.5-11.1</w:t>
            </w:r>
          </w:p>
        </w:tc>
        <w:tc>
          <w:tcPr>
            <w:tcW w:w="709" w:type="dxa"/>
            <w:vAlign w:val="center"/>
          </w:tcPr>
          <w:p w14:paraId="4182C348"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vAlign w:val="center"/>
          </w:tcPr>
          <w:p w14:paraId="508A65DD" w14:textId="77777777" w:rsidR="00FA6B6D" w:rsidRPr="00FA6B6D" w:rsidRDefault="00FA6B6D" w:rsidP="00FA6B6D">
            <w:pPr>
              <w:widowControl/>
              <w:jc w:val="center"/>
              <w:rPr>
                <w:rFonts w:ascii="Times New Roman" w:eastAsia="等线" w:hAnsi="Times New Roman" w:cs="Times New Roman"/>
                <w:sz w:val="21"/>
                <w:szCs w:val="21"/>
              </w:rPr>
            </w:pPr>
          </w:p>
        </w:tc>
        <w:tc>
          <w:tcPr>
            <w:tcW w:w="708" w:type="dxa"/>
            <w:vAlign w:val="center"/>
          </w:tcPr>
          <w:p w14:paraId="6872BEC7"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11.3-12.5</w:t>
            </w:r>
          </w:p>
        </w:tc>
      </w:tr>
      <w:tr w:rsidR="00FA6B6D" w:rsidRPr="00FA6B6D" w14:paraId="1E69B1D2" w14:textId="77777777" w:rsidTr="00FA6B6D">
        <w:trPr>
          <w:trHeight w:val="360"/>
          <w:jc w:val="center"/>
        </w:trPr>
        <w:tc>
          <w:tcPr>
            <w:tcW w:w="2833" w:type="dxa"/>
            <w:vAlign w:val="center"/>
          </w:tcPr>
          <w:p w14:paraId="4B158166" w14:textId="77777777" w:rsidR="00FA6B6D" w:rsidRPr="00FA6B6D" w:rsidRDefault="00FA6B6D" w:rsidP="00FA6B6D">
            <w:pPr>
              <w:widowControl/>
              <w:jc w:val="left"/>
              <w:rPr>
                <w:rFonts w:ascii="Times New Roman" w:eastAsia="等线" w:hAnsi="Times New Roman" w:cs="Times New Roman"/>
                <w:sz w:val="21"/>
                <w:szCs w:val="21"/>
              </w:rPr>
            </w:pPr>
            <w:r w:rsidRPr="00FA6B6D">
              <w:rPr>
                <w:rFonts w:ascii="Times New Roman" w:eastAsia="等线" w:hAnsi="Times New Roman" w:cs="Times New Roman"/>
                <w:sz w:val="21"/>
                <w:szCs w:val="21"/>
              </w:rPr>
              <w:t>Shan, et al. (2015)</w:t>
            </w:r>
          </w:p>
        </w:tc>
        <w:tc>
          <w:tcPr>
            <w:tcW w:w="709" w:type="dxa"/>
            <w:vAlign w:val="center"/>
          </w:tcPr>
          <w:p w14:paraId="131213D4"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5.89</w:t>
            </w:r>
          </w:p>
        </w:tc>
        <w:tc>
          <w:tcPr>
            <w:tcW w:w="709" w:type="dxa"/>
            <w:vAlign w:val="center"/>
          </w:tcPr>
          <w:p w14:paraId="378F6377"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7.65-8.45</w:t>
            </w:r>
          </w:p>
        </w:tc>
        <w:tc>
          <w:tcPr>
            <w:tcW w:w="636" w:type="dxa"/>
            <w:vAlign w:val="center"/>
          </w:tcPr>
          <w:p w14:paraId="12E78F98" w14:textId="77777777" w:rsidR="00FA6B6D" w:rsidRPr="00FA6B6D" w:rsidRDefault="00FA6B6D" w:rsidP="00FA6B6D">
            <w:pPr>
              <w:widowControl/>
              <w:jc w:val="center"/>
              <w:rPr>
                <w:rFonts w:ascii="Times New Roman" w:eastAsia="等线" w:hAnsi="Times New Roman" w:cs="Times New Roman"/>
                <w:sz w:val="21"/>
                <w:szCs w:val="21"/>
              </w:rPr>
            </w:pPr>
          </w:p>
        </w:tc>
        <w:tc>
          <w:tcPr>
            <w:tcW w:w="783" w:type="dxa"/>
            <w:vAlign w:val="center"/>
          </w:tcPr>
          <w:p w14:paraId="587C7902"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10.03-11.75</w:t>
            </w:r>
          </w:p>
        </w:tc>
        <w:tc>
          <w:tcPr>
            <w:tcW w:w="709" w:type="dxa"/>
            <w:vAlign w:val="center"/>
          </w:tcPr>
          <w:p w14:paraId="3A3B23CF"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vAlign w:val="center"/>
          </w:tcPr>
          <w:p w14:paraId="09D98D20"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vAlign w:val="center"/>
          </w:tcPr>
          <w:p w14:paraId="7A07BEB1" w14:textId="77777777" w:rsidR="00FA6B6D" w:rsidRPr="00FA6B6D" w:rsidRDefault="00FA6B6D" w:rsidP="00FA6B6D">
            <w:pPr>
              <w:widowControl/>
              <w:jc w:val="center"/>
              <w:rPr>
                <w:rFonts w:ascii="Times New Roman" w:eastAsia="等线" w:hAnsi="Times New Roman" w:cs="Times New Roman"/>
                <w:sz w:val="21"/>
                <w:szCs w:val="21"/>
              </w:rPr>
            </w:pPr>
          </w:p>
        </w:tc>
        <w:tc>
          <w:tcPr>
            <w:tcW w:w="708" w:type="dxa"/>
            <w:vAlign w:val="center"/>
          </w:tcPr>
          <w:p w14:paraId="162B83BD" w14:textId="77777777" w:rsidR="00FA6B6D" w:rsidRPr="00FA6B6D" w:rsidRDefault="00FA6B6D" w:rsidP="00FA6B6D">
            <w:pPr>
              <w:widowControl/>
              <w:jc w:val="center"/>
              <w:rPr>
                <w:rFonts w:ascii="Times New Roman" w:eastAsia="等线" w:hAnsi="Times New Roman" w:cs="Times New Roman"/>
                <w:sz w:val="21"/>
                <w:szCs w:val="21"/>
              </w:rPr>
            </w:pPr>
          </w:p>
        </w:tc>
      </w:tr>
      <w:tr w:rsidR="00FA6B6D" w:rsidRPr="00FA6B6D" w14:paraId="2B40ECE4" w14:textId="77777777" w:rsidTr="00FA6B6D">
        <w:trPr>
          <w:trHeight w:val="360"/>
          <w:jc w:val="center"/>
        </w:trPr>
        <w:tc>
          <w:tcPr>
            <w:tcW w:w="2833" w:type="dxa"/>
            <w:vAlign w:val="center"/>
          </w:tcPr>
          <w:p w14:paraId="57D775B1" w14:textId="77777777" w:rsidR="00FA6B6D" w:rsidRPr="00FA6B6D" w:rsidRDefault="00FA6B6D" w:rsidP="00FA6B6D">
            <w:pPr>
              <w:widowControl/>
              <w:jc w:val="left"/>
              <w:rPr>
                <w:rFonts w:ascii="Times New Roman" w:eastAsia="等线" w:hAnsi="Times New Roman" w:cs="Times New Roman"/>
                <w:sz w:val="21"/>
                <w:szCs w:val="21"/>
              </w:rPr>
            </w:pPr>
            <w:r w:rsidRPr="00FA6B6D">
              <w:rPr>
                <w:rFonts w:ascii="Times New Roman" w:eastAsia="等线" w:hAnsi="Times New Roman" w:cs="Times New Roman"/>
                <w:sz w:val="21"/>
                <w:szCs w:val="21"/>
              </w:rPr>
              <w:t>Zhou, et al. (2013)</w:t>
            </w:r>
          </w:p>
        </w:tc>
        <w:tc>
          <w:tcPr>
            <w:tcW w:w="709" w:type="dxa"/>
            <w:vAlign w:val="center"/>
          </w:tcPr>
          <w:p w14:paraId="7FCAEE2C"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vAlign w:val="center"/>
          </w:tcPr>
          <w:p w14:paraId="27201D40" w14:textId="77777777" w:rsidR="00FA6B6D" w:rsidRPr="00FA6B6D" w:rsidRDefault="00FA6B6D" w:rsidP="00FA6B6D">
            <w:pPr>
              <w:widowControl/>
              <w:jc w:val="center"/>
              <w:rPr>
                <w:rFonts w:ascii="Times New Roman" w:eastAsia="等线" w:hAnsi="Times New Roman" w:cs="Times New Roman"/>
                <w:sz w:val="21"/>
                <w:szCs w:val="21"/>
              </w:rPr>
            </w:pPr>
          </w:p>
        </w:tc>
        <w:tc>
          <w:tcPr>
            <w:tcW w:w="636" w:type="dxa"/>
            <w:vAlign w:val="center"/>
          </w:tcPr>
          <w:p w14:paraId="160EDF1E" w14:textId="77777777" w:rsidR="00FA6B6D" w:rsidRPr="00FA6B6D" w:rsidRDefault="00FA6B6D" w:rsidP="00FA6B6D">
            <w:pPr>
              <w:widowControl/>
              <w:jc w:val="center"/>
              <w:rPr>
                <w:rFonts w:ascii="Times New Roman" w:eastAsia="等线" w:hAnsi="Times New Roman" w:cs="Times New Roman"/>
                <w:sz w:val="21"/>
                <w:szCs w:val="21"/>
              </w:rPr>
            </w:pPr>
          </w:p>
        </w:tc>
        <w:tc>
          <w:tcPr>
            <w:tcW w:w="783" w:type="dxa"/>
            <w:vAlign w:val="center"/>
          </w:tcPr>
          <w:p w14:paraId="53924495"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7.83</w:t>
            </w:r>
          </w:p>
        </w:tc>
        <w:tc>
          <w:tcPr>
            <w:tcW w:w="709" w:type="dxa"/>
            <w:vAlign w:val="center"/>
          </w:tcPr>
          <w:p w14:paraId="2D5DFB4C"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vAlign w:val="center"/>
          </w:tcPr>
          <w:p w14:paraId="097E4D0F"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vAlign w:val="center"/>
          </w:tcPr>
          <w:p w14:paraId="4D5EDFA3" w14:textId="77777777" w:rsidR="00FA6B6D" w:rsidRPr="00FA6B6D" w:rsidRDefault="00FA6B6D" w:rsidP="00FA6B6D">
            <w:pPr>
              <w:widowControl/>
              <w:jc w:val="center"/>
              <w:rPr>
                <w:rFonts w:ascii="Times New Roman" w:eastAsia="等线" w:hAnsi="Times New Roman" w:cs="Times New Roman"/>
                <w:sz w:val="21"/>
                <w:szCs w:val="21"/>
              </w:rPr>
            </w:pPr>
          </w:p>
        </w:tc>
        <w:tc>
          <w:tcPr>
            <w:tcW w:w="708" w:type="dxa"/>
            <w:vAlign w:val="center"/>
          </w:tcPr>
          <w:p w14:paraId="4BB649FB"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9.10</w:t>
            </w:r>
          </w:p>
        </w:tc>
      </w:tr>
      <w:tr w:rsidR="00FA6B6D" w:rsidRPr="00FA6B6D" w14:paraId="1A40A45A" w14:textId="77777777" w:rsidTr="00FA6B6D">
        <w:trPr>
          <w:trHeight w:val="360"/>
          <w:jc w:val="center"/>
        </w:trPr>
        <w:tc>
          <w:tcPr>
            <w:tcW w:w="2833" w:type="dxa"/>
            <w:tcBorders>
              <w:bottom w:val="single" w:sz="12" w:space="0" w:color="auto"/>
            </w:tcBorders>
            <w:vAlign w:val="center"/>
          </w:tcPr>
          <w:p w14:paraId="74CC9DF9" w14:textId="77777777" w:rsidR="00FA6B6D" w:rsidRPr="00FA6B6D" w:rsidRDefault="00FA6B6D" w:rsidP="00FA6B6D">
            <w:pPr>
              <w:widowControl/>
              <w:jc w:val="left"/>
              <w:rPr>
                <w:rFonts w:ascii="Times New Roman" w:eastAsia="等线" w:hAnsi="Times New Roman" w:cs="Times New Roman"/>
                <w:sz w:val="21"/>
                <w:szCs w:val="21"/>
              </w:rPr>
            </w:pPr>
            <w:r w:rsidRPr="00FA6B6D">
              <w:rPr>
                <w:rFonts w:ascii="Times New Roman" w:eastAsia="等线" w:hAnsi="Times New Roman" w:cs="Times New Roman"/>
                <w:sz w:val="21"/>
                <w:szCs w:val="21"/>
              </w:rPr>
              <w:t>Xu, et al. (2012)</w:t>
            </w:r>
          </w:p>
        </w:tc>
        <w:tc>
          <w:tcPr>
            <w:tcW w:w="709" w:type="dxa"/>
            <w:tcBorders>
              <w:bottom w:val="single" w:sz="12" w:space="0" w:color="auto"/>
            </w:tcBorders>
            <w:vAlign w:val="center"/>
          </w:tcPr>
          <w:p w14:paraId="68D54DAB"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5.94-6.07</w:t>
            </w:r>
          </w:p>
        </w:tc>
        <w:tc>
          <w:tcPr>
            <w:tcW w:w="709" w:type="dxa"/>
            <w:tcBorders>
              <w:bottom w:val="single" w:sz="12" w:space="0" w:color="auto"/>
            </w:tcBorders>
            <w:vAlign w:val="center"/>
          </w:tcPr>
          <w:p w14:paraId="5A118ED5"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7.41-7.73</w:t>
            </w:r>
          </w:p>
        </w:tc>
        <w:tc>
          <w:tcPr>
            <w:tcW w:w="636" w:type="dxa"/>
            <w:tcBorders>
              <w:bottom w:val="single" w:sz="12" w:space="0" w:color="auto"/>
            </w:tcBorders>
            <w:vAlign w:val="center"/>
          </w:tcPr>
          <w:p w14:paraId="6EA168ED" w14:textId="77777777" w:rsidR="00FA6B6D" w:rsidRPr="00FA6B6D" w:rsidRDefault="00FA6B6D" w:rsidP="00FA6B6D">
            <w:pPr>
              <w:widowControl/>
              <w:jc w:val="center"/>
              <w:rPr>
                <w:rFonts w:ascii="Times New Roman" w:eastAsia="等线" w:hAnsi="Times New Roman" w:cs="Times New Roman"/>
                <w:sz w:val="21"/>
                <w:szCs w:val="21"/>
              </w:rPr>
            </w:pPr>
          </w:p>
        </w:tc>
        <w:tc>
          <w:tcPr>
            <w:tcW w:w="783" w:type="dxa"/>
            <w:tcBorders>
              <w:bottom w:val="single" w:sz="12" w:space="0" w:color="auto"/>
            </w:tcBorders>
            <w:vAlign w:val="center"/>
          </w:tcPr>
          <w:p w14:paraId="41434D59" w14:textId="77777777" w:rsidR="00FA6B6D" w:rsidRPr="00FA6B6D" w:rsidRDefault="00FA6B6D" w:rsidP="00FA6B6D">
            <w:pPr>
              <w:widowControl/>
              <w:jc w:val="center"/>
              <w:rPr>
                <w:rFonts w:ascii="Times New Roman" w:eastAsia="等线" w:hAnsi="Times New Roman" w:cs="Times New Roman"/>
                <w:sz w:val="21"/>
                <w:szCs w:val="21"/>
              </w:rPr>
            </w:pPr>
            <w:r w:rsidRPr="00FA6B6D">
              <w:rPr>
                <w:rFonts w:ascii="Times New Roman" w:eastAsia="等线" w:hAnsi="Times New Roman" w:cs="Times New Roman"/>
                <w:sz w:val="21"/>
                <w:szCs w:val="21"/>
              </w:rPr>
              <w:t>9.48-9.84</w:t>
            </w:r>
          </w:p>
        </w:tc>
        <w:tc>
          <w:tcPr>
            <w:tcW w:w="709" w:type="dxa"/>
            <w:tcBorders>
              <w:bottom w:val="single" w:sz="12" w:space="0" w:color="auto"/>
            </w:tcBorders>
            <w:vAlign w:val="center"/>
          </w:tcPr>
          <w:p w14:paraId="4DFB35E9"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tcBorders>
              <w:bottom w:val="single" w:sz="12" w:space="0" w:color="auto"/>
            </w:tcBorders>
            <w:vAlign w:val="center"/>
          </w:tcPr>
          <w:p w14:paraId="394FF8AC" w14:textId="77777777" w:rsidR="00FA6B6D" w:rsidRPr="00FA6B6D" w:rsidRDefault="00FA6B6D" w:rsidP="00FA6B6D">
            <w:pPr>
              <w:widowControl/>
              <w:jc w:val="center"/>
              <w:rPr>
                <w:rFonts w:ascii="Times New Roman" w:eastAsia="等线" w:hAnsi="Times New Roman" w:cs="Times New Roman"/>
                <w:sz w:val="21"/>
                <w:szCs w:val="21"/>
              </w:rPr>
            </w:pPr>
          </w:p>
        </w:tc>
        <w:tc>
          <w:tcPr>
            <w:tcW w:w="709" w:type="dxa"/>
            <w:tcBorders>
              <w:bottom w:val="single" w:sz="12" w:space="0" w:color="auto"/>
            </w:tcBorders>
            <w:vAlign w:val="center"/>
          </w:tcPr>
          <w:p w14:paraId="4C03ADD5" w14:textId="77777777" w:rsidR="00FA6B6D" w:rsidRPr="00FA6B6D" w:rsidRDefault="00FA6B6D" w:rsidP="00FA6B6D">
            <w:pPr>
              <w:widowControl/>
              <w:jc w:val="center"/>
              <w:rPr>
                <w:rFonts w:ascii="Times New Roman" w:eastAsia="等线" w:hAnsi="Times New Roman" w:cs="Times New Roman"/>
                <w:sz w:val="21"/>
                <w:szCs w:val="21"/>
              </w:rPr>
            </w:pPr>
          </w:p>
        </w:tc>
        <w:tc>
          <w:tcPr>
            <w:tcW w:w="708" w:type="dxa"/>
            <w:tcBorders>
              <w:bottom w:val="single" w:sz="12" w:space="0" w:color="auto"/>
            </w:tcBorders>
            <w:vAlign w:val="center"/>
          </w:tcPr>
          <w:p w14:paraId="4430ABEE" w14:textId="77777777" w:rsidR="00FA6B6D" w:rsidRPr="00FA6B6D" w:rsidRDefault="00FA6B6D" w:rsidP="00FA6B6D">
            <w:pPr>
              <w:widowControl/>
              <w:jc w:val="center"/>
              <w:rPr>
                <w:rFonts w:ascii="Times New Roman" w:eastAsia="等线" w:hAnsi="Times New Roman" w:cs="Times New Roman"/>
                <w:sz w:val="21"/>
                <w:szCs w:val="21"/>
              </w:rPr>
            </w:pPr>
          </w:p>
        </w:tc>
      </w:tr>
    </w:tbl>
    <w:p w14:paraId="58AD7512" w14:textId="0BFC5002" w:rsidR="00EB2BCC" w:rsidRPr="00860067" w:rsidRDefault="00FA6B6D" w:rsidP="00860067">
      <w:pPr>
        <w:adjustRightInd w:val="0"/>
        <w:snapToGrid w:val="0"/>
        <w:spacing w:before="240" w:line="288" w:lineRule="auto"/>
        <w:rPr>
          <w:rFonts w:ascii="Arial" w:eastAsia="等线" w:hAnsi="Arial" w:cs="Arial"/>
          <w:sz w:val="24"/>
          <w:szCs w:val="28"/>
          <w14:ligatures w14:val="none"/>
        </w:rPr>
      </w:pPr>
      <w:r w:rsidRPr="00FA6B6D">
        <w:rPr>
          <w:rFonts w:ascii="Arial" w:eastAsia="等线" w:hAnsi="Arial" w:cs="Arial" w:hint="eastAsia"/>
          <w:szCs w:val="21"/>
        </w:rPr>
        <w:t>In the baseline scenario, t</w:t>
      </w:r>
      <w:r w:rsidRPr="00FA6B6D">
        <w:rPr>
          <w:rFonts w:ascii="Arial" w:eastAsia="等线" w:hAnsi="Arial" w:cs="Arial"/>
          <w:szCs w:val="21"/>
        </w:rPr>
        <w:t>he electricity demand in 2030 and 2050 is estimated to be 10.3 and 13.0 thousand TWh, respectively. The demand in other years is calculated according to the average growth rate. Compared with the results of other studies, the similar increasing trend demonstrates the validity and accuracy of our estimation of China’s electricity demand.</w:t>
      </w:r>
    </w:p>
    <w:sectPr w:rsidR="00EB2BCC" w:rsidRPr="00860067" w:rsidSect="00FA6B6D">
      <w:footerReference w:type="even" r:id="rId15"/>
      <w:footerReference w:type="default" r:id="rId16"/>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C7410" w14:textId="77777777" w:rsidR="0074665C" w:rsidRDefault="0074665C" w:rsidP="00FB565A">
      <w:pPr>
        <w:rPr>
          <w:rFonts w:hint="eastAsia"/>
        </w:rPr>
      </w:pPr>
      <w:r>
        <w:separator/>
      </w:r>
    </w:p>
  </w:endnote>
  <w:endnote w:type="continuationSeparator" w:id="0">
    <w:p w14:paraId="1424B023" w14:textId="77777777" w:rsidR="0074665C" w:rsidRDefault="0074665C" w:rsidP="00FB565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ardingText-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9"/>
      </w:rPr>
      <w:id w:val="-659535233"/>
    </w:sdtPr>
    <w:sdtContent>
      <w:p w14:paraId="0345C5B7" w14:textId="77777777" w:rsidR="0081553A" w:rsidRDefault="00000000">
        <w:pPr>
          <w:pStyle w:val="a5"/>
          <w:framePr w:wrap="auto" w:vAnchor="text" w:hAnchor="margin" w:xAlign="center" w:y="1"/>
          <w:rPr>
            <w:rStyle w:val="a9"/>
            <w:rFonts w:hint="eastAsia"/>
          </w:rPr>
        </w:pPr>
        <w:r>
          <w:rPr>
            <w:rStyle w:val="a9"/>
          </w:rPr>
          <w:fldChar w:fldCharType="begin"/>
        </w:r>
        <w:r>
          <w:rPr>
            <w:rStyle w:val="a9"/>
          </w:rPr>
          <w:instrText xml:space="preserve"> PAGE </w:instrText>
        </w:r>
        <w:r>
          <w:rPr>
            <w:rStyle w:val="a9"/>
          </w:rPr>
          <w:fldChar w:fldCharType="separate"/>
        </w:r>
        <w:r>
          <w:rPr>
            <w:rStyle w:val="a9"/>
          </w:rPr>
          <w:t>1</w:t>
        </w:r>
        <w:r>
          <w:rPr>
            <w:rStyle w:val="a9"/>
          </w:rPr>
          <w:fldChar w:fldCharType="end"/>
        </w:r>
      </w:p>
    </w:sdtContent>
  </w:sdt>
  <w:p w14:paraId="26BEBCA6" w14:textId="77777777" w:rsidR="0081553A" w:rsidRDefault="0081553A">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9"/>
      </w:rPr>
      <w:id w:val="-834223953"/>
    </w:sdtPr>
    <w:sdtContent>
      <w:p w14:paraId="0CE5FC30" w14:textId="77777777" w:rsidR="0081553A" w:rsidRDefault="00000000">
        <w:pPr>
          <w:pStyle w:val="a5"/>
          <w:framePr w:wrap="auto" w:vAnchor="text" w:hAnchor="margin" w:xAlign="center" w:y="1"/>
          <w:rPr>
            <w:rStyle w:val="a9"/>
            <w:rFonts w:hint="eastAsia"/>
          </w:rPr>
        </w:pPr>
        <w:r>
          <w:rPr>
            <w:rStyle w:val="a9"/>
          </w:rPr>
          <w:fldChar w:fldCharType="begin"/>
        </w:r>
        <w:r>
          <w:rPr>
            <w:rStyle w:val="a9"/>
          </w:rPr>
          <w:instrText xml:space="preserve"> PAGE </w:instrText>
        </w:r>
        <w:r>
          <w:rPr>
            <w:rStyle w:val="a9"/>
          </w:rPr>
          <w:fldChar w:fldCharType="separate"/>
        </w:r>
        <w:r>
          <w:rPr>
            <w:rStyle w:val="a9"/>
          </w:rPr>
          <w:t>9</w:t>
        </w:r>
        <w:r>
          <w:rPr>
            <w:rStyle w:val="a9"/>
          </w:rPr>
          <w:fldChar w:fldCharType="end"/>
        </w:r>
      </w:p>
    </w:sdtContent>
  </w:sdt>
  <w:p w14:paraId="6E087050" w14:textId="77777777" w:rsidR="0081553A" w:rsidRDefault="0081553A">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6D958" w14:textId="77777777" w:rsidR="0074665C" w:rsidRDefault="0074665C" w:rsidP="00FB565A">
      <w:pPr>
        <w:rPr>
          <w:rFonts w:hint="eastAsia"/>
        </w:rPr>
      </w:pPr>
      <w:r>
        <w:separator/>
      </w:r>
    </w:p>
  </w:footnote>
  <w:footnote w:type="continuationSeparator" w:id="0">
    <w:p w14:paraId="7D0562F2" w14:textId="77777777" w:rsidR="0074665C" w:rsidRDefault="0074665C" w:rsidP="00FB565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D4478"/>
    <w:multiLevelType w:val="hybridMultilevel"/>
    <w:tmpl w:val="BF943816"/>
    <w:lvl w:ilvl="0" w:tplc="469E90C0">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E7E3588"/>
    <w:multiLevelType w:val="hybridMultilevel"/>
    <w:tmpl w:val="ADAC1E86"/>
    <w:lvl w:ilvl="0" w:tplc="469E90C0">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66929322">
    <w:abstractNumId w:val="0"/>
  </w:num>
  <w:num w:numId="2" w16cid:durableId="240142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p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77325"/>
    <w:rsid w:val="000B3851"/>
    <w:rsid w:val="000C6BDB"/>
    <w:rsid w:val="000F655A"/>
    <w:rsid w:val="00107DC6"/>
    <w:rsid w:val="00167F53"/>
    <w:rsid w:val="001851B6"/>
    <w:rsid w:val="001A633D"/>
    <w:rsid w:val="00230907"/>
    <w:rsid w:val="002D06BF"/>
    <w:rsid w:val="002F41CF"/>
    <w:rsid w:val="00396FCA"/>
    <w:rsid w:val="0042692C"/>
    <w:rsid w:val="004850A1"/>
    <w:rsid w:val="004A20E5"/>
    <w:rsid w:val="004B6FB2"/>
    <w:rsid w:val="00585740"/>
    <w:rsid w:val="00663B54"/>
    <w:rsid w:val="006B6091"/>
    <w:rsid w:val="00701EF4"/>
    <w:rsid w:val="0074665C"/>
    <w:rsid w:val="0075243D"/>
    <w:rsid w:val="007626CD"/>
    <w:rsid w:val="007C4E2D"/>
    <w:rsid w:val="0081553A"/>
    <w:rsid w:val="00832A48"/>
    <w:rsid w:val="00860067"/>
    <w:rsid w:val="00890D11"/>
    <w:rsid w:val="00947CB2"/>
    <w:rsid w:val="009770AF"/>
    <w:rsid w:val="009D034A"/>
    <w:rsid w:val="00A30669"/>
    <w:rsid w:val="00A3251A"/>
    <w:rsid w:val="00A60FA9"/>
    <w:rsid w:val="00BA5134"/>
    <w:rsid w:val="00C13406"/>
    <w:rsid w:val="00CC6AC7"/>
    <w:rsid w:val="00D31373"/>
    <w:rsid w:val="00DD0BF5"/>
    <w:rsid w:val="00E47B4A"/>
    <w:rsid w:val="00E77325"/>
    <w:rsid w:val="00EA368E"/>
    <w:rsid w:val="00EB1312"/>
    <w:rsid w:val="00EB2BCC"/>
    <w:rsid w:val="00ED5B24"/>
    <w:rsid w:val="00F01887"/>
    <w:rsid w:val="00FA6B6D"/>
    <w:rsid w:val="00FB565A"/>
    <w:rsid w:val="00FC13CD"/>
    <w:rsid w:val="00FC36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62ED3"/>
  <w15:chartTrackingRefBased/>
  <w15:docId w15:val="{D049638A-918B-4B85-BD70-F733FB3BA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565A"/>
    <w:pPr>
      <w:tabs>
        <w:tab w:val="center" w:pos="4153"/>
        <w:tab w:val="right" w:pos="8306"/>
      </w:tabs>
      <w:snapToGrid w:val="0"/>
      <w:jc w:val="center"/>
    </w:pPr>
    <w:rPr>
      <w:sz w:val="18"/>
      <w:szCs w:val="18"/>
    </w:rPr>
  </w:style>
  <w:style w:type="character" w:customStyle="1" w:styleId="a4">
    <w:name w:val="页眉 字符"/>
    <w:basedOn w:val="a0"/>
    <w:link w:val="a3"/>
    <w:uiPriority w:val="99"/>
    <w:rsid w:val="00FB565A"/>
    <w:rPr>
      <w:sz w:val="18"/>
      <w:szCs w:val="18"/>
    </w:rPr>
  </w:style>
  <w:style w:type="paragraph" w:styleId="a5">
    <w:name w:val="footer"/>
    <w:basedOn w:val="a"/>
    <w:link w:val="a6"/>
    <w:uiPriority w:val="99"/>
    <w:unhideWhenUsed/>
    <w:rsid w:val="00FB565A"/>
    <w:pPr>
      <w:tabs>
        <w:tab w:val="center" w:pos="4153"/>
        <w:tab w:val="right" w:pos="8306"/>
      </w:tabs>
      <w:snapToGrid w:val="0"/>
      <w:jc w:val="left"/>
    </w:pPr>
    <w:rPr>
      <w:sz w:val="18"/>
      <w:szCs w:val="18"/>
    </w:rPr>
  </w:style>
  <w:style w:type="character" w:customStyle="1" w:styleId="a6">
    <w:name w:val="页脚 字符"/>
    <w:basedOn w:val="a0"/>
    <w:link w:val="a5"/>
    <w:uiPriority w:val="99"/>
    <w:rsid w:val="00FB565A"/>
    <w:rPr>
      <w:sz w:val="18"/>
      <w:szCs w:val="18"/>
    </w:rPr>
  </w:style>
  <w:style w:type="character" w:customStyle="1" w:styleId="fontstyle01">
    <w:name w:val="fontstyle01"/>
    <w:basedOn w:val="a0"/>
    <w:rsid w:val="00396FCA"/>
    <w:rPr>
      <w:rFonts w:ascii="HardingText-Regular" w:hAnsi="HardingText-Regular" w:hint="default"/>
      <w:b w:val="0"/>
      <w:bCs w:val="0"/>
      <w:i w:val="0"/>
      <w:iCs w:val="0"/>
      <w:color w:val="000000"/>
      <w:sz w:val="14"/>
      <w:szCs w:val="14"/>
    </w:rPr>
  </w:style>
  <w:style w:type="paragraph" w:styleId="a7">
    <w:name w:val="List Paragraph"/>
    <w:basedOn w:val="a"/>
    <w:uiPriority w:val="34"/>
    <w:qFormat/>
    <w:rsid w:val="007C4E2D"/>
    <w:pPr>
      <w:ind w:firstLineChars="200" w:firstLine="420"/>
    </w:pPr>
  </w:style>
  <w:style w:type="table" w:styleId="a8">
    <w:name w:val="Table Grid"/>
    <w:basedOn w:val="a1"/>
    <w:uiPriority w:val="39"/>
    <w:rsid w:val="000B3851"/>
    <w:rPr>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ED5B2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ED5B24"/>
    <w:rPr>
      <w:rFonts w:ascii="等线" w:eastAsia="等线" w:hAnsi="等线"/>
      <w:noProof/>
      <w:sz w:val="20"/>
    </w:rPr>
  </w:style>
  <w:style w:type="paragraph" w:customStyle="1" w:styleId="EndNoteBibliography">
    <w:name w:val="EndNote Bibliography"/>
    <w:basedOn w:val="a"/>
    <w:link w:val="EndNoteBibliography0"/>
    <w:rsid w:val="00ED5B24"/>
    <w:rPr>
      <w:rFonts w:ascii="等线" w:eastAsia="等线" w:hAnsi="等线"/>
      <w:noProof/>
      <w:sz w:val="20"/>
    </w:rPr>
  </w:style>
  <w:style w:type="character" w:customStyle="1" w:styleId="EndNoteBibliography0">
    <w:name w:val="EndNote Bibliography 字符"/>
    <w:basedOn w:val="a0"/>
    <w:link w:val="EndNoteBibliography"/>
    <w:rsid w:val="00ED5B24"/>
    <w:rPr>
      <w:rFonts w:ascii="等线" w:eastAsia="等线" w:hAnsi="等线"/>
      <w:noProof/>
      <w:sz w:val="20"/>
    </w:rPr>
  </w:style>
  <w:style w:type="character" w:styleId="a9">
    <w:name w:val="page number"/>
    <w:basedOn w:val="a0"/>
    <w:uiPriority w:val="99"/>
    <w:semiHidden/>
    <w:unhideWhenUsed/>
    <w:qFormat/>
    <w:rsid w:val="00FA6B6D"/>
  </w:style>
  <w:style w:type="table" w:customStyle="1" w:styleId="3">
    <w:name w:val="网格型3"/>
    <w:basedOn w:val="a1"/>
    <w:uiPriority w:val="39"/>
    <w:qFormat/>
    <w:rsid w:val="00FA6B6D"/>
    <w:rPr>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FA6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6</Pages>
  <Words>640</Words>
  <Characters>3651</Characters>
  <Application>Microsoft Office Word</Application>
  <DocSecurity>0</DocSecurity>
  <Lines>30</Lines>
  <Paragraphs>8</Paragraphs>
  <ScaleCrop>false</ScaleCrop>
  <Company/>
  <LinksUpToDate>false</LinksUpToDate>
  <CharactersWithSpaces>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Hongyang Zou</dc:creator>
  <cp:keywords/>
  <dc:description/>
  <cp:lastModifiedBy>Hongyang Zou</cp:lastModifiedBy>
  <cp:revision>12</cp:revision>
  <dcterms:created xsi:type="dcterms:W3CDTF">2024-05-18T02:36:00Z</dcterms:created>
  <dcterms:modified xsi:type="dcterms:W3CDTF">2024-09-11T16:04:00Z</dcterms:modified>
</cp:coreProperties>
</file>