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956753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  <w:r w:rsidRPr="00B2586D">
        <w:rPr>
          <w:rFonts w:ascii="Arial" w:hAnsi="Arial" w:cs="Arial"/>
          <w:b/>
          <w:bCs/>
          <w:noProof/>
        </w:rPr>
        <w:drawing>
          <wp:inline distT="0" distB="0" distL="0" distR="0" wp14:anchorId="6509CA0D" wp14:editId="439953E0">
            <wp:extent cx="5410200" cy="2946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9CF84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428AD83D" w14:textId="77777777" w:rsidR="00946D3D" w:rsidRDefault="00946D3D" w:rsidP="00946D3D">
      <w:pPr>
        <w:spacing w:line="360" w:lineRule="auto"/>
        <w:rPr>
          <w:rFonts w:ascii="Arial" w:hAnsi="Arial" w:cs="Arial"/>
        </w:rPr>
      </w:pPr>
      <w:r w:rsidRPr="005D103C">
        <w:rPr>
          <w:rFonts w:ascii="Arial" w:hAnsi="Arial" w:cs="Arial"/>
          <w:b/>
          <w:bCs/>
        </w:rPr>
        <w:t xml:space="preserve">Supplemental Figure 1: </w:t>
      </w:r>
      <w:r w:rsidRPr="005D103C">
        <w:rPr>
          <w:rFonts w:ascii="Arial" w:hAnsi="Arial" w:cs="Arial"/>
        </w:rPr>
        <w:t xml:space="preserve">Burned and controls mice infected with </w:t>
      </w:r>
      <w:r w:rsidRPr="005D103C">
        <w:rPr>
          <w:rFonts w:ascii="Arial" w:hAnsi="Arial" w:cs="Arial"/>
          <w:i/>
          <w:iCs/>
        </w:rPr>
        <w:t>ΔodsAB</w:t>
      </w:r>
      <w:r w:rsidRPr="005D103C">
        <w:rPr>
          <w:rFonts w:ascii="Arial" w:hAnsi="Arial" w:cs="Arial"/>
        </w:rPr>
        <w:t xml:space="preserve"> exhibited reduced skin colonization compared to WT PAO1, along with impaired dissemination to both the spleen and liver. Statistical analyses were performed using a two-tailed Student’s t-test.</w:t>
      </w:r>
    </w:p>
    <w:p w14:paraId="63967B78" w14:textId="77777777" w:rsidR="00946D3D" w:rsidRDefault="00946D3D" w:rsidP="00946D3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F0B863C" w14:textId="77777777" w:rsidR="00946D3D" w:rsidRDefault="00946D3D" w:rsidP="00946D3D">
      <w:pPr>
        <w:spacing w:line="360" w:lineRule="auto"/>
        <w:rPr>
          <w:rFonts w:ascii="Arial" w:hAnsi="Arial" w:cs="Arial"/>
          <w:b/>
          <w:bCs/>
        </w:rPr>
      </w:pPr>
      <w:r w:rsidRPr="005D103C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C339B94" wp14:editId="12E4697D">
            <wp:simplePos x="0" y="0"/>
            <wp:positionH relativeFrom="column">
              <wp:posOffset>2339340</wp:posOffset>
            </wp:positionH>
            <wp:positionV relativeFrom="paragraph">
              <wp:posOffset>0</wp:posOffset>
            </wp:positionV>
            <wp:extent cx="1470025" cy="1957070"/>
            <wp:effectExtent l="0" t="0" r="3175" b="0"/>
            <wp:wrapSquare wrapText="bothSides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F2B6BE56-CFCA-FA4F-9F3D-8C32077D25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F2B6BE56-CFCA-FA4F-9F3D-8C32077D25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2964E5" w14:textId="77777777" w:rsidR="00946D3D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07106868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1B820EA3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6778472C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0C4F5986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5B2A2ACB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7BB881AA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70534161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4500125C" w14:textId="77777777" w:rsidR="00946D3D" w:rsidRDefault="00946D3D" w:rsidP="00946D3D">
      <w:pPr>
        <w:spacing w:line="360" w:lineRule="auto"/>
        <w:rPr>
          <w:rFonts w:ascii="Arial" w:hAnsi="Arial" w:cs="Arial"/>
        </w:rPr>
      </w:pPr>
      <w:r w:rsidRPr="005D103C">
        <w:rPr>
          <w:rFonts w:ascii="Arial" w:hAnsi="Arial" w:cs="Arial"/>
          <w:b/>
          <w:bCs/>
        </w:rPr>
        <w:t xml:space="preserve">Supplemental Figure 2: </w:t>
      </w:r>
      <w:r w:rsidRPr="005D103C">
        <w:rPr>
          <w:rFonts w:ascii="Arial" w:hAnsi="Arial" w:cs="Arial"/>
        </w:rPr>
        <w:t xml:space="preserve">An </w:t>
      </w:r>
      <w:r w:rsidRPr="005D103C">
        <w:rPr>
          <w:rFonts w:ascii="Arial" w:hAnsi="Arial" w:cs="Arial"/>
          <w:i/>
          <w:iCs/>
        </w:rPr>
        <w:t>in vitro</w:t>
      </w:r>
      <w:r w:rsidRPr="005D103C">
        <w:rPr>
          <w:rFonts w:ascii="Arial" w:hAnsi="Arial" w:cs="Arial"/>
        </w:rPr>
        <w:t xml:space="preserve"> trans-well assay measuring the ability of an equal number of bacteria to cross a confluent monolayer of vascular endothelial cells in the presence or absence of oleic acid. Statistical analyses were performed using a two-tailed Student’s t-test.</w:t>
      </w:r>
    </w:p>
    <w:p w14:paraId="2ECD3175" w14:textId="77777777" w:rsidR="00946D3D" w:rsidRDefault="00946D3D" w:rsidP="00946D3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0EF2DC6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  <w:r w:rsidRPr="005D103C">
        <w:rPr>
          <w:rFonts w:ascii="Arial" w:hAnsi="Arial" w:cs="Arial"/>
          <w:noProof/>
        </w:rPr>
        <w:lastRenderedPageBreak/>
        <w:t xml:space="preserve"> </w:t>
      </w:r>
      <w:r w:rsidRPr="005D103C">
        <w:rPr>
          <w:rFonts w:ascii="Arial" w:hAnsi="Arial" w:cs="Arial"/>
          <w:noProof/>
        </w:rPr>
        <w:drawing>
          <wp:inline distT="0" distB="0" distL="0" distR="0" wp14:anchorId="5FAFA977" wp14:editId="710517E3">
            <wp:extent cx="5943600" cy="2184400"/>
            <wp:effectExtent l="0" t="0" r="0" b="0"/>
            <wp:docPr id="1347322833" name="Picture 1" descr="A close-up of several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322833" name="Picture 1" descr="A close-up of several image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BB75B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36760144" w14:textId="77777777" w:rsidR="00946D3D" w:rsidRDefault="00946D3D" w:rsidP="00946D3D">
      <w:pPr>
        <w:spacing w:line="360" w:lineRule="auto"/>
        <w:rPr>
          <w:rFonts w:ascii="Arial" w:hAnsi="Arial" w:cs="Arial"/>
        </w:rPr>
      </w:pPr>
      <w:r w:rsidRPr="005D103C">
        <w:rPr>
          <w:rFonts w:ascii="Arial" w:hAnsi="Arial" w:cs="Arial"/>
          <w:b/>
          <w:bCs/>
        </w:rPr>
        <w:t>Supplemental Figure 3: Production of a mouse OdsA polyclonal antibody.</w:t>
      </w:r>
      <w:r w:rsidRPr="005D103C">
        <w:rPr>
          <w:rFonts w:ascii="Arial" w:hAnsi="Arial" w:cs="Arial"/>
        </w:rPr>
        <w:t xml:space="preserve"> A) OdsA tagged with histidine (His-tag) was cloned into the pet23a vector and subsequently overexpressed in </w:t>
      </w:r>
      <w:r w:rsidRPr="005D103C">
        <w:rPr>
          <w:rFonts w:ascii="Arial" w:hAnsi="Arial" w:cs="Arial"/>
          <w:i/>
          <w:iCs/>
        </w:rPr>
        <w:t>E. coli</w:t>
      </w:r>
      <w:r w:rsidRPr="005D103C">
        <w:rPr>
          <w:rFonts w:ascii="Arial" w:hAnsi="Arial" w:cs="Arial"/>
        </w:rPr>
        <w:t xml:space="preserve"> strain BL21. Lane a represents the uninduced control, while lane b shows the IPTG-induced samples.</w:t>
      </w:r>
      <w:r>
        <w:rPr>
          <w:rFonts w:ascii="Arial" w:hAnsi="Arial" w:cs="Arial"/>
        </w:rPr>
        <w:t xml:space="preserve"> Numbers represent hours post-induction</w:t>
      </w:r>
      <w:r w:rsidRPr="005D103C">
        <w:rPr>
          <w:rFonts w:ascii="Arial" w:hAnsi="Arial" w:cs="Arial"/>
        </w:rPr>
        <w:t xml:space="preserve"> B) OdsA-His was then purified using a His-trap column. C) A western blot analysis showed that serum obtained from mice infected with purified OdsA specifically recognized OdsA in the supernatant of PAO1 but not in the </w:t>
      </w:r>
      <w:r w:rsidRPr="005D103C">
        <w:rPr>
          <w:rFonts w:ascii="Arial" w:hAnsi="Arial" w:cs="Arial"/>
          <w:i/>
          <w:iCs/>
        </w:rPr>
        <w:t>ΔodsAB</w:t>
      </w:r>
      <w:r w:rsidRPr="005D103C">
        <w:rPr>
          <w:rFonts w:ascii="Arial" w:hAnsi="Arial" w:cs="Arial"/>
        </w:rPr>
        <w:t xml:space="preserve"> strain.</w:t>
      </w:r>
    </w:p>
    <w:p w14:paraId="681B540F" w14:textId="77777777" w:rsidR="00946D3D" w:rsidRDefault="00946D3D" w:rsidP="00946D3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B74B2CA" w14:textId="77777777" w:rsidR="00946D3D" w:rsidRDefault="00946D3D" w:rsidP="00946D3D">
      <w:pPr>
        <w:spacing w:line="360" w:lineRule="auto"/>
        <w:rPr>
          <w:rFonts w:ascii="Arial" w:hAnsi="Arial" w:cs="Arial"/>
        </w:rPr>
      </w:pPr>
    </w:p>
    <w:p w14:paraId="46FBEC70" w14:textId="77777777" w:rsidR="00946D3D" w:rsidRPr="005D103C" w:rsidRDefault="00946D3D" w:rsidP="00946D3D">
      <w:pPr>
        <w:spacing w:line="360" w:lineRule="auto"/>
        <w:rPr>
          <w:rFonts w:ascii="Arial" w:hAnsi="Arial" w:cs="Arial"/>
        </w:rPr>
      </w:pPr>
    </w:p>
    <w:p w14:paraId="49AA64AC" w14:textId="77777777" w:rsidR="00946D3D" w:rsidRPr="005D103C" w:rsidRDefault="00946D3D" w:rsidP="00946D3D">
      <w:pPr>
        <w:spacing w:line="360" w:lineRule="auto"/>
        <w:rPr>
          <w:rFonts w:ascii="Arial" w:hAnsi="Arial" w:cs="Arial"/>
        </w:rPr>
      </w:pPr>
    </w:p>
    <w:p w14:paraId="28E4E81D" w14:textId="77777777" w:rsidR="00946D3D" w:rsidRPr="005D103C" w:rsidRDefault="00946D3D" w:rsidP="00946D3D">
      <w:pPr>
        <w:spacing w:line="360" w:lineRule="auto"/>
        <w:rPr>
          <w:rFonts w:ascii="Arial" w:hAnsi="Arial" w:cs="Arial"/>
        </w:rPr>
      </w:pPr>
      <w:r w:rsidRPr="005D103C">
        <w:rPr>
          <w:rFonts w:ascii="Arial" w:hAnsi="Arial" w:cs="Arial"/>
          <w:noProof/>
        </w:rPr>
        <w:drawing>
          <wp:inline distT="0" distB="0" distL="0" distR="0" wp14:anchorId="6B72619D" wp14:editId="1E17B182">
            <wp:extent cx="5943600" cy="14509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103C" w:rsidDel="000B6EF6">
        <w:rPr>
          <w:rFonts w:ascii="Arial" w:hAnsi="Arial" w:cs="Arial"/>
        </w:rPr>
        <w:t xml:space="preserve"> </w:t>
      </w:r>
    </w:p>
    <w:p w14:paraId="70A95AE7" w14:textId="77777777" w:rsidR="00946D3D" w:rsidRPr="005D103C" w:rsidRDefault="00946D3D" w:rsidP="00946D3D">
      <w:pPr>
        <w:spacing w:line="360" w:lineRule="auto"/>
        <w:rPr>
          <w:rFonts w:ascii="Arial" w:hAnsi="Arial" w:cs="Arial"/>
          <w:b/>
          <w:bCs/>
        </w:rPr>
      </w:pPr>
    </w:p>
    <w:p w14:paraId="2C113CDE" w14:textId="77777777" w:rsidR="00946D3D" w:rsidRPr="005D103C" w:rsidRDefault="00946D3D" w:rsidP="00946D3D">
      <w:pPr>
        <w:spacing w:line="360" w:lineRule="auto"/>
        <w:rPr>
          <w:rFonts w:ascii="Arial" w:hAnsi="Arial" w:cs="Arial"/>
        </w:rPr>
      </w:pPr>
      <w:r w:rsidRPr="005D103C">
        <w:rPr>
          <w:rFonts w:ascii="Arial" w:hAnsi="Arial" w:cs="Arial"/>
          <w:b/>
          <w:bCs/>
        </w:rPr>
        <w:t xml:space="preserve">Supplemental Figure </w:t>
      </w:r>
      <w:r>
        <w:rPr>
          <w:rFonts w:ascii="Arial" w:hAnsi="Arial" w:cs="Arial"/>
          <w:b/>
          <w:bCs/>
        </w:rPr>
        <w:t>4</w:t>
      </w:r>
      <w:r w:rsidRPr="005D103C">
        <w:rPr>
          <w:rFonts w:ascii="Arial" w:hAnsi="Arial" w:cs="Arial"/>
          <w:b/>
          <w:bCs/>
        </w:rPr>
        <w:t>: Structure of AB012 compound and dose inhibition results.</w:t>
      </w:r>
      <w:r w:rsidRPr="005D103C">
        <w:rPr>
          <w:rFonts w:ascii="Arial" w:hAnsi="Arial" w:cs="Arial"/>
        </w:rPr>
        <w:t xml:space="preserve"> A) The chemical structure of the AB12 compound is illustrated. B) Graph depicting the dose inhibition results, where various concentrations of AB12 were tested for their inhibitory effects.</w:t>
      </w:r>
    </w:p>
    <w:p w14:paraId="1C9C4AD4" w14:textId="6C2120F9" w:rsidR="00755780" w:rsidRPr="00946D3D" w:rsidRDefault="00755780">
      <w:pPr>
        <w:rPr>
          <w:rFonts w:ascii="Arial" w:hAnsi="Arial" w:cs="Arial"/>
        </w:rPr>
      </w:pPr>
    </w:p>
    <w:sectPr w:rsidR="00755780" w:rsidRPr="00946D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D3D"/>
    <w:rsid w:val="00331A6B"/>
    <w:rsid w:val="00755780"/>
    <w:rsid w:val="00857596"/>
    <w:rsid w:val="00946D3D"/>
    <w:rsid w:val="00C1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0D2F0"/>
  <w15:chartTrackingRefBased/>
  <w15:docId w15:val="{5BDCDE20-3D54-4BEE-BDBE-300FCC6EF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D3D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D3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D3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D3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D3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D3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D3D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D3D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D3D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D3D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D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D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D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D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D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D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D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D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D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D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46D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D3D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46D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D3D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46D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D3D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46D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D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D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D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209</Words>
  <Characters>1194</Characters>
  <Application>Microsoft Office Word</Application>
  <DocSecurity>0</DocSecurity>
  <Lines>9</Lines>
  <Paragraphs>2</Paragraphs>
  <ScaleCrop>false</ScaleCrop>
  <Company>Springer Nature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2024-09-25T06:54:00Z</dcterms:created>
  <dcterms:modified xsi:type="dcterms:W3CDTF">2024-09-25T06:54:00Z</dcterms:modified>
</cp:coreProperties>
</file>