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82D544" w14:textId="4C088408" w:rsidR="00A132EE" w:rsidRDefault="00000000" w:rsidP="001C342E">
      <w:pPr>
        <w:jc w:val="center"/>
        <w:rPr>
          <w:rStyle w:val="10"/>
          <w:bCs w:val="0"/>
        </w:rPr>
      </w:pPr>
      <w:r>
        <w:rPr>
          <w:rStyle w:val="10"/>
        </w:rPr>
        <w:t>Supplementary</w:t>
      </w:r>
      <w:r w:rsidR="00E356E3">
        <w:rPr>
          <w:rStyle w:val="10"/>
          <w:rFonts w:hint="eastAsia"/>
          <w:bCs w:val="0"/>
        </w:rPr>
        <w:t xml:space="preserve"> </w:t>
      </w:r>
      <w:r w:rsidR="00E356E3">
        <w:rPr>
          <w:rStyle w:val="10"/>
          <w:bCs w:val="0"/>
        </w:rPr>
        <w:t>Information</w:t>
      </w:r>
      <w:r w:rsidR="00FA0EDE">
        <w:rPr>
          <w:rStyle w:val="10"/>
          <w:rFonts w:hint="eastAsia"/>
          <w:bCs w:val="0"/>
        </w:rPr>
        <w:t xml:space="preserve"> (</w:t>
      </w:r>
      <w:r w:rsidR="00FA0EDE" w:rsidRPr="00FA0EDE">
        <w:rPr>
          <w:rStyle w:val="10"/>
          <w:rFonts w:hint="eastAsia"/>
          <w:bCs w:val="0"/>
          <w:i/>
          <w:iCs/>
        </w:rPr>
        <w:t>SI)</w:t>
      </w:r>
    </w:p>
    <w:p w14:paraId="10F03202" w14:textId="2096ED47" w:rsidR="00F975C2" w:rsidRDefault="00FC2E54" w:rsidP="000B33DF">
      <w:pPr>
        <w:pStyle w:val="2"/>
        <w:numPr>
          <w:ilvl w:val="0"/>
          <w:numId w:val="1"/>
        </w:numPr>
      </w:pPr>
      <w:r w:rsidRPr="00FC2E54">
        <w:t>Study area and economic sub-divisions</w:t>
      </w:r>
    </w:p>
    <w:p w14:paraId="6FC6BAD7" w14:textId="33EB4D0C" w:rsidR="00A132EE" w:rsidRDefault="00856E91" w:rsidP="000B33DF">
      <w:r w:rsidRPr="00856E91">
        <w:rPr>
          <w:noProof/>
        </w:rPr>
        <w:drawing>
          <wp:inline distT="0" distB="0" distL="0" distR="0" wp14:anchorId="64F78293" wp14:editId="69E62918">
            <wp:extent cx="5274310" cy="2841625"/>
            <wp:effectExtent l="0" t="0" r="2540" b="0"/>
            <wp:docPr id="17" name="图片 16">
              <a:extLst xmlns:a="http://schemas.openxmlformats.org/drawingml/2006/main">
                <a:ext uri="{FF2B5EF4-FFF2-40B4-BE49-F238E27FC236}">
                  <a16:creationId xmlns:a16="http://schemas.microsoft.com/office/drawing/2014/main" id="{0486EC61-E0EE-C8B8-6019-38767F3F37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0486EC61-E0EE-C8B8-6019-38767F3F3797}"/>
                        </a:ext>
                      </a:extLst>
                    </pic:cNvPr>
                    <pic:cNvPicPr>
                      <a:picLocks noChangeAspect="1"/>
                    </pic:cNvPicPr>
                  </pic:nvPicPr>
                  <pic:blipFill>
                    <a:blip r:embed="rId8"/>
                    <a:stretch>
                      <a:fillRect/>
                    </a:stretch>
                  </pic:blipFill>
                  <pic:spPr>
                    <a:xfrm>
                      <a:off x="0" y="0"/>
                      <a:ext cx="5274310" cy="2841625"/>
                    </a:xfrm>
                    <a:prstGeom prst="rect">
                      <a:avLst/>
                    </a:prstGeom>
                  </pic:spPr>
                </pic:pic>
              </a:graphicData>
            </a:graphic>
          </wp:inline>
        </w:drawing>
      </w:r>
    </w:p>
    <w:p w14:paraId="35FAB627" w14:textId="3681C84A" w:rsidR="00A132EE" w:rsidRDefault="00FC2E54" w:rsidP="000B33DF">
      <w:pPr>
        <w:rPr>
          <w:bCs/>
        </w:rPr>
      </w:pPr>
      <w:r w:rsidRPr="00FC2E54">
        <w:rPr>
          <w:b/>
          <w:bCs/>
        </w:rPr>
        <w:t>Figure S1 Study areas.</w:t>
      </w:r>
      <w:r w:rsidRPr="00FC2E54">
        <w:t xml:space="preserve"> The boundaries in different colors indicate the six geographic regions according to physical geography and regional characteristics; the various shades of gray fill in the economic regions according to the World Bank's income grouping criteria for economies.</w:t>
      </w:r>
    </w:p>
    <w:p w14:paraId="2C089DF2" w14:textId="48B40C59" w:rsidR="00A132EE" w:rsidRPr="00FA0EDE" w:rsidRDefault="00856E91" w:rsidP="000B33DF">
      <w:pPr>
        <w:rPr>
          <w:rStyle w:val="10"/>
          <w:b w:val="0"/>
          <w:bCs w:val="0"/>
        </w:rPr>
      </w:pPr>
      <w:r w:rsidRPr="00FA0EDE">
        <w:rPr>
          <w:rFonts w:hint="eastAsia"/>
        </w:rPr>
        <w:t xml:space="preserve">Table S1 </w:t>
      </w:r>
      <w:r w:rsidR="00FC2E54" w:rsidRPr="00FA0EDE">
        <w:t>Economic divisions based on World Bank income grouping criteria for economies</w:t>
      </w:r>
      <w:r w:rsidR="001F0D95" w:rsidRPr="00FA0EDE">
        <w:rPr>
          <w:noProof/>
        </w:rPr>
        <w:t xml:space="preserve"> </w:t>
      </w:r>
    </w:p>
    <w:tbl>
      <w:tblPr>
        <w:tblStyle w:val="ab"/>
        <w:tblW w:w="0" w:type="auto"/>
        <w:tblLook w:val="04A0" w:firstRow="1" w:lastRow="0" w:firstColumn="1" w:lastColumn="0" w:noHBand="0" w:noVBand="1"/>
      </w:tblPr>
      <w:tblGrid>
        <w:gridCol w:w="4148"/>
        <w:gridCol w:w="4148"/>
      </w:tblGrid>
      <w:tr w:rsidR="00391964" w14:paraId="5C3113B8" w14:textId="77777777" w:rsidTr="000B33DF">
        <w:trPr>
          <w:trHeight w:val="545"/>
        </w:trPr>
        <w:tc>
          <w:tcPr>
            <w:tcW w:w="4148" w:type="dxa"/>
            <w:tcBorders>
              <w:left w:val="nil"/>
              <w:bottom w:val="single" w:sz="4" w:space="0" w:color="auto"/>
              <w:right w:val="nil"/>
            </w:tcBorders>
            <w:shd w:val="clear" w:color="auto" w:fill="D0CECE" w:themeFill="background2" w:themeFillShade="E6"/>
          </w:tcPr>
          <w:p w14:paraId="015E09C1" w14:textId="653D5516" w:rsidR="00391964" w:rsidRPr="00FA0EDE" w:rsidRDefault="00FC2E54" w:rsidP="000B33DF">
            <w:pPr>
              <w:rPr>
                <w:rStyle w:val="10"/>
                <w:b w:val="0"/>
                <w:bCs w:val="0"/>
              </w:rPr>
            </w:pPr>
            <w:r w:rsidRPr="00FA0EDE">
              <w:rPr>
                <w:rFonts w:hint="eastAsia"/>
              </w:rPr>
              <w:t>E</w:t>
            </w:r>
            <w:r w:rsidRPr="00FA0EDE">
              <w:t>conomic subregion</w:t>
            </w:r>
          </w:p>
        </w:tc>
        <w:tc>
          <w:tcPr>
            <w:tcW w:w="4148" w:type="dxa"/>
            <w:tcBorders>
              <w:left w:val="nil"/>
              <w:bottom w:val="single" w:sz="4" w:space="0" w:color="auto"/>
              <w:right w:val="nil"/>
            </w:tcBorders>
            <w:shd w:val="clear" w:color="auto" w:fill="D0CECE" w:themeFill="background2" w:themeFillShade="E6"/>
          </w:tcPr>
          <w:p w14:paraId="0FA8DCF3" w14:textId="6DFCBB95" w:rsidR="00391964" w:rsidRPr="00957443" w:rsidRDefault="00957443" w:rsidP="000B33DF">
            <w:pPr>
              <w:rPr>
                <w:rStyle w:val="10"/>
                <w:bCs w:val="0"/>
              </w:rPr>
            </w:pPr>
            <w:r w:rsidRPr="00957443">
              <w:rPr>
                <w:rStyle w:val="10"/>
                <w:bCs w:val="0"/>
                <w:kern w:val="2"/>
                <w:sz w:val="24"/>
                <w:szCs w:val="24"/>
              </w:rPr>
              <w:t>Criteria for division</w:t>
            </w:r>
          </w:p>
        </w:tc>
      </w:tr>
      <w:tr w:rsidR="00391964" w14:paraId="5EB3CD7D" w14:textId="77777777" w:rsidTr="001F0D95">
        <w:tc>
          <w:tcPr>
            <w:tcW w:w="4148" w:type="dxa"/>
            <w:tcBorders>
              <w:left w:val="nil"/>
              <w:bottom w:val="nil"/>
              <w:right w:val="nil"/>
            </w:tcBorders>
          </w:tcPr>
          <w:p w14:paraId="61CE5D16" w14:textId="270B68C2" w:rsidR="00391964" w:rsidRDefault="00957443" w:rsidP="000B33DF">
            <w:pPr>
              <w:rPr>
                <w:rStyle w:val="10"/>
                <w:bCs w:val="0"/>
              </w:rPr>
            </w:pPr>
            <w:r w:rsidRPr="00957443">
              <w:t>High-income (HI) countries</w:t>
            </w:r>
          </w:p>
        </w:tc>
        <w:tc>
          <w:tcPr>
            <w:tcW w:w="4148" w:type="dxa"/>
            <w:tcBorders>
              <w:left w:val="nil"/>
              <w:bottom w:val="nil"/>
              <w:right w:val="nil"/>
            </w:tcBorders>
          </w:tcPr>
          <w:p w14:paraId="44D5F20E" w14:textId="7AEC5D8C" w:rsidR="00391964" w:rsidRDefault="00957443" w:rsidP="000B33DF">
            <w:pPr>
              <w:rPr>
                <w:rStyle w:val="10"/>
                <w:bCs w:val="0"/>
              </w:rPr>
            </w:pPr>
            <w:r w:rsidRPr="00957443">
              <w:t>GNI per capita &gt; $12,536</w:t>
            </w:r>
          </w:p>
        </w:tc>
      </w:tr>
      <w:tr w:rsidR="00391964" w14:paraId="40382A76" w14:textId="77777777" w:rsidTr="001F0D95">
        <w:tc>
          <w:tcPr>
            <w:tcW w:w="4148" w:type="dxa"/>
            <w:tcBorders>
              <w:top w:val="nil"/>
              <w:left w:val="nil"/>
              <w:bottom w:val="nil"/>
              <w:right w:val="nil"/>
            </w:tcBorders>
          </w:tcPr>
          <w:p w14:paraId="32DF1C69" w14:textId="76920C9E" w:rsidR="00391964" w:rsidRDefault="00957443" w:rsidP="000B33DF">
            <w:pPr>
              <w:rPr>
                <w:rStyle w:val="10"/>
                <w:bCs w:val="0"/>
              </w:rPr>
            </w:pPr>
            <w:r w:rsidRPr="00957443">
              <w:t>Upper middle income (MHI) countries</w:t>
            </w:r>
          </w:p>
        </w:tc>
        <w:tc>
          <w:tcPr>
            <w:tcW w:w="4148" w:type="dxa"/>
            <w:tcBorders>
              <w:top w:val="nil"/>
              <w:left w:val="nil"/>
              <w:bottom w:val="nil"/>
              <w:right w:val="nil"/>
            </w:tcBorders>
          </w:tcPr>
          <w:p w14:paraId="3451C67B" w14:textId="749CCD50" w:rsidR="00391964" w:rsidRDefault="00957443" w:rsidP="000B33DF">
            <w:pPr>
              <w:rPr>
                <w:rStyle w:val="10"/>
                <w:bCs w:val="0"/>
              </w:rPr>
            </w:pPr>
            <w:r w:rsidRPr="00957443">
              <w:t>GNI per capita $4046 - $12,535</w:t>
            </w:r>
          </w:p>
        </w:tc>
      </w:tr>
      <w:tr w:rsidR="00391964" w14:paraId="27528B93" w14:textId="77777777" w:rsidTr="001F0D95">
        <w:tc>
          <w:tcPr>
            <w:tcW w:w="4148" w:type="dxa"/>
            <w:tcBorders>
              <w:top w:val="nil"/>
              <w:left w:val="nil"/>
              <w:bottom w:val="nil"/>
              <w:right w:val="nil"/>
            </w:tcBorders>
          </w:tcPr>
          <w:p w14:paraId="45C1B92C" w14:textId="18AC3D7C" w:rsidR="00391964" w:rsidRDefault="00957443" w:rsidP="000B33DF">
            <w:pPr>
              <w:rPr>
                <w:rStyle w:val="10"/>
                <w:bCs w:val="0"/>
              </w:rPr>
            </w:pPr>
            <w:r w:rsidRPr="00957443">
              <w:t>Lower middle income (MLI) countries</w:t>
            </w:r>
          </w:p>
        </w:tc>
        <w:tc>
          <w:tcPr>
            <w:tcW w:w="4148" w:type="dxa"/>
            <w:tcBorders>
              <w:top w:val="nil"/>
              <w:left w:val="nil"/>
              <w:bottom w:val="nil"/>
              <w:right w:val="nil"/>
            </w:tcBorders>
          </w:tcPr>
          <w:p w14:paraId="33E9B1B0" w14:textId="3E264F2A" w:rsidR="00391964" w:rsidRDefault="00957443" w:rsidP="000B33DF">
            <w:pPr>
              <w:rPr>
                <w:rStyle w:val="10"/>
                <w:bCs w:val="0"/>
              </w:rPr>
            </w:pPr>
            <w:r w:rsidRPr="00957443">
              <w:t>GNI per capita US$ 1036 - 4045</w:t>
            </w:r>
          </w:p>
        </w:tc>
      </w:tr>
      <w:tr w:rsidR="00391964" w14:paraId="512E6277" w14:textId="77777777" w:rsidTr="001F0D95">
        <w:tc>
          <w:tcPr>
            <w:tcW w:w="4148" w:type="dxa"/>
            <w:tcBorders>
              <w:top w:val="nil"/>
              <w:left w:val="nil"/>
              <w:right w:val="nil"/>
            </w:tcBorders>
          </w:tcPr>
          <w:p w14:paraId="24C149B1" w14:textId="1D9405D8" w:rsidR="00391964" w:rsidRDefault="00957443" w:rsidP="000B33DF">
            <w:pPr>
              <w:rPr>
                <w:rStyle w:val="10"/>
                <w:bCs w:val="0"/>
              </w:rPr>
            </w:pPr>
            <w:r w:rsidRPr="00957443">
              <w:t>Low-income (LI) countries</w:t>
            </w:r>
          </w:p>
        </w:tc>
        <w:tc>
          <w:tcPr>
            <w:tcW w:w="4148" w:type="dxa"/>
            <w:tcBorders>
              <w:top w:val="nil"/>
              <w:left w:val="nil"/>
              <w:right w:val="nil"/>
            </w:tcBorders>
          </w:tcPr>
          <w:p w14:paraId="2634C320" w14:textId="2177DE8D" w:rsidR="00391964" w:rsidRDefault="00957443" w:rsidP="000B33DF">
            <w:pPr>
              <w:rPr>
                <w:rStyle w:val="10"/>
                <w:bCs w:val="0"/>
              </w:rPr>
            </w:pPr>
            <w:r w:rsidRPr="00957443">
              <w:t>GNI per capita &lt; $1035</w:t>
            </w:r>
          </w:p>
        </w:tc>
      </w:tr>
    </w:tbl>
    <w:p w14:paraId="46221C45" w14:textId="237B0D13" w:rsidR="006F7380" w:rsidRPr="000B33DF" w:rsidRDefault="000B33DF" w:rsidP="000B33DF">
      <w:pPr>
        <w:rPr>
          <w:rStyle w:val="10"/>
          <w:b w:val="0"/>
          <w:sz w:val="24"/>
          <w:szCs w:val="24"/>
        </w:rPr>
      </w:pPr>
      <w:r w:rsidRPr="000B33DF">
        <w:rPr>
          <w:rStyle w:val="10"/>
          <w:rFonts w:hint="eastAsia"/>
          <w:b w:val="0"/>
          <w:i/>
          <w:iCs/>
          <w:sz w:val="24"/>
          <w:szCs w:val="24"/>
        </w:rPr>
        <w:t>Note:</w:t>
      </w:r>
      <w:r w:rsidRPr="000B33DF">
        <w:rPr>
          <w:b/>
        </w:rPr>
        <w:t xml:space="preserve"> </w:t>
      </w:r>
      <w:r w:rsidRPr="000B33DF">
        <w:rPr>
          <w:rStyle w:val="10"/>
          <w:b w:val="0"/>
          <w:sz w:val="24"/>
          <w:szCs w:val="24"/>
        </w:rPr>
        <w:t xml:space="preserve">GNI stands for </w:t>
      </w:r>
      <w:r>
        <w:rPr>
          <w:rStyle w:val="10"/>
          <w:rFonts w:hint="eastAsia"/>
          <w:b w:val="0"/>
          <w:sz w:val="24"/>
          <w:szCs w:val="24"/>
        </w:rPr>
        <w:t>G</w:t>
      </w:r>
      <w:r w:rsidRPr="000B33DF">
        <w:rPr>
          <w:rStyle w:val="10"/>
          <w:b w:val="0"/>
          <w:sz w:val="24"/>
          <w:szCs w:val="24"/>
        </w:rPr>
        <w:t xml:space="preserve">ross </w:t>
      </w:r>
      <w:r>
        <w:rPr>
          <w:rStyle w:val="10"/>
          <w:rFonts w:hint="eastAsia"/>
          <w:b w:val="0"/>
          <w:sz w:val="24"/>
          <w:szCs w:val="24"/>
        </w:rPr>
        <w:t>N</w:t>
      </w:r>
      <w:r w:rsidRPr="000B33DF">
        <w:rPr>
          <w:rStyle w:val="10"/>
          <w:b w:val="0"/>
          <w:sz w:val="24"/>
          <w:szCs w:val="24"/>
        </w:rPr>
        <w:t xml:space="preserve">ational </w:t>
      </w:r>
      <w:r>
        <w:rPr>
          <w:rStyle w:val="10"/>
          <w:rFonts w:hint="eastAsia"/>
          <w:b w:val="0"/>
          <w:sz w:val="24"/>
          <w:szCs w:val="24"/>
        </w:rPr>
        <w:t>I</w:t>
      </w:r>
      <w:r w:rsidRPr="000B33DF">
        <w:rPr>
          <w:rStyle w:val="10"/>
          <w:b w:val="0"/>
          <w:sz w:val="24"/>
          <w:szCs w:val="24"/>
        </w:rPr>
        <w:t>ncome.</w:t>
      </w:r>
    </w:p>
    <w:p w14:paraId="6C50C0C6" w14:textId="7100599F" w:rsidR="002572C0" w:rsidRPr="002572C0" w:rsidRDefault="002572C0" w:rsidP="000B33DF">
      <w:pPr>
        <w:pStyle w:val="ac"/>
        <w:numPr>
          <w:ilvl w:val="0"/>
          <w:numId w:val="1"/>
        </w:numPr>
        <w:ind w:firstLineChars="0"/>
        <w:rPr>
          <w:rStyle w:val="10"/>
          <w:bCs w:val="0"/>
          <w:sz w:val="32"/>
        </w:rPr>
      </w:pPr>
      <w:r w:rsidRPr="002572C0">
        <w:rPr>
          <w:rStyle w:val="10"/>
          <w:bCs w:val="0"/>
          <w:sz w:val="32"/>
        </w:rPr>
        <w:lastRenderedPageBreak/>
        <w:t>Selection of air quality-related sustainable development goals</w:t>
      </w:r>
    </w:p>
    <w:p w14:paraId="58B2C8AE" w14:textId="38AD52DD" w:rsidR="00126EFD" w:rsidRDefault="00126EFD" w:rsidP="000B33DF">
      <w:pPr>
        <w:rPr>
          <w:rStyle w:val="10"/>
          <w:b w:val="0"/>
          <w:sz w:val="24"/>
          <w:szCs w:val="24"/>
        </w:rPr>
      </w:pPr>
      <w:r w:rsidRPr="002572C0">
        <w:rPr>
          <w:rStyle w:val="10"/>
          <w:b w:val="0"/>
          <w:sz w:val="24"/>
          <w:szCs w:val="24"/>
        </w:rPr>
        <w:t xml:space="preserve">Managing air pollution is closely tied to the achievement of multiple SDGs. Effective air pollution control policies and practices not only contribute to public health improvement, gender equality, and sustainable economic and social development but also combat climate change, ultimately supporting the overall goals of the sustainable development agenda. </w:t>
      </w:r>
      <w:r w:rsidR="002572C0" w:rsidRPr="002572C0">
        <w:rPr>
          <w:rStyle w:val="10"/>
          <w:b w:val="0"/>
          <w:sz w:val="24"/>
          <w:szCs w:val="24"/>
        </w:rPr>
        <w:t>The following academic studies</w:t>
      </w:r>
      <w:r w:rsidRPr="002572C0">
        <w:rPr>
          <w:rStyle w:val="10"/>
          <w:b w:val="0"/>
          <w:sz w:val="24"/>
          <w:szCs w:val="24"/>
        </w:rPr>
        <w:t xml:space="preserve"> provide strong evidence supporting the close link between air quality improvement and the realization of multiple SDG targets.</w:t>
      </w:r>
    </w:p>
    <w:p w14:paraId="6D7CC4B2" w14:textId="35D8D412" w:rsidR="002572C0" w:rsidRPr="002572C0" w:rsidRDefault="002572C0" w:rsidP="00720A7C">
      <w:pPr>
        <w:jc w:val="center"/>
        <w:rPr>
          <w:rStyle w:val="10"/>
          <w:bCs w:val="0"/>
          <w:sz w:val="24"/>
          <w:szCs w:val="24"/>
        </w:rPr>
      </w:pPr>
      <w:r w:rsidRPr="002572C0">
        <w:rPr>
          <w:rStyle w:val="10"/>
          <w:rFonts w:hint="eastAsia"/>
          <w:bCs w:val="0"/>
          <w:sz w:val="24"/>
          <w:szCs w:val="24"/>
        </w:rPr>
        <w:t xml:space="preserve">Table S2 </w:t>
      </w:r>
      <w:r w:rsidRPr="002572C0">
        <w:rPr>
          <w:rStyle w:val="10"/>
          <w:bCs w:val="0"/>
          <w:sz w:val="24"/>
          <w:szCs w:val="24"/>
        </w:rPr>
        <w:t xml:space="preserve">Relationship between air quality and associated </w:t>
      </w:r>
      <w:r w:rsidRPr="002572C0">
        <w:rPr>
          <w:rStyle w:val="10"/>
          <w:rFonts w:hint="eastAsia"/>
          <w:bCs w:val="0"/>
          <w:sz w:val="24"/>
          <w:szCs w:val="24"/>
        </w:rPr>
        <w:t>SDGs</w:t>
      </w:r>
    </w:p>
    <w:tbl>
      <w:tblPr>
        <w:tblStyle w:val="ab"/>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0"/>
        <w:gridCol w:w="6196"/>
      </w:tblGrid>
      <w:tr w:rsidR="00FA0EDE" w:rsidRPr="005B0BB0" w14:paraId="7B73B296" w14:textId="77777777" w:rsidTr="000A1F55">
        <w:tc>
          <w:tcPr>
            <w:tcW w:w="1270" w:type="pct"/>
            <w:tcBorders>
              <w:top w:val="single" w:sz="4" w:space="0" w:color="auto"/>
              <w:bottom w:val="single" w:sz="4" w:space="0" w:color="auto"/>
            </w:tcBorders>
            <w:shd w:val="clear" w:color="auto" w:fill="D9D9D9" w:themeFill="background1" w:themeFillShade="D9"/>
          </w:tcPr>
          <w:p w14:paraId="47AF1835" w14:textId="427BCC93" w:rsidR="00A931C7" w:rsidRPr="006F7380" w:rsidRDefault="006F7380" w:rsidP="000B33DF">
            <w:pPr>
              <w:rPr>
                <w:rStyle w:val="10"/>
                <w:bCs w:val="0"/>
                <w:sz w:val="21"/>
                <w:szCs w:val="21"/>
              </w:rPr>
            </w:pPr>
            <w:r w:rsidRPr="006F7380">
              <w:rPr>
                <w:rStyle w:val="10"/>
                <w:bCs w:val="0"/>
                <w:sz w:val="21"/>
                <w:szCs w:val="21"/>
              </w:rPr>
              <w:t>Air-SDGs</w:t>
            </w:r>
          </w:p>
        </w:tc>
        <w:tc>
          <w:tcPr>
            <w:tcW w:w="3730" w:type="pct"/>
            <w:tcBorders>
              <w:top w:val="single" w:sz="4" w:space="0" w:color="auto"/>
              <w:bottom w:val="single" w:sz="4" w:space="0" w:color="auto"/>
            </w:tcBorders>
            <w:shd w:val="clear" w:color="auto" w:fill="D9D9D9" w:themeFill="background1" w:themeFillShade="D9"/>
          </w:tcPr>
          <w:p w14:paraId="23407921" w14:textId="2E7F54D4" w:rsidR="00A931C7" w:rsidRPr="006F7380" w:rsidRDefault="006F7380" w:rsidP="000B33DF">
            <w:pPr>
              <w:rPr>
                <w:rStyle w:val="10"/>
                <w:bCs w:val="0"/>
                <w:sz w:val="21"/>
                <w:szCs w:val="21"/>
              </w:rPr>
            </w:pPr>
            <w:r w:rsidRPr="006F7380">
              <w:rPr>
                <w:rStyle w:val="10"/>
                <w:bCs w:val="0"/>
                <w:sz w:val="21"/>
                <w:szCs w:val="21"/>
              </w:rPr>
              <w:t>Relationship to air quality</w:t>
            </w:r>
          </w:p>
        </w:tc>
      </w:tr>
      <w:tr w:rsidR="003D3240" w:rsidRPr="005B0BB0" w14:paraId="1A2E1938" w14:textId="77777777" w:rsidTr="000A1F55">
        <w:tc>
          <w:tcPr>
            <w:tcW w:w="1270" w:type="pct"/>
            <w:tcBorders>
              <w:top w:val="single" w:sz="4" w:space="0" w:color="auto"/>
            </w:tcBorders>
          </w:tcPr>
          <w:p w14:paraId="20972F43" w14:textId="2277F5B4" w:rsidR="00A931C7" w:rsidRPr="005B0BB0" w:rsidRDefault="006F7380" w:rsidP="000B33DF">
            <w:pPr>
              <w:rPr>
                <w:rStyle w:val="10"/>
                <w:bCs w:val="0"/>
                <w:sz w:val="21"/>
                <w:szCs w:val="21"/>
              </w:rPr>
            </w:pPr>
            <w:r>
              <w:rPr>
                <w:rFonts w:hint="eastAsia"/>
                <w:noProof/>
              </w:rPr>
              <w:drawing>
                <wp:inline distT="0" distB="0" distL="0" distR="0" wp14:anchorId="6F19B176" wp14:editId="01BFD12B">
                  <wp:extent cx="1081563" cy="1318846"/>
                  <wp:effectExtent l="0" t="0" r="4445" b="0"/>
                  <wp:docPr id="1180870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70761" name="图片 1180870761"/>
                          <pic:cNvPicPr/>
                        </pic:nvPicPr>
                        <pic:blipFill>
                          <a:blip r:embed="rId9">
                            <a:extLst>
                              <a:ext uri="{28A0092B-C50C-407E-A947-70E740481C1C}">
                                <a14:useLocalDpi xmlns:a14="http://schemas.microsoft.com/office/drawing/2010/main" val="0"/>
                              </a:ext>
                            </a:extLst>
                          </a:blip>
                          <a:stretch>
                            <a:fillRect/>
                          </a:stretch>
                        </pic:blipFill>
                        <pic:spPr>
                          <a:xfrm>
                            <a:off x="0" y="0"/>
                            <a:ext cx="1091044" cy="1330407"/>
                          </a:xfrm>
                          <a:prstGeom prst="rect">
                            <a:avLst/>
                          </a:prstGeom>
                        </pic:spPr>
                      </pic:pic>
                    </a:graphicData>
                  </a:graphic>
                </wp:inline>
              </w:drawing>
            </w:r>
          </w:p>
        </w:tc>
        <w:tc>
          <w:tcPr>
            <w:tcW w:w="3730" w:type="pct"/>
            <w:tcBorders>
              <w:top w:val="single" w:sz="4" w:space="0" w:color="auto"/>
            </w:tcBorders>
          </w:tcPr>
          <w:p w14:paraId="62FCE019" w14:textId="6932F182" w:rsidR="00A931C7" w:rsidRPr="001D500D" w:rsidRDefault="005B0BB0" w:rsidP="000B33DF">
            <w:pPr>
              <w:rPr>
                <w:rStyle w:val="10"/>
                <w:b w:val="0"/>
                <w:bCs w:val="0"/>
                <w:sz w:val="21"/>
                <w:szCs w:val="21"/>
              </w:rPr>
            </w:pPr>
            <w:r w:rsidRPr="001D500D">
              <w:t>Air pollution, particularly ozone pollution, has been shown to negatively affect agricultural production. Ozone, as a strong oxidizing agent, can reduce crop yields by inhibiting photosynthesis and damaging plant cells. For example, studies have shown that ozone pollution may reduce global wheat and rice yields</w:t>
            </w:r>
            <w:r w:rsidR="00FA0EDE" w:rsidRPr="00FA0EDE">
              <w:rPr>
                <w:rFonts w:hint="eastAsia"/>
                <w:b/>
                <w:bCs/>
                <w:color w:val="0070C0"/>
                <w:vertAlign w:val="superscript"/>
              </w:rPr>
              <w:t>1</w:t>
            </w:r>
            <w:r w:rsidRPr="001D500D">
              <w:t>. This directly threatens food security and contradicts the goals of SDG 2.</w:t>
            </w:r>
          </w:p>
        </w:tc>
      </w:tr>
      <w:tr w:rsidR="003D3240" w:rsidRPr="005B0BB0" w14:paraId="0B8A7F9B" w14:textId="77777777" w:rsidTr="000A1F55">
        <w:tc>
          <w:tcPr>
            <w:tcW w:w="1270" w:type="pct"/>
          </w:tcPr>
          <w:p w14:paraId="758A2FAA" w14:textId="0DA96D74" w:rsidR="00A931C7" w:rsidRPr="005B0BB0" w:rsidRDefault="003D3240" w:rsidP="000B33DF">
            <w:pPr>
              <w:rPr>
                <w:rStyle w:val="10"/>
                <w:bCs w:val="0"/>
                <w:sz w:val="21"/>
                <w:szCs w:val="21"/>
              </w:rPr>
            </w:pPr>
            <w:r>
              <w:rPr>
                <w:rFonts w:hint="eastAsia"/>
                <w:noProof/>
              </w:rPr>
              <w:drawing>
                <wp:inline distT="0" distB="0" distL="0" distR="0" wp14:anchorId="37D8B2BD" wp14:editId="61613533">
                  <wp:extent cx="1060939" cy="1327430"/>
                  <wp:effectExtent l="0" t="0" r="6350" b="6350"/>
                  <wp:docPr id="16515929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92942" name="图片 1651592942"/>
                          <pic:cNvPicPr/>
                        </pic:nvPicPr>
                        <pic:blipFill>
                          <a:blip r:embed="rId10">
                            <a:extLst>
                              <a:ext uri="{28A0092B-C50C-407E-A947-70E740481C1C}">
                                <a14:useLocalDpi xmlns:a14="http://schemas.microsoft.com/office/drawing/2010/main" val="0"/>
                              </a:ext>
                            </a:extLst>
                          </a:blip>
                          <a:stretch>
                            <a:fillRect/>
                          </a:stretch>
                        </pic:blipFill>
                        <pic:spPr>
                          <a:xfrm>
                            <a:off x="0" y="0"/>
                            <a:ext cx="1077483" cy="1348129"/>
                          </a:xfrm>
                          <a:prstGeom prst="rect">
                            <a:avLst/>
                          </a:prstGeom>
                        </pic:spPr>
                      </pic:pic>
                    </a:graphicData>
                  </a:graphic>
                </wp:inline>
              </w:drawing>
            </w:r>
          </w:p>
        </w:tc>
        <w:tc>
          <w:tcPr>
            <w:tcW w:w="3730" w:type="pct"/>
          </w:tcPr>
          <w:p w14:paraId="5153810C" w14:textId="10EC153C" w:rsidR="00A931C7" w:rsidRPr="001D500D" w:rsidRDefault="005B0BB0" w:rsidP="000B33DF">
            <w:pPr>
              <w:rPr>
                <w:rStyle w:val="10"/>
                <w:b w:val="0"/>
                <w:bCs w:val="0"/>
                <w:sz w:val="21"/>
                <w:szCs w:val="21"/>
              </w:rPr>
            </w:pPr>
            <w:r w:rsidRPr="001D500D">
              <w:rPr>
                <w:rStyle w:val="10"/>
                <w:b w:val="0"/>
                <w:bCs w:val="0"/>
                <w:sz w:val="21"/>
                <w:szCs w:val="21"/>
              </w:rPr>
              <w:t>Air pollution is a major global factor contributing to diseases and premature deaths. Exposure to air pollutants such as particulate matter (PM2.5), nitrogen dioxide (NO2), and ozone (O3) is closely associated with cardiovascular diseases, respiratory illnesses, and premature mortality</w:t>
            </w:r>
            <w:r w:rsidR="00FA0EDE">
              <w:rPr>
                <w:rFonts w:hint="eastAsia"/>
                <w:b/>
                <w:bCs/>
                <w:color w:val="0070C0"/>
                <w:vertAlign w:val="superscript"/>
              </w:rPr>
              <w:t>2</w:t>
            </w:r>
            <w:r w:rsidRPr="001D500D">
              <w:rPr>
                <w:rStyle w:val="10"/>
                <w:b w:val="0"/>
                <w:bCs w:val="0"/>
                <w:sz w:val="21"/>
                <w:szCs w:val="21"/>
              </w:rPr>
              <w:t>. Therefore, improving air quality is a core measure to achieve the objectives of SDG 3.</w:t>
            </w:r>
          </w:p>
        </w:tc>
      </w:tr>
      <w:tr w:rsidR="003D3240" w:rsidRPr="005B0BB0" w14:paraId="2F1B99DD" w14:textId="77777777" w:rsidTr="000A1F55">
        <w:tc>
          <w:tcPr>
            <w:tcW w:w="1270" w:type="pct"/>
          </w:tcPr>
          <w:p w14:paraId="5B4E1368" w14:textId="5CC52F37" w:rsidR="00A931C7" w:rsidRPr="005B0BB0" w:rsidRDefault="003D3240" w:rsidP="000B33DF">
            <w:pPr>
              <w:rPr>
                <w:rStyle w:val="10"/>
                <w:bCs w:val="0"/>
                <w:sz w:val="21"/>
                <w:szCs w:val="21"/>
              </w:rPr>
            </w:pPr>
            <w:r>
              <w:rPr>
                <w:rFonts w:hint="eastAsia"/>
                <w:noProof/>
              </w:rPr>
              <w:lastRenderedPageBreak/>
              <w:drawing>
                <wp:inline distT="0" distB="0" distL="0" distR="0" wp14:anchorId="13B13E27" wp14:editId="796182A3">
                  <wp:extent cx="1096108" cy="1512067"/>
                  <wp:effectExtent l="0" t="0" r="8890" b="0"/>
                  <wp:docPr id="13871038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03873" name="图片 1387103873"/>
                          <pic:cNvPicPr/>
                        </pic:nvPicPr>
                        <pic:blipFill>
                          <a:blip r:embed="rId11">
                            <a:extLst>
                              <a:ext uri="{28A0092B-C50C-407E-A947-70E740481C1C}">
                                <a14:useLocalDpi xmlns:a14="http://schemas.microsoft.com/office/drawing/2010/main" val="0"/>
                              </a:ext>
                            </a:extLst>
                          </a:blip>
                          <a:stretch>
                            <a:fillRect/>
                          </a:stretch>
                        </pic:blipFill>
                        <pic:spPr>
                          <a:xfrm>
                            <a:off x="0" y="0"/>
                            <a:ext cx="1105151" cy="1524541"/>
                          </a:xfrm>
                          <a:prstGeom prst="rect">
                            <a:avLst/>
                          </a:prstGeom>
                        </pic:spPr>
                      </pic:pic>
                    </a:graphicData>
                  </a:graphic>
                </wp:inline>
              </w:drawing>
            </w:r>
          </w:p>
        </w:tc>
        <w:tc>
          <w:tcPr>
            <w:tcW w:w="3730" w:type="pct"/>
          </w:tcPr>
          <w:p w14:paraId="5D4B5C2A" w14:textId="3A052106" w:rsidR="00A931C7" w:rsidRPr="001D500D" w:rsidRDefault="005B0BB0" w:rsidP="000B33DF">
            <w:pPr>
              <w:rPr>
                <w:rStyle w:val="10"/>
                <w:b w:val="0"/>
                <w:bCs w:val="0"/>
                <w:sz w:val="21"/>
                <w:szCs w:val="21"/>
              </w:rPr>
            </w:pPr>
            <w:r w:rsidRPr="001D500D">
              <w:t>Air pollution has a significant impact on gender equality. In developing countries, women and children are more exposed to indoor air pollution due to the use of traditional fuels (such as wood and coal), which not only affects their health but also limits their opportunities to engage in other socio-economic activities</w:t>
            </w:r>
            <w:r w:rsidR="00FA0EDE">
              <w:rPr>
                <w:rFonts w:hint="eastAsia"/>
                <w:b/>
                <w:bCs/>
                <w:color w:val="0070C0"/>
                <w:vertAlign w:val="superscript"/>
              </w:rPr>
              <w:t>3</w:t>
            </w:r>
            <w:r w:rsidRPr="001D500D">
              <w:t>. Therefore, promoting the use of clean energy and improving air quality is crucial for advancing gender equality.</w:t>
            </w:r>
          </w:p>
        </w:tc>
      </w:tr>
      <w:tr w:rsidR="003D3240" w:rsidRPr="005B0BB0" w14:paraId="108E40D1" w14:textId="77777777" w:rsidTr="000A1F55">
        <w:tc>
          <w:tcPr>
            <w:tcW w:w="1270" w:type="pct"/>
          </w:tcPr>
          <w:p w14:paraId="50EA8E9F" w14:textId="502FD13D" w:rsidR="00A931C7" w:rsidRPr="005B0BB0" w:rsidRDefault="003D3240" w:rsidP="000B33DF">
            <w:pPr>
              <w:rPr>
                <w:rStyle w:val="10"/>
                <w:bCs w:val="0"/>
                <w:sz w:val="21"/>
                <w:szCs w:val="21"/>
              </w:rPr>
            </w:pPr>
            <w:r>
              <w:rPr>
                <w:rFonts w:hint="eastAsia"/>
                <w:noProof/>
              </w:rPr>
              <w:drawing>
                <wp:inline distT="0" distB="0" distL="0" distR="0" wp14:anchorId="557AEFB8" wp14:editId="6D1DC90F">
                  <wp:extent cx="1107831" cy="1382099"/>
                  <wp:effectExtent l="0" t="0" r="0" b="8890"/>
                  <wp:docPr id="27857649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76494" name="图片 278576494"/>
                          <pic:cNvPicPr/>
                        </pic:nvPicPr>
                        <pic:blipFill>
                          <a:blip r:embed="rId12">
                            <a:extLst>
                              <a:ext uri="{28A0092B-C50C-407E-A947-70E740481C1C}">
                                <a14:useLocalDpi xmlns:a14="http://schemas.microsoft.com/office/drawing/2010/main" val="0"/>
                              </a:ext>
                            </a:extLst>
                          </a:blip>
                          <a:stretch>
                            <a:fillRect/>
                          </a:stretch>
                        </pic:blipFill>
                        <pic:spPr>
                          <a:xfrm>
                            <a:off x="0" y="0"/>
                            <a:ext cx="1119812" cy="1397046"/>
                          </a:xfrm>
                          <a:prstGeom prst="rect">
                            <a:avLst/>
                          </a:prstGeom>
                        </pic:spPr>
                      </pic:pic>
                    </a:graphicData>
                  </a:graphic>
                </wp:inline>
              </w:drawing>
            </w:r>
          </w:p>
        </w:tc>
        <w:tc>
          <w:tcPr>
            <w:tcW w:w="3730" w:type="pct"/>
          </w:tcPr>
          <w:p w14:paraId="516E53B6" w14:textId="31FB2227" w:rsidR="00A931C7" w:rsidRPr="001D500D" w:rsidRDefault="005B0BB0" w:rsidP="000B33DF">
            <w:pPr>
              <w:rPr>
                <w:rStyle w:val="10"/>
                <w:b w:val="0"/>
                <w:bCs w:val="0"/>
                <w:sz w:val="21"/>
                <w:szCs w:val="21"/>
              </w:rPr>
            </w:pPr>
            <w:r w:rsidRPr="001D500D">
              <w:t>The development and promotion of clean energy, such as solar and wind power, is a key pathway to reducing air pollution. Studies have shown that the use of traditional fossil fuels is a major source of urban air pollution, especially from transportation and power generation</w:t>
            </w:r>
            <w:r w:rsidR="00FA0EDE">
              <w:rPr>
                <w:rFonts w:hint="eastAsia"/>
                <w:b/>
                <w:bCs/>
                <w:color w:val="0070C0"/>
                <w:vertAlign w:val="superscript"/>
              </w:rPr>
              <w:t>4</w:t>
            </w:r>
            <w:r w:rsidRPr="001D500D">
              <w:t>. By transitioning to clean energy, not only can air pollution be reduced, but the impacts of climate change can also be mitigated, aiding in the achievement of SDG 7.</w:t>
            </w:r>
          </w:p>
        </w:tc>
      </w:tr>
      <w:tr w:rsidR="003D3240" w:rsidRPr="005B0BB0" w14:paraId="39E155C2" w14:textId="77777777" w:rsidTr="000A1F55">
        <w:tc>
          <w:tcPr>
            <w:tcW w:w="1270" w:type="pct"/>
          </w:tcPr>
          <w:p w14:paraId="3C594148" w14:textId="75BF949B" w:rsidR="00A931C7" w:rsidRPr="005B0BB0" w:rsidRDefault="003D3240" w:rsidP="000B33DF">
            <w:pPr>
              <w:rPr>
                <w:rStyle w:val="10"/>
                <w:bCs w:val="0"/>
                <w:sz w:val="21"/>
                <w:szCs w:val="21"/>
              </w:rPr>
            </w:pPr>
            <w:r>
              <w:rPr>
                <w:rFonts w:hint="eastAsia"/>
                <w:noProof/>
              </w:rPr>
              <w:drawing>
                <wp:inline distT="0" distB="0" distL="0" distR="0" wp14:anchorId="51B50421" wp14:editId="764AB911">
                  <wp:extent cx="1097720" cy="1354016"/>
                  <wp:effectExtent l="0" t="0" r="7620" b="0"/>
                  <wp:docPr id="2371203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20382" name="图片 237120382"/>
                          <pic:cNvPicPr/>
                        </pic:nvPicPr>
                        <pic:blipFill>
                          <a:blip r:embed="rId13">
                            <a:extLst>
                              <a:ext uri="{28A0092B-C50C-407E-A947-70E740481C1C}">
                                <a14:useLocalDpi xmlns:a14="http://schemas.microsoft.com/office/drawing/2010/main" val="0"/>
                              </a:ext>
                            </a:extLst>
                          </a:blip>
                          <a:stretch>
                            <a:fillRect/>
                          </a:stretch>
                        </pic:blipFill>
                        <pic:spPr>
                          <a:xfrm>
                            <a:off x="0" y="0"/>
                            <a:ext cx="1110397" cy="1369653"/>
                          </a:xfrm>
                          <a:prstGeom prst="rect">
                            <a:avLst/>
                          </a:prstGeom>
                        </pic:spPr>
                      </pic:pic>
                    </a:graphicData>
                  </a:graphic>
                </wp:inline>
              </w:drawing>
            </w:r>
          </w:p>
        </w:tc>
        <w:tc>
          <w:tcPr>
            <w:tcW w:w="3730" w:type="pct"/>
          </w:tcPr>
          <w:p w14:paraId="472A3934" w14:textId="4951F9E3" w:rsidR="00A931C7" w:rsidRPr="001D500D" w:rsidRDefault="005B0BB0" w:rsidP="000B33DF">
            <w:pPr>
              <w:rPr>
                <w:rStyle w:val="10"/>
                <w:b w:val="0"/>
                <w:bCs w:val="0"/>
                <w:sz w:val="21"/>
                <w:szCs w:val="21"/>
              </w:rPr>
            </w:pPr>
            <w:r w:rsidRPr="001D500D">
              <w:t>Industrial emissions are one of the main sources of air pollution. Through technological innovation and the adoption of cleaner production processes, pollution from industrial activities can be significantly reduced</w:t>
            </w:r>
            <w:r w:rsidR="00FA0EDE">
              <w:rPr>
                <w:rFonts w:hint="eastAsia"/>
                <w:b/>
                <w:bCs/>
                <w:color w:val="0070C0"/>
                <w:vertAlign w:val="superscript"/>
              </w:rPr>
              <w:t>5</w:t>
            </w:r>
            <w:r w:rsidRPr="001D500D">
              <w:t>. Additionally, investing in sustainable infrastructure, such as low-emission public transportation systems, can help reduce urban air pollution and achieve the goals of SDG 9.</w:t>
            </w:r>
          </w:p>
        </w:tc>
      </w:tr>
      <w:tr w:rsidR="003D3240" w:rsidRPr="005B0BB0" w14:paraId="10027982" w14:textId="77777777" w:rsidTr="000A1F55">
        <w:tc>
          <w:tcPr>
            <w:tcW w:w="1270" w:type="pct"/>
          </w:tcPr>
          <w:p w14:paraId="14A3D376" w14:textId="6B4E6357" w:rsidR="00A931C7" w:rsidRPr="005B0BB0" w:rsidRDefault="003D3240" w:rsidP="000B33DF">
            <w:pPr>
              <w:rPr>
                <w:rStyle w:val="10"/>
                <w:bCs w:val="0"/>
                <w:sz w:val="21"/>
                <w:szCs w:val="21"/>
              </w:rPr>
            </w:pPr>
            <w:r>
              <w:rPr>
                <w:rFonts w:hint="eastAsia"/>
                <w:noProof/>
              </w:rPr>
              <w:drawing>
                <wp:inline distT="0" distB="0" distL="0" distR="0" wp14:anchorId="3945DF3E" wp14:editId="0905F859">
                  <wp:extent cx="1108852" cy="1195754"/>
                  <wp:effectExtent l="0" t="0" r="0" b="4445"/>
                  <wp:docPr id="1778408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40817" name="图片 177840817"/>
                          <pic:cNvPicPr/>
                        </pic:nvPicPr>
                        <pic:blipFill>
                          <a:blip r:embed="rId14">
                            <a:extLst>
                              <a:ext uri="{28A0092B-C50C-407E-A947-70E740481C1C}">
                                <a14:useLocalDpi xmlns:a14="http://schemas.microsoft.com/office/drawing/2010/main" val="0"/>
                              </a:ext>
                            </a:extLst>
                          </a:blip>
                          <a:stretch>
                            <a:fillRect/>
                          </a:stretch>
                        </pic:blipFill>
                        <pic:spPr>
                          <a:xfrm>
                            <a:off x="0" y="0"/>
                            <a:ext cx="1149753" cy="1239861"/>
                          </a:xfrm>
                          <a:prstGeom prst="rect">
                            <a:avLst/>
                          </a:prstGeom>
                        </pic:spPr>
                      </pic:pic>
                    </a:graphicData>
                  </a:graphic>
                </wp:inline>
              </w:drawing>
            </w:r>
          </w:p>
        </w:tc>
        <w:tc>
          <w:tcPr>
            <w:tcW w:w="3730" w:type="pct"/>
          </w:tcPr>
          <w:p w14:paraId="6BF4237E" w14:textId="4B2ED224" w:rsidR="00A931C7" w:rsidRPr="001D500D" w:rsidRDefault="005B0BB0" w:rsidP="000B33DF">
            <w:pPr>
              <w:rPr>
                <w:rStyle w:val="10"/>
                <w:b w:val="0"/>
                <w:bCs w:val="0"/>
                <w:sz w:val="21"/>
                <w:szCs w:val="21"/>
              </w:rPr>
            </w:pPr>
            <w:r w:rsidRPr="001D500D">
              <w:t>The impacts of air pollution vary significantly across different socio-economic groups. Vulnerable populations often live in more polluted areas, face higher health risks, and typically lack resources to address these risks</w:t>
            </w:r>
            <w:r w:rsidR="00FA0EDE">
              <w:rPr>
                <w:rFonts w:hint="eastAsia"/>
                <w:b/>
                <w:bCs/>
                <w:color w:val="0070C0"/>
                <w:vertAlign w:val="superscript"/>
              </w:rPr>
              <w:t>6</w:t>
            </w:r>
            <w:r w:rsidRPr="001D500D">
              <w:t>. Therefore, improving air quality, particularly in low-income communities, can help reduce social inequalities.</w:t>
            </w:r>
          </w:p>
        </w:tc>
      </w:tr>
      <w:tr w:rsidR="003D3240" w:rsidRPr="005B0BB0" w14:paraId="00DE5D37" w14:textId="77777777" w:rsidTr="000A1F55">
        <w:tc>
          <w:tcPr>
            <w:tcW w:w="1270" w:type="pct"/>
          </w:tcPr>
          <w:p w14:paraId="49FC36E2" w14:textId="69AD0161" w:rsidR="00A931C7" w:rsidRPr="001D500D" w:rsidRDefault="003D3240" w:rsidP="000B33DF">
            <w:pPr>
              <w:rPr>
                <w:rStyle w:val="10"/>
                <w:b w:val="0"/>
                <w:bCs w:val="0"/>
                <w:sz w:val="21"/>
                <w:szCs w:val="21"/>
              </w:rPr>
            </w:pPr>
            <w:r>
              <w:rPr>
                <w:rFonts w:hint="eastAsia"/>
                <w:noProof/>
              </w:rPr>
              <w:lastRenderedPageBreak/>
              <w:drawing>
                <wp:inline distT="0" distB="0" distL="0" distR="0" wp14:anchorId="2D1AD715" wp14:editId="700FF4D8">
                  <wp:extent cx="1113693" cy="1321582"/>
                  <wp:effectExtent l="0" t="0" r="0" b="0"/>
                  <wp:docPr id="131628499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284998" name="图片 1316284998"/>
                          <pic:cNvPicPr/>
                        </pic:nvPicPr>
                        <pic:blipFill>
                          <a:blip r:embed="rId15">
                            <a:extLst>
                              <a:ext uri="{28A0092B-C50C-407E-A947-70E740481C1C}">
                                <a14:useLocalDpi xmlns:a14="http://schemas.microsoft.com/office/drawing/2010/main" val="0"/>
                              </a:ext>
                            </a:extLst>
                          </a:blip>
                          <a:stretch>
                            <a:fillRect/>
                          </a:stretch>
                        </pic:blipFill>
                        <pic:spPr>
                          <a:xfrm>
                            <a:off x="0" y="0"/>
                            <a:ext cx="1126002" cy="1336189"/>
                          </a:xfrm>
                          <a:prstGeom prst="rect">
                            <a:avLst/>
                          </a:prstGeom>
                        </pic:spPr>
                      </pic:pic>
                    </a:graphicData>
                  </a:graphic>
                </wp:inline>
              </w:drawing>
            </w:r>
          </w:p>
        </w:tc>
        <w:tc>
          <w:tcPr>
            <w:tcW w:w="3730" w:type="pct"/>
          </w:tcPr>
          <w:p w14:paraId="6BD260F4" w14:textId="5EDB4DF5" w:rsidR="00A931C7" w:rsidRPr="001D500D" w:rsidRDefault="001D500D" w:rsidP="000B33DF">
            <w:pPr>
              <w:rPr>
                <w:rStyle w:val="10"/>
                <w:b w:val="0"/>
                <w:bCs w:val="0"/>
                <w:sz w:val="21"/>
                <w:szCs w:val="21"/>
              </w:rPr>
            </w:pPr>
            <w:r w:rsidRPr="001D500D">
              <w:rPr>
                <w:rStyle w:val="10"/>
                <w:b w:val="0"/>
                <w:bCs w:val="0"/>
                <w:sz w:val="21"/>
                <w:szCs w:val="21"/>
              </w:rPr>
              <w:t>Air pollution is particularly severe in urban areas. During urbanization, transportation, industrial, and construction activities are major sources of pollution. By promoting low-emission vehicles, enhancing building energy efficiency, and improving urban planning, urban air pollution can be effectively reduced, thereby improving the quality of life for urban residents</w:t>
            </w:r>
            <w:r w:rsidR="00FA0EDE">
              <w:rPr>
                <w:rFonts w:hint="eastAsia"/>
                <w:b/>
                <w:bCs/>
                <w:color w:val="0070C0"/>
                <w:vertAlign w:val="superscript"/>
              </w:rPr>
              <w:t>7</w:t>
            </w:r>
            <w:r w:rsidRPr="001D500D">
              <w:rPr>
                <w:rStyle w:val="10"/>
                <w:b w:val="0"/>
                <w:bCs w:val="0"/>
                <w:sz w:val="21"/>
                <w:szCs w:val="21"/>
              </w:rPr>
              <w:t>.</w:t>
            </w:r>
          </w:p>
        </w:tc>
      </w:tr>
      <w:tr w:rsidR="003D3240" w:rsidRPr="005B0BB0" w14:paraId="0D4CE477" w14:textId="77777777" w:rsidTr="000A1F55">
        <w:tc>
          <w:tcPr>
            <w:tcW w:w="1270" w:type="pct"/>
          </w:tcPr>
          <w:p w14:paraId="7D6A0A2B" w14:textId="161171B7" w:rsidR="001D500D" w:rsidRPr="005B0BB0" w:rsidRDefault="003D3240" w:rsidP="000B33DF">
            <w:pPr>
              <w:rPr>
                <w:rStyle w:val="10"/>
                <w:bCs w:val="0"/>
                <w:sz w:val="21"/>
                <w:szCs w:val="21"/>
              </w:rPr>
            </w:pPr>
            <w:r>
              <w:rPr>
                <w:rFonts w:hint="eastAsia"/>
                <w:noProof/>
              </w:rPr>
              <w:drawing>
                <wp:inline distT="0" distB="0" distL="0" distR="0" wp14:anchorId="364439EB" wp14:editId="01059D8C">
                  <wp:extent cx="1084385" cy="1297111"/>
                  <wp:effectExtent l="0" t="0" r="1905" b="0"/>
                  <wp:docPr id="417322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2218" name="图片 41732218"/>
                          <pic:cNvPicPr/>
                        </pic:nvPicPr>
                        <pic:blipFill>
                          <a:blip r:embed="rId16">
                            <a:extLst>
                              <a:ext uri="{28A0092B-C50C-407E-A947-70E740481C1C}">
                                <a14:useLocalDpi xmlns:a14="http://schemas.microsoft.com/office/drawing/2010/main" val="0"/>
                              </a:ext>
                            </a:extLst>
                          </a:blip>
                          <a:stretch>
                            <a:fillRect/>
                          </a:stretch>
                        </pic:blipFill>
                        <pic:spPr>
                          <a:xfrm>
                            <a:off x="0" y="0"/>
                            <a:ext cx="1114540" cy="1333182"/>
                          </a:xfrm>
                          <a:prstGeom prst="rect">
                            <a:avLst/>
                          </a:prstGeom>
                        </pic:spPr>
                      </pic:pic>
                    </a:graphicData>
                  </a:graphic>
                </wp:inline>
              </w:drawing>
            </w:r>
          </w:p>
        </w:tc>
        <w:tc>
          <w:tcPr>
            <w:tcW w:w="3730" w:type="pct"/>
          </w:tcPr>
          <w:p w14:paraId="68151ED6" w14:textId="737A3818" w:rsidR="001D500D" w:rsidRPr="001D500D" w:rsidRDefault="001D500D" w:rsidP="000B33DF">
            <w:pPr>
              <w:rPr>
                <w:rStyle w:val="10"/>
                <w:b w:val="0"/>
                <w:bCs w:val="0"/>
                <w:sz w:val="21"/>
                <w:szCs w:val="21"/>
              </w:rPr>
            </w:pPr>
            <w:r w:rsidRPr="001D500D">
              <w:t>There is a complex interplay between air pollution and climate change. For example, short-lived climate pollutants like black carbon are major air pollutants that also contribute significantly to global warming</w:t>
            </w:r>
            <w:r w:rsidR="00FA0EDE">
              <w:rPr>
                <w:rFonts w:hint="eastAsia"/>
                <w:b/>
                <w:bCs/>
                <w:color w:val="0070C0"/>
                <w:vertAlign w:val="superscript"/>
              </w:rPr>
              <w:t>8</w:t>
            </w:r>
            <w:r w:rsidRPr="001D500D">
              <w:t>. By reducing emissions of these pollutants, both air quality and climate change can be improved, achieving the dual goals of SDG 13.</w:t>
            </w:r>
          </w:p>
        </w:tc>
      </w:tr>
    </w:tbl>
    <w:p w14:paraId="6B0CF705" w14:textId="06B7E7AE" w:rsidR="00003DE9" w:rsidRPr="0010513D" w:rsidRDefault="00126EFD" w:rsidP="000B33DF">
      <w:pPr>
        <w:pStyle w:val="ac"/>
        <w:numPr>
          <w:ilvl w:val="0"/>
          <w:numId w:val="1"/>
        </w:numPr>
        <w:ind w:firstLineChars="0"/>
        <w:rPr>
          <w:rStyle w:val="10"/>
          <w:bCs w:val="0"/>
          <w:sz w:val="24"/>
          <w:szCs w:val="24"/>
        </w:rPr>
      </w:pPr>
      <w:r w:rsidRPr="0010513D">
        <w:rPr>
          <w:rStyle w:val="10"/>
          <w:rFonts w:hint="eastAsia"/>
          <w:bCs w:val="0"/>
          <w:sz w:val="24"/>
          <w:szCs w:val="24"/>
        </w:rPr>
        <w:t>S</w:t>
      </w:r>
      <w:r w:rsidRPr="0010513D">
        <w:rPr>
          <w:rStyle w:val="10"/>
          <w:bCs w:val="0"/>
          <w:sz w:val="24"/>
          <w:szCs w:val="24"/>
        </w:rPr>
        <w:t>patial distribution of all-cause mortality attributed to PM2.5 pollution</w:t>
      </w:r>
    </w:p>
    <w:p w14:paraId="1C300D4E" w14:textId="77777777" w:rsidR="00126EFD" w:rsidRDefault="00126EFD" w:rsidP="000B33DF">
      <w:r>
        <w:t>Fig</w:t>
      </w:r>
      <w:r>
        <w:rPr>
          <w:rFonts w:hint="eastAsia"/>
        </w:rPr>
        <w:t>.</w:t>
      </w:r>
      <w:r>
        <w:t>4 details the spatial characteristics of all-cause deaths attributed to PM</w:t>
      </w:r>
      <w:r>
        <w:rPr>
          <w:vertAlign w:val="subscript"/>
        </w:rPr>
        <w:t>2.5</w:t>
      </w:r>
      <w:r>
        <w:t xml:space="preserve"> pollution globally. Overall, during the study period, an average of approximately 16,530 people per year died from PM</w:t>
      </w:r>
      <w:r>
        <w:rPr>
          <w:vertAlign w:val="subscript"/>
        </w:rPr>
        <w:t>2.5</w:t>
      </w:r>
      <w:r>
        <w:t xml:space="preserve"> exposure, with an average rate of change of 0.06.</w:t>
      </w:r>
      <w:r>
        <w:rPr>
          <w:rFonts w:hint="eastAsia"/>
        </w:rPr>
        <w:t xml:space="preserve"> </w:t>
      </w:r>
      <w:r>
        <w:t>Spatially, the number of premature deaths due to PM</w:t>
      </w:r>
      <w:r>
        <w:rPr>
          <w:vertAlign w:val="subscript"/>
        </w:rPr>
        <w:t>2.5</w:t>
      </w:r>
      <w:r>
        <w:t xml:space="preserve"> exposure significantly decreased in OA (-103.9 </w:t>
      </w:r>
      <w:r>
        <w:rPr>
          <w:rFonts w:hint="eastAsia"/>
        </w:rPr>
        <w:t>number</w:t>
      </w:r>
      <w:r>
        <w:t xml:space="preserve">/yr), EU (-165.1 </w:t>
      </w:r>
      <w:r>
        <w:rPr>
          <w:rFonts w:hint="eastAsia"/>
        </w:rPr>
        <w:t>number</w:t>
      </w:r>
      <w:r>
        <w:t xml:space="preserve">/yr), and NA (-50.0 </w:t>
      </w:r>
      <w:r>
        <w:rPr>
          <w:rFonts w:hint="eastAsia"/>
        </w:rPr>
        <w:t>number</w:t>
      </w:r>
      <w:r>
        <w:t>/yr) countries.</w:t>
      </w:r>
      <w:r>
        <w:rPr>
          <w:rFonts w:hint="eastAsia"/>
        </w:rPr>
        <w:t xml:space="preserve"> </w:t>
      </w:r>
      <w:r>
        <w:t xml:space="preserve">In contrast, Asia (1477.0 </w:t>
      </w:r>
      <w:r>
        <w:rPr>
          <w:rFonts w:hint="eastAsia"/>
        </w:rPr>
        <w:t>number</w:t>
      </w:r>
      <w:r>
        <w:t xml:space="preserve">/yr), Africa (127.2 </w:t>
      </w:r>
      <w:r>
        <w:rPr>
          <w:rFonts w:hint="eastAsia"/>
        </w:rPr>
        <w:t>number</w:t>
      </w:r>
      <w:r>
        <w:t xml:space="preserve">/yr), and South America (65.4 </w:t>
      </w:r>
      <w:r>
        <w:rPr>
          <w:rFonts w:hint="eastAsia"/>
        </w:rPr>
        <w:t>number</w:t>
      </w:r>
      <w:r>
        <w:t>/yr) are still regions where the population of premature deaths due to PM</w:t>
      </w:r>
      <w:r>
        <w:rPr>
          <w:vertAlign w:val="subscript"/>
        </w:rPr>
        <w:t>2.5</w:t>
      </w:r>
      <w:r>
        <w:t xml:space="preserve"> exposure is rapidly increasing.</w:t>
      </w:r>
      <w:r>
        <w:rPr>
          <w:rFonts w:hint="eastAsia"/>
        </w:rPr>
        <w:t xml:space="preserve"> </w:t>
      </w:r>
      <w:r>
        <w:t xml:space="preserve">Particularly, China in East Asia (32,678.9 </w:t>
      </w:r>
      <w:r>
        <w:rPr>
          <w:rFonts w:hint="eastAsia"/>
        </w:rPr>
        <w:t>number</w:t>
      </w:r>
      <w:r>
        <w:t xml:space="preserve">/yr), India in South Asia (26,260.2 </w:t>
      </w:r>
      <w:r>
        <w:rPr>
          <w:rFonts w:hint="eastAsia"/>
        </w:rPr>
        <w:t>number</w:t>
      </w:r>
      <w:r>
        <w:t xml:space="preserve">/yr), Pakistan (3,208.2 </w:t>
      </w:r>
      <w:r>
        <w:rPr>
          <w:rFonts w:hint="eastAsia"/>
        </w:rPr>
        <w:t>number</w:t>
      </w:r>
      <w:r>
        <w:t xml:space="preserve">/yr), and Indonesia in Southeast Asia (2,311.6 </w:t>
      </w:r>
      <w:r>
        <w:rPr>
          <w:rFonts w:hint="eastAsia"/>
        </w:rPr>
        <w:t>number</w:t>
      </w:r>
      <w:r>
        <w:t>/yr) are the countries with the fastest growth in premature deaths due to PM</w:t>
      </w:r>
      <w:r>
        <w:rPr>
          <w:vertAlign w:val="subscript"/>
        </w:rPr>
        <w:t>2.5</w:t>
      </w:r>
      <w:r>
        <w:t xml:space="preserve"> exposure.</w:t>
      </w:r>
      <w:r>
        <w:rPr>
          <w:rFonts w:hint="eastAsia"/>
        </w:rPr>
        <w:t xml:space="preserve"> </w:t>
      </w:r>
      <w:r>
        <w:t>Similar to the spatial distribution of exposure risk, health risks caused by PM</w:t>
      </w:r>
      <w:r>
        <w:rPr>
          <w:vertAlign w:val="subscript"/>
        </w:rPr>
        <w:t>2.5</w:t>
      </w:r>
      <w:r>
        <w:t xml:space="preserve"> exposure also show significant regional inequalities across economic zones.</w:t>
      </w:r>
      <w:r>
        <w:rPr>
          <w:rFonts w:hint="eastAsia"/>
        </w:rPr>
        <w:t xml:space="preserve"> </w:t>
      </w:r>
      <w:r>
        <w:t>During the study period, the number of all-cause deaths due to PM</w:t>
      </w:r>
      <w:r>
        <w:rPr>
          <w:vertAlign w:val="subscript"/>
        </w:rPr>
        <w:t>2.5</w:t>
      </w:r>
      <w:r>
        <w:t xml:space="preserve"> in HI regions significantly decreased (-130.3 </w:t>
      </w:r>
      <w:r>
        <w:rPr>
          <w:rFonts w:hint="eastAsia"/>
        </w:rPr>
        <w:t>number</w:t>
      </w:r>
      <w:r>
        <w:t>/yr), while in MLI, MHI, and LI regions, the number of all-cause deaths due to PM</w:t>
      </w:r>
      <w:r>
        <w:rPr>
          <w:vertAlign w:val="subscript"/>
        </w:rPr>
        <w:t>2.5</w:t>
      </w:r>
      <w:r>
        <w:t xml:space="preserve"> continuously increased at rates of 766.4 </w:t>
      </w:r>
      <w:r>
        <w:rPr>
          <w:rFonts w:hint="eastAsia"/>
        </w:rPr>
        <w:t>number</w:t>
      </w:r>
      <w:r>
        <w:t xml:space="preserve">/yr, 554.6 </w:t>
      </w:r>
      <w:r>
        <w:rPr>
          <w:rFonts w:hint="eastAsia"/>
        </w:rPr>
        <w:t>number</w:t>
      </w:r>
      <w:r>
        <w:t xml:space="preserve">/yr, and 105.8 </w:t>
      </w:r>
      <w:r>
        <w:rPr>
          <w:rFonts w:hint="eastAsia"/>
        </w:rPr>
        <w:t>number</w:t>
      </w:r>
      <w:r>
        <w:t>/yr, respectively.</w:t>
      </w:r>
      <w:r>
        <w:rPr>
          <w:rFonts w:hint="eastAsia"/>
        </w:rPr>
        <w:t xml:space="preserve"> </w:t>
      </w:r>
      <w:r>
        <w:t>Notably, China in the MHL region and India in the ML region are among the global leaders in the rate of change in all-cause deaths due to PM</w:t>
      </w:r>
      <w:r>
        <w:rPr>
          <w:vertAlign w:val="subscript"/>
        </w:rPr>
        <w:t>2.5</w:t>
      </w:r>
      <w:r>
        <w:t>.</w:t>
      </w:r>
    </w:p>
    <w:p w14:paraId="7A7B38D5" w14:textId="65950652" w:rsidR="00126EFD" w:rsidRDefault="00126EFD" w:rsidP="000B33DF">
      <w:r>
        <w:rPr>
          <w:rFonts w:hint="eastAsia"/>
          <w:noProof/>
        </w:rPr>
        <w:lastRenderedPageBreak/>
        <w:drawing>
          <wp:inline distT="0" distB="0" distL="0" distR="0" wp14:anchorId="4EF4B0D0" wp14:editId="0A0F3C9A">
            <wp:extent cx="5274310" cy="5793105"/>
            <wp:effectExtent l="0" t="0" r="2540" b="0"/>
            <wp:docPr id="69658072" name="图片 9" descr="全因死亡经济1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全因死亡经济1 - 副本"/>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5793105"/>
                    </a:xfrm>
                    <a:prstGeom prst="rect">
                      <a:avLst/>
                    </a:prstGeom>
                    <a:noFill/>
                    <a:ln>
                      <a:noFill/>
                    </a:ln>
                  </pic:spPr>
                </pic:pic>
              </a:graphicData>
            </a:graphic>
          </wp:inline>
        </w:drawing>
      </w:r>
    </w:p>
    <w:p w14:paraId="644038DD" w14:textId="12760E1C" w:rsidR="00126EFD" w:rsidRDefault="00FA0EDE" w:rsidP="000B33DF">
      <w:pPr>
        <w:rPr>
          <w:color w:val="000000"/>
        </w:rPr>
      </w:pPr>
      <w:r w:rsidRPr="00FA0EDE">
        <w:rPr>
          <w:b/>
          <w:bCs/>
        </w:rPr>
        <w:t>Figure</w:t>
      </w:r>
      <w:r w:rsidRPr="00FA0EDE">
        <w:rPr>
          <w:rFonts w:hint="eastAsia"/>
          <w:b/>
          <w:bCs/>
        </w:rPr>
        <w:t xml:space="preserve"> </w:t>
      </w:r>
      <w:r w:rsidR="002572C0" w:rsidRPr="00FA0EDE">
        <w:rPr>
          <w:rFonts w:hint="eastAsia"/>
          <w:b/>
          <w:bCs/>
        </w:rPr>
        <w:t>S2</w:t>
      </w:r>
      <w:r w:rsidR="00126EFD" w:rsidRPr="00FA0EDE">
        <w:rPr>
          <w:b/>
          <w:bCs/>
        </w:rPr>
        <w:t xml:space="preserve"> shows the spatial distribution of all-cause mortality attributed to PM</w:t>
      </w:r>
      <w:r w:rsidR="00126EFD" w:rsidRPr="00FA0EDE">
        <w:rPr>
          <w:b/>
          <w:bCs/>
          <w:vertAlign w:val="subscript"/>
        </w:rPr>
        <w:t>2.5</w:t>
      </w:r>
      <w:r w:rsidR="00126EFD" w:rsidRPr="00FA0EDE">
        <w:rPr>
          <w:b/>
          <w:bCs/>
        </w:rPr>
        <w:t xml:space="preserve"> pollution.</w:t>
      </w:r>
      <w:r w:rsidR="00126EFD">
        <w:t xml:space="preserve"> </w:t>
      </w:r>
      <w:r w:rsidR="00126EFD">
        <w:rPr>
          <w:b/>
          <w:bCs/>
        </w:rPr>
        <w:t>(a)</w:t>
      </w:r>
      <w:r w:rsidR="00126EFD">
        <w:t>The spatial distribution of global all-cause mortality trends attributed to PM</w:t>
      </w:r>
      <w:r w:rsidR="00126EFD">
        <w:rPr>
          <w:vertAlign w:val="subscript"/>
        </w:rPr>
        <w:t>2.5</w:t>
      </w:r>
      <w:r w:rsidR="00126EFD">
        <w:t xml:space="preserve"> pollution from 2000 </w:t>
      </w:r>
      <w:r w:rsidR="00126EFD">
        <w:rPr>
          <w:rFonts w:hint="eastAsia"/>
        </w:rPr>
        <w:t>-</w:t>
      </w:r>
      <w:r w:rsidR="00126EFD">
        <w:t xml:space="preserve"> 2019; </w:t>
      </w:r>
      <w:r w:rsidR="00126EFD">
        <w:rPr>
          <w:b/>
          <w:bCs/>
        </w:rPr>
        <w:t>(</w:t>
      </w:r>
      <w:r w:rsidR="00126EFD">
        <w:rPr>
          <w:rFonts w:hint="eastAsia"/>
          <w:b/>
          <w:bCs/>
        </w:rPr>
        <w:t>b</w:t>
      </w:r>
      <w:r w:rsidR="00126EFD">
        <w:rPr>
          <w:b/>
          <w:bCs/>
        </w:rPr>
        <w:t>)</w:t>
      </w:r>
      <w:r w:rsidR="00126EFD">
        <w:rPr>
          <w:rFonts w:hint="eastAsia"/>
          <w:color w:val="000000"/>
        </w:rPr>
        <w:t>-</w:t>
      </w:r>
      <w:r w:rsidR="00126EFD">
        <w:t xml:space="preserve"> </w:t>
      </w:r>
      <w:r w:rsidR="00126EFD">
        <w:rPr>
          <w:b/>
          <w:bCs/>
        </w:rPr>
        <w:t>(</w:t>
      </w:r>
      <w:r w:rsidR="00126EFD">
        <w:rPr>
          <w:rFonts w:hint="eastAsia"/>
          <w:b/>
          <w:bCs/>
        </w:rPr>
        <w:t>e</w:t>
      </w:r>
      <w:r w:rsidR="00126EFD">
        <w:rPr>
          <w:b/>
          <w:bCs/>
        </w:rPr>
        <w:t>)</w:t>
      </w:r>
      <w:r w:rsidR="00126EFD">
        <w:t>show the temporal changes in all-cause mortality attributed to PM</w:t>
      </w:r>
      <w:r w:rsidR="00126EFD">
        <w:rPr>
          <w:vertAlign w:val="subscript"/>
        </w:rPr>
        <w:t>2.5</w:t>
      </w:r>
      <w:r w:rsidR="00126EFD">
        <w:t xml:space="preserve"> pollution from 2000 </w:t>
      </w:r>
      <w:r w:rsidR="00126EFD">
        <w:rPr>
          <w:rFonts w:hint="eastAsia"/>
        </w:rPr>
        <w:t>-</w:t>
      </w:r>
      <w:r w:rsidR="00126EFD">
        <w:t xml:space="preserve"> 2019 for </w:t>
      </w:r>
      <w:r w:rsidR="00126EFD">
        <w:rPr>
          <w:rFonts w:hint="eastAsia"/>
        </w:rPr>
        <w:t>HI</w:t>
      </w:r>
      <w:r w:rsidR="00126EFD">
        <w:t xml:space="preserve"> </w:t>
      </w:r>
      <w:r w:rsidR="00126EFD">
        <w:rPr>
          <w:b/>
          <w:bCs/>
        </w:rPr>
        <w:t>(b)</w:t>
      </w:r>
      <w:r w:rsidR="00126EFD">
        <w:t xml:space="preserve">, </w:t>
      </w:r>
      <w:r w:rsidR="00126EFD">
        <w:rPr>
          <w:rFonts w:hint="eastAsia"/>
        </w:rPr>
        <w:t>LI</w:t>
      </w:r>
      <w:r w:rsidR="00126EFD">
        <w:rPr>
          <w:b/>
          <w:bCs/>
        </w:rPr>
        <w:t xml:space="preserve"> (c)</w:t>
      </w:r>
      <w:r w:rsidR="00126EFD">
        <w:t xml:space="preserve">, </w:t>
      </w:r>
      <w:r w:rsidR="00126EFD">
        <w:rPr>
          <w:rFonts w:hint="eastAsia"/>
        </w:rPr>
        <w:t>MHI</w:t>
      </w:r>
      <w:r w:rsidR="00126EFD">
        <w:t xml:space="preserve"> </w:t>
      </w:r>
      <w:r w:rsidR="00126EFD">
        <w:rPr>
          <w:b/>
          <w:bCs/>
        </w:rPr>
        <w:t>(d)</w:t>
      </w:r>
      <w:r w:rsidR="00126EFD">
        <w:t xml:space="preserve">, </w:t>
      </w:r>
      <w:r w:rsidR="00126EFD">
        <w:rPr>
          <w:rFonts w:hint="eastAsia"/>
        </w:rPr>
        <w:t>MLI</w:t>
      </w:r>
      <w:r w:rsidR="00126EFD">
        <w:t xml:space="preserve"> </w:t>
      </w:r>
      <w:r w:rsidR="00126EFD">
        <w:rPr>
          <w:b/>
          <w:bCs/>
        </w:rPr>
        <w:t>(e)</w:t>
      </w:r>
      <w:r w:rsidR="00126EFD">
        <w:t>.</w:t>
      </w:r>
    </w:p>
    <w:p w14:paraId="6C62AD45" w14:textId="48FB9DF0" w:rsidR="009E3EAD" w:rsidRPr="00FA0EDE" w:rsidRDefault="009E3EAD" w:rsidP="000B33DF">
      <w:pPr>
        <w:pStyle w:val="ac"/>
        <w:numPr>
          <w:ilvl w:val="0"/>
          <w:numId w:val="1"/>
        </w:numPr>
        <w:ind w:firstLineChars="0"/>
        <w:rPr>
          <w:rStyle w:val="10"/>
          <w:bCs w:val="0"/>
        </w:rPr>
      </w:pPr>
      <w:r w:rsidRPr="009E3EAD">
        <w:rPr>
          <w:rStyle w:val="10"/>
          <w:bCs w:val="0"/>
        </w:rPr>
        <w:t>Spatial heterogeneity in global population-weighted</w:t>
      </w:r>
      <w:r w:rsidR="00FA0EDE">
        <w:rPr>
          <w:rStyle w:val="10"/>
          <w:rFonts w:hint="eastAsia"/>
          <w:bCs w:val="0"/>
        </w:rPr>
        <w:t xml:space="preserve"> </w:t>
      </w:r>
      <w:r w:rsidRPr="00FA0EDE">
        <w:rPr>
          <w:rStyle w:val="10"/>
          <w:bCs w:val="0"/>
        </w:rPr>
        <w:t>concentrations of PM</w:t>
      </w:r>
      <w:r w:rsidRPr="00FA0EDE">
        <w:rPr>
          <w:rStyle w:val="10"/>
          <w:bCs w:val="0"/>
          <w:vertAlign w:val="subscript"/>
        </w:rPr>
        <w:t>2.5</w:t>
      </w:r>
      <w:r w:rsidR="00FA0EDE" w:rsidRPr="00FA0EDE">
        <w:rPr>
          <w:rStyle w:val="10"/>
          <w:rFonts w:hint="eastAsia"/>
          <w:bCs w:val="0"/>
        </w:rPr>
        <w:t xml:space="preserve"> (PWAC)</w:t>
      </w:r>
    </w:p>
    <w:p w14:paraId="1F490078" w14:textId="369926D9" w:rsidR="001F1E54" w:rsidRPr="00FA0EDE" w:rsidRDefault="00FA0EDE" w:rsidP="000B33DF">
      <w:r w:rsidRPr="00FA0EDE">
        <w:t>Figure S3 illustrates the spatiotemporal patterns of global PWAC</w:t>
      </w:r>
      <w:r w:rsidRPr="00FA0EDE">
        <w:rPr>
          <w:b/>
          <w:bCs/>
        </w:rPr>
        <w:t>.</w:t>
      </w:r>
      <w:r w:rsidRPr="00FA0EDE">
        <w:t xml:space="preserve"> Over 30% of the global regions exhibit PWAC levels exceeding 25 </w:t>
      </w:r>
      <w:proofErr w:type="spellStart"/>
      <w:r w:rsidRPr="00FA0EDE">
        <w:t>μg</w:t>
      </w:r>
      <w:proofErr w:type="spellEnd"/>
      <w:r w:rsidRPr="00FA0EDE">
        <w:t xml:space="preserve">/m³, predominantly concentrated </w:t>
      </w:r>
      <w:r w:rsidRPr="00FA0EDE">
        <w:lastRenderedPageBreak/>
        <w:t>in Asia and Africa. Specifically, 65% of Africa and over 36% of Asia fall within this concentration range. Correspondingly, the proportion of low-income and lower-middle-income regions within this range is also the highest, at 76% and 63%, respectively. In contrast, Oceania, North America, and Europe each have less than 5% of areas within this PWAC concentration range, resulting in the lowest proportion observed in high-income regions, at 8.5</w:t>
      </w:r>
      <w:proofErr w:type="gramStart"/>
      <w:r w:rsidRPr="00FA0EDE">
        <w:t>%.The</w:t>
      </w:r>
      <w:proofErr w:type="gramEnd"/>
      <w:r w:rsidRPr="00FA0EDE">
        <w:t xml:space="preserve"> regional distribution of multi-year average PWAC shows similar disparities. Africa and Asia have the highest multi-year average PWAC, at 33.2 </w:t>
      </w:r>
      <w:proofErr w:type="spellStart"/>
      <w:r w:rsidRPr="00FA0EDE">
        <w:t>μg</w:t>
      </w:r>
      <w:proofErr w:type="spellEnd"/>
      <w:r w:rsidRPr="00FA0EDE">
        <w:t xml:space="preserve">/m³ and 22.7 </w:t>
      </w:r>
      <w:proofErr w:type="spellStart"/>
      <w:r w:rsidRPr="00FA0EDE">
        <w:t>μg</w:t>
      </w:r>
      <w:proofErr w:type="spellEnd"/>
      <w:r w:rsidRPr="00FA0EDE">
        <w:t xml:space="preserve">/m³, respectively, while Oceania, North America, and Europe have the lowest, at 5.8 </w:t>
      </w:r>
      <w:proofErr w:type="spellStart"/>
      <w:r w:rsidRPr="00FA0EDE">
        <w:t>μg</w:t>
      </w:r>
      <w:proofErr w:type="spellEnd"/>
      <w:r w:rsidRPr="00FA0EDE">
        <w:t xml:space="preserve">/m³, 7.9 </w:t>
      </w:r>
      <w:proofErr w:type="spellStart"/>
      <w:r w:rsidRPr="00FA0EDE">
        <w:t>μg</w:t>
      </w:r>
      <w:proofErr w:type="spellEnd"/>
      <w:r w:rsidRPr="00FA0EDE">
        <w:t xml:space="preserve">/m³, and 12.3 </w:t>
      </w:r>
      <w:proofErr w:type="spellStart"/>
      <w:r w:rsidRPr="00FA0EDE">
        <w:t>μg</w:t>
      </w:r>
      <w:proofErr w:type="spellEnd"/>
      <w:r w:rsidRPr="00FA0EDE">
        <w:t xml:space="preserve">/m³, respectively. The multi-year average PWAC is highest in low-income and lower-middle-income regions, at 36.9 </w:t>
      </w:r>
      <w:proofErr w:type="spellStart"/>
      <w:r w:rsidRPr="00FA0EDE">
        <w:t>μg</w:t>
      </w:r>
      <w:proofErr w:type="spellEnd"/>
      <w:r w:rsidRPr="00FA0EDE">
        <w:t xml:space="preserve">/m³ and 33.2 </w:t>
      </w:r>
      <w:proofErr w:type="spellStart"/>
      <w:r w:rsidRPr="00FA0EDE">
        <w:t>μg</w:t>
      </w:r>
      <w:proofErr w:type="spellEnd"/>
      <w:r w:rsidRPr="00FA0EDE">
        <w:t xml:space="preserve">/m³, respectively, while high-income regions exhibit the lowest average, at 12.3 </w:t>
      </w:r>
      <w:proofErr w:type="spellStart"/>
      <w:r w:rsidRPr="00FA0EDE">
        <w:t>μg</w:t>
      </w:r>
      <w:proofErr w:type="spellEnd"/>
      <w:r w:rsidRPr="00FA0EDE">
        <w:t>/m³.</w:t>
      </w:r>
    </w:p>
    <w:p w14:paraId="4EA3B7C3" w14:textId="77777777" w:rsidR="001F1E54" w:rsidRDefault="00000000" w:rsidP="000B33DF">
      <w:r>
        <w:rPr>
          <w:noProof/>
        </w:rPr>
        <w:drawing>
          <wp:inline distT="0" distB="0" distL="114300" distR="114300" wp14:anchorId="53F3C7A3" wp14:editId="4A3E9ABF">
            <wp:extent cx="5296535" cy="3985895"/>
            <wp:effectExtent l="0" t="0" r="18415" b="14605"/>
            <wp:docPr id="6" name="图片 6" descr="全球人口加权浓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全球人口加权浓度"/>
                    <pic:cNvPicPr>
                      <a:picLocks noChangeAspect="1"/>
                    </pic:cNvPicPr>
                  </pic:nvPicPr>
                  <pic:blipFill>
                    <a:blip r:embed="rId18"/>
                    <a:stretch>
                      <a:fillRect/>
                    </a:stretch>
                  </pic:blipFill>
                  <pic:spPr>
                    <a:xfrm>
                      <a:off x="0" y="0"/>
                      <a:ext cx="5296535" cy="3985895"/>
                    </a:xfrm>
                    <a:prstGeom prst="rect">
                      <a:avLst/>
                    </a:prstGeom>
                  </pic:spPr>
                </pic:pic>
              </a:graphicData>
            </a:graphic>
          </wp:inline>
        </w:drawing>
      </w:r>
    </w:p>
    <w:p w14:paraId="79CD8835" w14:textId="199C090A" w:rsidR="001F1E54" w:rsidRDefault="009E3EAD" w:rsidP="000B33DF">
      <w:r w:rsidRPr="009E3EAD">
        <w:rPr>
          <w:b/>
          <w:bCs/>
        </w:rPr>
        <w:t>Figure</w:t>
      </w:r>
      <w:r w:rsidRPr="009E3EAD">
        <w:rPr>
          <w:rFonts w:hint="eastAsia"/>
          <w:b/>
          <w:bCs/>
        </w:rPr>
        <w:t xml:space="preserve"> </w:t>
      </w:r>
      <w:r w:rsidRPr="009E3EAD">
        <w:rPr>
          <w:b/>
          <w:bCs/>
        </w:rPr>
        <w:t>S</w:t>
      </w:r>
      <w:r w:rsidRPr="009E3EAD">
        <w:rPr>
          <w:rFonts w:hint="eastAsia"/>
          <w:b/>
          <w:bCs/>
        </w:rPr>
        <w:t xml:space="preserve">3: </w:t>
      </w:r>
      <w:r w:rsidRPr="009E3EAD">
        <w:rPr>
          <w:b/>
          <w:bCs/>
        </w:rPr>
        <w:t>Spatiotemporal characteristics of global PWAC from 2000</w:t>
      </w:r>
      <w:r w:rsidRPr="009E3EAD">
        <w:rPr>
          <w:rFonts w:hint="eastAsia"/>
          <w:b/>
          <w:bCs/>
        </w:rPr>
        <w:t>-</w:t>
      </w:r>
      <w:r w:rsidRPr="009E3EAD">
        <w:rPr>
          <w:b/>
          <w:bCs/>
        </w:rPr>
        <w:t>2019</w:t>
      </w:r>
      <w:r w:rsidRPr="009E3EAD">
        <w:rPr>
          <w:rFonts w:hint="eastAsia"/>
          <w:b/>
          <w:bCs/>
        </w:rPr>
        <w:t xml:space="preserve">. </w:t>
      </w:r>
      <w:r>
        <w:rPr>
          <w:rFonts w:hint="eastAsia"/>
          <w:b/>
        </w:rPr>
        <w:t>(a)</w:t>
      </w:r>
      <w:r>
        <w:t>Spatiotemporal characteristics of global PWAC from 2000</w:t>
      </w:r>
      <w:r>
        <w:rPr>
          <w:rFonts w:hint="eastAsia"/>
        </w:rPr>
        <w:t>-</w:t>
      </w:r>
      <w:r>
        <w:t>2019</w:t>
      </w:r>
      <w:r>
        <w:rPr>
          <w:rFonts w:hint="eastAsia"/>
        </w:rPr>
        <w:t xml:space="preserve">; </w:t>
      </w:r>
      <w:r>
        <w:rPr>
          <w:rFonts w:hint="eastAsia"/>
          <w:b/>
        </w:rPr>
        <w:t>(b)</w:t>
      </w:r>
      <w:r>
        <w:t>Temporal trends of PWAC for different income levels from 2000</w:t>
      </w:r>
      <w:r>
        <w:rPr>
          <w:rFonts w:hint="eastAsia"/>
        </w:rPr>
        <w:t>-</w:t>
      </w:r>
      <w:r>
        <w:t>2019;</w:t>
      </w:r>
      <w:r>
        <w:rPr>
          <w:rFonts w:hint="eastAsia"/>
        </w:rPr>
        <w:t xml:space="preserve"> </w:t>
      </w:r>
      <w:r>
        <w:rPr>
          <w:rFonts w:hint="eastAsia"/>
          <w:b/>
        </w:rPr>
        <w:t>(c)</w:t>
      </w:r>
      <w:r>
        <w:t>Temporal trends of PWAC for different continents from 2000</w:t>
      </w:r>
      <w:r>
        <w:rPr>
          <w:rFonts w:hint="eastAsia"/>
        </w:rPr>
        <w:t>-</w:t>
      </w:r>
      <w:r>
        <w:t>2019.</w:t>
      </w:r>
    </w:p>
    <w:p w14:paraId="5CEF4752" w14:textId="77777777" w:rsidR="001F1E54" w:rsidRDefault="001F1E54" w:rsidP="000B33DF"/>
    <w:p w14:paraId="75887DDB" w14:textId="582186C3" w:rsidR="0010513D" w:rsidRPr="009E4DCD" w:rsidRDefault="0010513D" w:rsidP="000B33DF">
      <w:pPr>
        <w:rPr>
          <w:rStyle w:val="10"/>
          <w:b w:val="0"/>
          <w:bCs w:val="0"/>
          <w:sz w:val="32"/>
        </w:rPr>
      </w:pPr>
      <w:r w:rsidRPr="009E4DCD">
        <w:rPr>
          <w:b/>
          <w:bCs/>
        </w:rPr>
        <w:lastRenderedPageBreak/>
        <w:t>References</w:t>
      </w:r>
    </w:p>
    <w:p w14:paraId="0340B820" w14:textId="7B882973" w:rsidR="0010513D" w:rsidRPr="0010513D" w:rsidRDefault="0010513D" w:rsidP="000B33DF">
      <w:pPr>
        <w:pStyle w:val="ac"/>
        <w:numPr>
          <w:ilvl w:val="0"/>
          <w:numId w:val="2"/>
        </w:numPr>
        <w:ind w:firstLineChars="0"/>
        <w:rPr>
          <w:rStyle w:val="10"/>
          <w:b w:val="0"/>
          <w:sz w:val="24"/>
          <w:szCs w:val="24"/>
        </w:rPr>
      </w:pPr>
      <w:r w:rsidRPr="0010513D">
        <w:rPr>
          <w:rStyle w:val="10"/>
          <w:b w:val="0"/>
          <w:sz w:val="24"/>
          <w:szCs w:val="24"/>
        </w:rPr>
        <w:t xml:space="preserve">Van </w:t>
      </w:r>
      <w:proofErr w:type="spellStart"/>
      <w:r w:rsidRPr="0010513D">
        <w:rPr>
          <w:rStyle w:val="10"/>
          <w:b w:val="0"/>
          <w:sz w:val="24"/>
          <w:szCs w:val="24"/>
        </w:rPr>
        <w:t>Dingenen</w:t>
      </w:r>
      <w:proofErr w:type="spellEnd"/>
      <w:r w:rsidRPr="0010513D">
        <w:rPr>
          <w:rStyle w:val="10"/>
          <w:b w:val="0"/>
          <w:sz w:val="24"/>
          <w:szCs w:val="24"/>
        </w:rPr>
        <w:t xml:space="preserve">, R., Dentener, F. J., Raes, F., Krol, M. C., Emberson, L., &amp; </w:t>
      </w:r>
      <w:proofErr w:type="spellStart"/>
      <w:r w:rsidRPr="0010513D">
        <w:rPr>
          <w:rStyle w:val="10"/>
          <w:b w:val="0"/>
          <w:sz w:val="24"/>
          <w:szCs w:val="24"/>
        </w:rPr>
        <w:t>Cofala</w:t>
      </w:r>
      <w:proofErr w:type="spellEnd"/>
      <w:r w:rsidRPr="0010513D">
        <w:rPr>
          <w:rStyle w:val="10"/>
          <w:b w:val="0"/>
          <w:sz w:val="24"/>
          <w:szCs w:val="24"/>
        </w:rPr>
        <w:t>, J. (2009). The global impact of ozone on agricultural crop yields under current and future air quality legislation. Atmospheric Environment, 43(3), 604-618.</w:t>
      </w:r>
    </w:p>
    <w:p w14:paraId="64E465DC" w14:textId="097402C0" w:rsidR="0010513D" w:rsidRDefault="0010513D" w:rsidP="000B33DF">
      <w:pPr>
        <w:pStyle w:val="ac"/>
        <w:numPr>
          <w:ilvl w:val="0"/>
          <w:numId w:val="2"/>
        </w:numPr>
        <w:ind w:firstLineChars="0"/>
      </w:pPr>
      <w:r w:rsidRPr="00003DE9">
        <w:t xml:space="preserve">Cohen, A. J., Brauer, M., Burnett, R., Anderson, H. R., Frostad, J., Estep, K., ... &amp; </w:t>
      </w:r>
      <w:proofErr w:type="spellStart"/>
      <w:r w:rsidRPr="00003DE9">
        <w:t>Forouzanfar</w:t>
      </w:r>
      <w:proofErr w:type="spellEnd"/>
      <w:r w:rsidRPr="00003DE9">
        <w:t xml:space="preserve">, M. H. (2017). Estimates and 25-year trends of the global burden of disease attributable to ambient air pollution: an analysis of data from the Global Burden of Diseases Study 2015. </w:t>
      </w:r>
      <w:r w:rsidRPr="0010513D">
        <w:rPr>
          <w:i/>
          <w:iCs/>
        </w:rPr>
        <w:t>The Lancet</w:t>
      </w:r>
      <w:r w:rsidRPr="00003DE9">
        <w:t>, 389(10082), 1907-1918.</w:t>
      </w:r>
    </w:p>
    <w:p w14:paraId="292498A5" w14:textId="276CF368" w:rsidR="0010513D" w:rsidRDefault="0010513D" w:rsidP="000B33DF">
      <w:pPr>
        <w:pStyle w:val="ac"/>
        <w:numPr>
          <w:ilvl w:val="0"/>
          <w:numId w:val="2"/>
        </w:numPr>
        <w:ind w:firstLineChars="0"/>
      </w:pPr>
      <w:r w:rsidRPr="00003DE9">
        <w:t xml:space="preserve">Smith, K. R., Bruce, N., Balakrishnan, K., Adair-Rohani, H., Balmes, J., Chafe, Z., ... &amp; </w:t>
      </w:r>
      <w:proofErr w:type="spellStart"/>
      <w:r w:rsidRPr="00003DE9">
        <w:t>Rehfuess</w:t>
      </w:r>
      <w:proofErr w:type="spellEnd"/>
      <w:r w:rsidRPr="00003DE9">
        <w:t xml:space="preserve">, E. (2013). </w:t>
      </w:r>
      <w:proofErr w:type="gramStart"/>
      <w:r w:rsidRPr="00003DE9">
        <w:t>Millions</w:t>
      </w:r>
      <w:proofErr w:type="gramEnd"/>
      <w:r w:rsidRPr="00003DE9">
        <w:t xml:space="preserve"> dead: how do we know and what does it mean? Methods used in the comparative risk assessment of household air pollution. </w:t>
      </w:r>
      <w:r w:rsidRPr="0010513D">
        <w:rPr>
          <w:i/>
          <w:iCs/>
        </w:rPr>
        <w:t>Annual Review of Public Health</w:t>
      </w:r>
      <w:r w:rsidRPr="00003DE9">
        <w:t>, 35, 185-206.</w:t>
      </w:r>
    </w:p>
    <w:p w14:paraId="7C00B5C0" w14:textId="49B5659E" w:rsidR="0010513D" w:rsidRDefault="0010513D" w:rsidP="000B33DF">
      <w:pPr>
        <w:pStyle w:val="ac"/>
        <w:numPr>
          <w:ilvl w:val="0"/>
          <w:numId w:val="2"/>
        </w:numPr>
        <w:ind w:firstLineChars="0"/>
      </w:pPr>
      <w:r w:rsidRPr="00003DE9">
        <w:t xml:space="preserve">Shindell, D., </w:t>
      </w:r>
      <w:proofErr w:type="spellStart"/>
      <w:r w:rsidRPr="00003DE9">
        <w:t>Faluvegi</w:t>
      </w:r>
      <w:proofErr w:type="spellEnd"/>
      <w:r w:rsidRPr="00003DE9">
        <w:t xml:space="preserve">, G., Koch, D. M., Schmidt, G. A., Unger, N., &amp; Bauer, S. E. (2012). Improved attribution of climate forcing to emissions. </w:t>
      </w:r>
      <w:r w:rsidRPr="0010513D">
        <w:rPr>
          <w:i/>
          <w:iCs/>
        </w:rPr>
        <w:t>Science</w:t>
      </w:r>
      <w:r w:rsidRPr="00003DE9">
        <w:t>, 326(5953), 716-718.</w:t>
      </w:r>
    </w:p>
    <w:p w14:paraId="42496F5A" w14:textId="209A222B" w:rsidR="0010513D" w:rsidRDefault="0010513D" w:rsidP="000B33DF">
      <w:pPr>
        <w:pStyle w:val="ac"/>
        <w:numPr>
          <w:ilvl w:val="0"/>
          <w:numId w:val="2"/>
        </w:numPr>
        <w:ind w:firstLineChars="0"/>
      </w:pPr>
      <w:r w:rsidRPr="00003DE9">
        <w:t xml:space="preserve">Ramanathan, V., &amp; Feng, Y. (2009). Air pollution, greenhouse gases and climate change: Global and regional perspectives. </w:t>
      </w:r>
      <w:r w:rsidRPr="0010513D">
        <w:rPr>
          <w:i/>
          <w:iCs/>
        </w:rPr>
        <w:t>Atmospheric Environment</w:t>
      </w:r>
      <w:r w:rsidRPr="00003DE9">
        <w:t>, 43(1), 37-50.</w:t>
      </w:r>
    </w:p>
    <w:p w14:paraId="1641990E" w14:textId="2C75D247" w:rsidR="0010513D" w:rsidRDefault="0010513D" w:rsidP="000B33DF">
      <w:pPr>
        <w:pStyle w:val="ac"/>
        <w:numPr>
          <w:ilvl w:val="0"/>
          <w:numId w:val="2"/>
        </w:numPr>
        <w:ind w:firstLineChars="0"/>
      </w:pPr>
      <w:r w:rsidRPr="00003DE9">
        <w:t xml:space="preserve">Clark, L. P., Millet, D. B., &amp; Marshall, J. D. (2014). National patterns in environmental injustice and inequality: Outdoor NO2 air pollution in the United States. </w:t>
      </w:r>
      <w:r w:rsidRPr="0010513D">
        <w:rPr>
          <w:i/>
          <w:iCs/>
        </w:rPr>
        <w:t>PLOS One</w:t>
      </w:r>
      <w:r w:rsidRPr="00003DE9">
        <w:t>, 9(4), e94431.</w:t>
      </w:r>
    </w:p>
    <w:p w14:paraId="6D995AE4" w14:textId="40899EAF" w:rsidR="0010513D" w:rsidRDefault="0010513D" w:rsidP="000B33DF">
      <w:pPr>
        <w:pStyle w:val="ac"/>
        <w:numPr>
          <w:ilvl w:val="0"/>
          <w:numId w:val="2"/>
        </w:numPr>
        <w:ind w:firstLineChars="0"/>
      </w:pPr>
      <w:r w:rsidRPr="00003DE9">
        <w:t xml:space="preserve">World Health Organization (WHO). (2016). Ambient air pollution: A global assessment of exposure and burden of disease. </w:t>
      </w:r>
      <w:r w:rsidRPr="0010513D">
        <w:rPr>
          <w:i/>
          <w:iCs/>
        </w:rPr>
        <w:t>World Health Organization</w:t>
      </w:r>
      <w:r w:rsidRPr="00003DE9">
        <w:t>.</w:t>
      </w:r>
    </w:p>
    <w:p w14:paraId="2F40CE7F" w14:textId="108BBA02" w:rsidR="0010513D" w:rsidRDefault="0010513D" w:rsidP="000B33DF">
      <w:pPr>
        <w:pStyle w:val="ac"/>
        <w:numPr>
          <w:ilvl w:val="0"/>
          <w:numId w:val="2"/>
        </w:numPr>
        <w:ind w:firstLineChars="0"/>
      </w:pPr>
      <w:r w:rsidRPr="00003DE9">
        <w:t xml:space="preserve">Bond, T. C., Doherty, S. J., Fahey, D. W., Forster, P. M., Berntsen, T., DeAngelo, B. J., ... &amp; Zender, C. S. (2013). Bounding the role of black carbon in the climate system: A scientific assessment. </w:t>
      </w:r>
      <w:r w:rsidRPr="0010513D">
        <w:rPr>
          <w:i/>
          <w:iCs/>
        </w:rPr>
        <w:t>Journal of Geophysical Research: Atmospheres</w:t>
      </w:r>
      <w:r w:rsidRPr="00003DE9">
        <w:t>, 118(11), 5380-5552.</w:t>
      </w:r>
    </w:p>
    <w:p w14:paraId="4B8AF111" w14:textId="3DF1E090" w:rsidR="001F1E54" w:rsidRDefault="001F1E54" w:rsidP="000B33DF"/>
    <w:sectPr w:rsidR="001F1E54" w:rsidSect="00A931C7">
      <w:headerReference w:type="even" r:id="rId19"/>
      <w:headerReference w:type="default" r:id="rId20"/>
      <w:footerReference w:type="even" r:id="rId21"/>
      <w:footerReference w:type="default" r:id="rId22"/>
      <w:headerReference w:type="first" r:id="rId23"/>
      <w:footerReference w:type="first" r:id="rId24"/>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203348" w14:textId="77777777" w:rsidR="00A909E8" w:rsidRDefault="00A909E8" w:rsidP="000B33DF">
      <w:pPr>
        <w:spacing w:before="120" w:after="120"/>
      </w:pPr>
      <w:r>
        <w:separator/>
      </w:r>
    </w:p>
  </w:endnote>
  <w:endnote w:type="continuationSeparator" w:id="0">
    <w:p w14:paraId="1212B403" w14:textId="77777777" w:rsidR="00A909E8" w:rsidRDefault="00A909E8" w:rsidP="000B33DF">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AEF0B" w14:textId="77777777" w:rsidR="008C35BA" w:rsidRDefault="008C35BA" w:rsidP="000B33DF">
    <w:pPr>
      <w:pStyle w:val="a9"/>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0A830" w14:textId="77777777" w:rsidR="008C35BA" w:rsidRDefault="008C35BA" w:rsidP="000B33DF">
    <w:pPr>
      <w:pStyle w:val="a9"/>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B37D" w14:textId="77777777" w:rsidR="008C35BA" w:rsidRDefault="008C35BA" w:rsidP="000B33DF">
    <w:pPr>
      <w:pStyle w:val="a9"/>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09BF6" w14:textId="77777777" w:rsidR="00A909E8" w:rsidRDefault="00A909E8" w:rsidP="000B33DF">
      <w:pPr>
        <w:spacing w:before="120" w:after="120"/>
      </w:pPr>
      <w:r>
        <w:separator/>
      </w:r>
    </w:p>
  </w:footnote>
  <w:footnote w:type="continuationSeparator" w:id="0">
    <w:p w14:paraId="2AD5BC1B" w14:textId="77777777" w:rsidR="00A909E8" w:rsidRDefault="00A909E8" w:rsidP="000B33DF">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D645C" w14:textId="77777777" w:rsidR="008C35BA" w:rsidRDefault="008C35BA" w:rsidP="000B33DF">
    <w:pPr>
      <w:pStyle w:val="a7"/>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94E4F" w14:textId="77777777" w:rsidR="008C35BA" w:rsidRDefault="008C35BA" w:rsidP="000B33DF">
    <w:pPr>
      <w:pStyle w:val="a7"/>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82FCF" w14:textId="77777777" w:rsidR="008C35BA" w:rsidRDefault="008C35BA" w:rsidP="000B33DF">
    <w:pPr>
      <w:pStyle w:val="a7"/>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18446C"/>
    <w:multiLevelType w:val="hybridMultilevel"/>
    <w:tmpl w:val="6262B7CE"/>
    <w:lvl w:ilvl="0" w:tplc="6944C91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9E035C4"/>
    <w:multiLevelType w:val="hybridMultilevel"/>
    <w:tmpl w:val="9A5C3726"/>
    <w:lvl w:ilvl="0" w:tplc="F3800EE4">
      <w:start w:val="1"/>
      <w:numFmt w:val="decimal"/>
      <w:lvlText w:val="%1."/>
      <w:lvlJc w:val="left"/>
      <w:pPr>
        <w:ind w:left="360" w:hanging="360"/>
      </w:pPr>
      <w:rPr>
        <w:rFonts w:hint="default"/>
        <w:b/>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2113468">
    <w:abstractNumId w:val="0"/>
  </w:num>
  <w:num w:numId="2" w16cid:durableId="1151601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mJiM2FjZWRhMjY4YTZlNTAwNWYwZTM4OTU3NWNlZWMifQ=="/>
  </w:docVars>
  <w:rsids>
    <w:rsidRoot w:val="0E8F3B84"/>
    <w:rsid w:val="00003DE9"/>
    <w:rsid w:val="0003642D"/>
    <w:rsid w:val="00054457"/>
    <w:rsid w:val="000A1F55"/>
    <w:rsid w:val="000B1A17"/>
    <w:rsid w:val="000B33DF"/>
    <w:rsid w:val="0010513D"/>
    <w:rsid w:val="00126EFD"/>
    <w:rsid w:val="00157E6F"/>
    <w:rsid w:val="001C342E"/>
    <w:rsid w:val="001D500D"/>
    <w:rsid w:val="001F0D95"/>
    <w:rsid w:val="001F1E54"/>
    <w:rsid w:val="002572C0"/>
    <w:rsid w:val="00391964"/>
    <w:rsid w:val="003D3240"/>
    <w:rsid w:val="004772B3"/>
    <w:rsid w:val="00503622"/>
    <w:rsid w:val="005B0BB0"/>
    <w:rsid w:val="00661DE5"/>
    <w:rsid w:val="006626DA"/>
    <w:rsid w:val="006F7380"/>
    <w:rsid w:val="00720A7C"/>
    <w:rsid w:val="007D1C9E"/>
    <w:rsid w:val="008442F3"/>
    <w:rsid w:val="00856E91"/>
    <w:rsid w:val="00894A06"/>
    <w:rsid w:val="008C35BA"/>
    <w:rsid w:val="008D482A"/>
    <w:rsid w:val="00957443"/>
    <w:rsid w:val="009E3EAD"/>
    <w:rsid w:val="009E4DCD"/>
    <w:rsid w:val="00A132EE"/>
    <w:rsid w:val="00A909E8"/>
    <w:rsid w:val="00A931C7"/>
    <w:rsid w:val="00B469A6"/>
    <w:rsid w:val="00B72C32"/>
    <w:rsid w:val="00C34944"/>
    <w:rsid w:val="00C62F7B"/>
    <w:rsid w:val="00C80D6F"/>
    <w:rsid w:val="00C97DCF"/>
    <w:rsid w:val="00CC58E8"/>
    <w:rsid w:val="00E356E3"/>
    <w:rsid w:val="00EA4199"/>
    <w:rsid w:val="00ED5A4E"/>
    <w:rsid w:val="00F975C2"/>
    <w:rsid w:val="00FA0EDE"/>
    <w:rsid w:val="00FC2E54"/>
    <w:rsid w:val="017460A8"/>
    <w:rsid w:val="01AE20FE"/>
    <w:rsid w:val="024F2A84"/>
    <w:rsid w:val="0266285B"/>
    <w:rsid w:val="040B1E30"/>
    <w:rsid w:val="047700A4"/>
    <w:rsid w:val="056120BB"/>
    <w:rsid w:val="0610766E"/>
    <w:rsid w:val="07936029"/>
    <w:rsid w:val="0843241C"/>
    <w:rsid w:val="0B744211"/>
    <w:rsid w:val="0D1B2AB0"/>
    <w:rsid w:val="0E8F3B84"/>
    <w:rsid w:val="0EA0665C"/>
    <w:rsid w:val="0F627A9B"/>
    <w:rsid w:val="0F875F12"/>
    <w:rsid w:val="117E2B50"/>
    <w:rsid w:val="127827E6"/>
    <w:rsid w:val="12944A50"/>
    <w:rsid w:val="137C2616"/>
    <w:rsid w:val="13CD2776"/>
    <w:rsid w:val="143D057B"/>
    <w:rsid w:val="15C55B8C"/>
    <w:rsid w:val="1606634E"/>
    <w:rsid w:val="163E02DC"/>
    <w:rsid w:val="167139EB"/>
    <w:rsid w:val="16E24162"/>
    <w:rsid w:val="18E91CDB"/>
    <w:rsid w:val="195D32FF"/>
    <w:rsid w:val="1AAD7F27"/>
    <w:rsid w:val="1B7959F7"/>
    <w:rsid w:val="1D2D604C"/>
    <w:rsid w:val="1E2B5AF5"/>
    <w:rsid w:val="1FBD23C5"/>
    <w:rsid w:val="20CF7BED"/>
    <w:rsid w:val="21FC67E6"/>
    <w:rsid w:val="24290B8A"/>
    <w:rsid w:val="245442D6"/>
    <w:rsid w:val="24DC59E9"/>
    <w:rsid w:val="24F834BE"/>
    <w:rsid w:val="278D1F67"/>
    <w:rsid w:val="2A06225A"/>
    <w:rsid w:val="2C7F2999"/>
    <w:rsid w:val="2DD567E6"/>
    <w:rsid w:val="2DF306C9"/>
    <w:rsid w:val="2EE308C7"/>
    <w:rsid w:val="2F6C7775"/>
    <w:rsid w:val="2FEA13FD"/>
    <w:rsid w:val="3020552E"/>
    <w:rsid w:val="302A5A00"/>
    <w:rsid w:val="31F3184C"/>
    <w:rsid w:val="34105D1D"/>
    <w:rsid w:val="34325406"/>
    <w:rsid w:val="346B3C01"/>
    <w:rsid w:val="34713BFD"/>
    <w:rsid w:val="36127F8E"/>
    <w:rsid w:val="370761D9"/>
    <w:rsid w:val="38196915"/>
    <w:rsid w:val="386615A8"/>
    <w:rsid w:val="393A3BDF"/>
    <w:rsid w:val="3A8730BD"/>
    <w:rsid w:val="3E0315B9"/>
    <w:rsid w:val="413C26DC"/>
    <w:rsid w:val="41431738"/>
    <w:rsid w:val="41E952A1"/>
    <w:rsid w:val="423B3780"/>
    <w:rsid w:val="433A4720"/>
    <w:rsid w:val="439131C5"/>
    <w:rsid w:val="43A03626"/>
    <w:rsid w:val="4466465B"/>
    <w:rsid w:val="44A504D3"/>
    <w:rsid w:val="452C71F8"/>
    <w:rsid w:val="45E111D2"/>
    <w:rsid w:val="46DF6E82"/>
    <w:rsid w:val="47402754"/>
    <w:rsid w:val="48AA360B"/>
    <w:rsid w:val="49AA1621"/>
    <w:rsid w:val="4BBC7BE4"/>
    <w:rsid w:val="4E3771A2"/>
    <w:rsid w:val="5076799B"/>
    <w:rsid w:val="51A15BA7"/>
    <w:rsid w:val="51D5415B"/>
    <w:rsid w:val="52A06CCC"/>
    <w:rsid w:val="53A76A1C"/>
    <w:rsid w:val="54D5097B"/>
    <w:rsid w:val="5693110A"/>
    <w:rsid w:val="56936CDF"/>
    <w:rsid w:val="57266914"/>
    <w:rsid w:val="5A9222D8"/>
    <w:rsid w:val="5AEF6EF7"/>
    <w:rsid w:val="5B8D4266"/>
    <w:rsid w:val="5C733434"/>
    <w:rsid w:val="5DBC642D"/>
    <w:rsid w:val="5E720B68"/>
    <w:rsid w:val="5F1863C2"/>
    <w:rsid w:val="60E94998"/>
    <w:rsid w:val="61F6719B"/>
    <w:rsid w:val="6393508F"/>
    <w:rsid w:val="651E5EBC"/>
    <w:rsid w:val="671E1CEC"/>
    <w:rsid w:val="672A73B6"/>
    <w:rsid w:val="6A812C80"/>
    <w:rsid w:val="6D125EEA"/>
    <w:rsid w:val="6D266B3F"/>
    <w:rsid w:val="6E5813AF"/>
    <w:rsid w:val="6ECB4864"/>
    <w:rsid w:val="6F3B6D06"/>
    <w:rsid w:val="6F4375F5"/>
    <w:rsid w:val="6F681715"/>
    <w:rsid w:val="7181463E"/>
    <w:rsid w:val="7288319E"/>
    <w:rsid w:val="72A15D8C"/>
    <w:rsid w:val="733C129F"/>
    <w:rsid w:val="73F13E37"/>
    <w:rsid w:val="744B02AA"/>
    <w:rsid w:val="745E614E"/>
    <w:rsid w:val="767E0279"/>
    <w:rsid w:val="769C229A"/>
    <w:rsid w:val="77301EED"/>
    <w:rsid w:val="77DE2925"/>
    <w:rsid w:val="78623564"/>
    <w:rsid w:val="7961380D"/>
    <w:rsid w:val="79E47F9A"/>
    <w:rsid w:val="7AD442CB"/>
    <w:rsid w:val="7BC311C4"/>
    <w:rsid w:val="7BC702F4"/>
    <w:rsid w:val="7BF603B2"/>
    <w:rsid w:val="7C122B6F"/>
    <w:rsid w:val="7C9D38EE"/>
    <w:rsid w:val="7DEE0347"/>
    <w:rsid w:val="7F8244DD"/>
    <w:rsid w:val="7FEA3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A80C2"/>
  <w15:docId w15:val="{02EF5B9E-7040-4C67-A728-48568C6A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0B33DF"/>
    <w:pPr>
      <w:autoSpaceDE w:val="0"/>
      <w:autoSpaceDN w:val="0"/>
      <w:adjustRightInd w:val="0"/>
      <w:snapToGrid w:val="0"/>
      <w:spacing w:beforeLines="50" w:before="163" w:afterLines="50" w:after="163" w:line="360" w:lineRule="auto"/>
      <w:jc w:val="both"/>
    </w:pPr>
    <w:rPr>
      <w:kern w:val="32"/>
      <w:sz w:val="24"/>
      <w:szCs w:val="24"/>
      <w:lang w:bidi="en-US"/>
    </w:rPr>
  </w:style>
  <w:style w:type="paragraph" w:styleId="1">
    <w:name w:val="heading 1"/>
    <w:basedOn w:val="a"/>
    <w:next w:val="a"/>
    <w:link w:val="10"/>
    <w:qFormat/>
    <w:pPr>
      <w:keepNext/>
      <w:keepLines/>
      <w:outlineLvl w:val="0"/>
    </w:pPr>
    <w:rPr>
      <w:b/>
      <w:kern w:val="44"/>
      <w:sz w:val="30"/>
      <w:szCs w:val="44"/>
    </w:rPr>
  </w:style>
  <w:style w:type="paragraph" w:styleId="2">
    <w:name w:val="heading 2"/>
    <w:basedOn w:val="a"/>
    <w:next w:val="a"/>
    <w:link w:val="20"/>
    <w:autoRedefine/>
    <w:unhideWhenUsed/>
    <w:qFormat/>
    <w:pPr>
      <w:keepNext/>
      <w:keepLines/>
      <w:outlineLvl w:val="1"/>
    </w:pPr>
    <w:rPr>
      <w:b/>
      <w:kern w:val="0"/>
      <w:sz w:val="28"/>
      <w:szCs w:val="32"/>
    </w:rPr>
  </w:style>
  <w:style w:type="paragraph" w:styleId="3">
    <w:name w:val="heading 3"/>
    <w:basedOn w:val="a"/>
    <w:next w:val="a"/>
    <w:link w:val="30"/>
    <w:autoRedefine/>
    <w:semiHidden/>
    <w:unhideWhenUsed/>
    <w:qFormat/>
    <w:pPr>
      <w:keepNext/>
      <w:keepLines/>
      <w:spacing w:line="240" w:lineRule="auto"/>
      <w:jc w:val="left"/>
      <w:outlineLvl w:val="2"/>
    </w:pPr>
    <w:rPr>
      <w:rFonts w:eastAsia="楷体"/>
      <w:kern w:val="0"/>
      <w:sz w:val="21"/>
      <w:szCs w:val="32"/>
    </w:rPr>
  </w:style>
  <w:style w:type="paragraph" w:styleId="4">
    <w:name w:val="heading 4"/>
    <w:basedOn w:val="a"/>
    <w:next w:val="a"/>
    <w:link w:val="40"/>
    <w:semiHidden/>
    <w:unhideWhenUsed/>
    <w:qFormat/>
    <w:pPr>
      <w:keepNext/>
      <w:keepLines/>
      <w:spacing w:before="600" w:after="240" w:line="250" w:lineRule="auto"/>
      <w:jc w:val="center"/>
      <w:outlineLvl w:val="3"/>
    </w:pPr>
    <w:rPr>
      <w:rFonts w:eastAsia="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customStyle="1" w:styleId="a4">
    <w:name w:val="公式"/>
    <w:basedOn w:val="a"/>
    <w:next w:val="a"/>
    <w:autoRedefine/>
    <w:qFormat/>
    <w:pPr>
      <w:tabs>
        <w:tab w:val="center" w:pos="4150"/>
        <w:tab w:val="right" w:pos="8402"/>
      </w:tabs>
    </w:pPr>
    <w:rPr>
      <w:rFonts w:hint="eastAsia"/>
    </w:rPr>
  </w:style>
  <w:style w:type="character" w:customStyle="1" w:styleId="10">
    <w:name w:val="标题 1 字符"/>
    <w:link w:val="1"/>
    <w:qFormat/>
    <w:rPr>
      <w:rFonts w:ascii="Times New Roman" w:eastAsia="宋体" w:hAnsi="Times New Roman" w:cs="Times New Roman"/>
      <w:b/>
      <w:bCs/>
      <w:kern w:val="32"/>
      <w:sz w:val="30"/>
      <w:szCs w:val="32"/>
      <w:lang w:bidi="en-US"/>
    </w:rPr>
  </w:style>
  <w:style w:type="character" w:customStyle="1" w:styleId="20">
    <w:name w:val="标题 2 字符"/>
    <w:link w:val="2"/>
    <w:qFormat/>
    <w:rPr>
      <w:rFonts w:ascii="Times New Roman" w:eastAsia="宋体" w:hAnsi="Times New Roman"/>
      <w:b/>
      <w:iCs/>
      <w:sz w:val="28"/>
      <w:szCs w:val="28"/>
      <w:lang w:bidi="en-US"/>
    </w:rPr>
  </w:style>
  <w:style w:type="character" w:customStyle="1" w:styleId="30">
    <w:name w:val="标题 3 字符"/>
    <w:link w:val="3"/>
    <w:uiPriority w:val="9"/>
    <w:qFormat/>
    <w:rPr>
      <w:rFonts w:ascii="Times New Roman" w:eastAsia="楷体" w:hAnsi="Times New Roman"/>
      <w:b/>
      <w:bCs/>
      <w:sz w:val="21"/>
      <w:lang w:bidi="en-US"/>
    </w:rPr>
  </w:style>
  <w:style w:type="paragraph" w:customStyle="1" w:styleId="21">
    <w:name w:val="公式2"/>
    <w:basedOn w:val="a"/>
    <w:next w:val="a"/>
    <w:autoRedefine/>
    <w:qFormat/>
    <w:pPr>
      <w:tabs>
        <w:tab w:val="center" w:pos="4095"/>
        <w:tab w:val="right" w:pos="8400"/>
      </w:tabs>
      <w:spacing w:before="240" w:after="240" w:line="480" w:lineRule="auto"/>
      <w:jc w:val="center"/>
    </w:pPr>
    <w:rPr>
      <w:rFonts w:cs="Cambria Math"/>
      <w:b/>
      <w:szCs w:val="44"/>
    </w:rPr>
  </w:style>
  <w:style w:type="character" w:customStyle="1" w:styleId="40">
    <w:name w:val="标题 4 字符"/>
    <w:link w:val="4"/>
    <w:uiPriority w:val="9"/>
    <w:semiHidden/>
    <w:qFormat/>
    <w:rPr>
      <w:rFonts w:ascii="Times New Roman" w:eastAsia="Times New Roman" w:hAnsi="Times New Roman" w:cs="Times New Roman"/>
      <w:b/>
      <w:bCs/>
      <w:sz w:val="28"/>
      <w:szCs w:val="28"/>
    </w:rPr>
  </w:style>
  <w:style w:type="paragraph" w:customStyle="1" w:styleId="a5">
    <w:name w:val="（英）摘要样式"/>
    <w:autoRedefine/>
    <w:qFormat/>
    <w:pPr>
      <w:widowControl w:val="0"/>
      <w:snapToGrid w:val="0"/>
      <w:spacing w:beforeLines="100" w:before="100"/>
      <w:jc w:val="both"/>
    </w:pPr>
    <w:rPr>
      <w:color w:val="000000"/>
      <w:kern w:val="2"/>
      <w:sz w:val="21"/>
      <w:szCs w:val="21"/>
    </w:rPr>
  </w:style>
  <w:style w:type="paragraph" w:customStyle="1" w:styleId="a6">
    <w:name w:val="（中）摘要样式"/>
    <w:qFormat/>
    <w:pPr>
      <w:widowControl w:val="0"/>
      <w:snapToGrid w:val="0"/>
      <w:ind w:leftChars="80" w:left="168" w:rightChars="80" w:right="168"/>
      <w:jc w:val="both"/>
    </w:pPr>
    <w:rPr>
      <w:rFonts w:eastAsia="仿宋"/>
      <w:color w:val="000000"/>
      <w:kern w:val="2"/>
      <w:sz w:val="21"/>
      <w:szCs w:val="21"/>
    </w:rPr>
  </w:style>
  <w:style w:type="paragraph" w:customStyle="1" w:styleId="11">
    <w:name w:val="公式1"/>
    <w:basedOn w:val="a"/>
    <w:autoRedefine/>
    <w:qFormat/>
    <w:pPr>
      <w:tabs>
        <w:tab w:val="center" w:pos="4150"/>
        <w:tab w:val="right" w:pos="10103"/>
      </w:tabs>
    </w:pPr>
    <w:rPr>
      <w:rFonts w:hint="eastAsia"/>
      <w:color w:val="000000"/>
    </w:rPr>
  </w:style>
  <w:style w:type="paragraph" w:customStyle="1" w:styleId="31">
    <w:name w:val="公式3"/>
    <w:basedOn w:val="a"/>
    <w:qFormat/>
    <w:pPr>
      <w:tabs>
        <w:tab w:val="right" w:pos="10103"/>
      </w:tabs>
    </w:pPr>
    <w:rPr>
      <w:rFonts w:hint="eastAsia"/>
      <w:color w:val="000000"/>
    </w:rPr>
  </w:style>
  <w:style w:type="paragraph" w:styleId="a7">
    <w:name w:val="header"/>
    <w:basedOn w:val="a"/>
    <w:link w:val="a8"/>
    <w:rsid w:val="008C35BA"/>
    <w:pPr>
      <w:tabs>
        <w:tab w:val="center" w:pos="4153"/>
        <w:tab w:val="right" w:pos="8306"/>
      </w:tabs>
      <w:spacing w:line="240" w:lineRule="auto"/>
      <w:jc w:val="center"/>
    </w:pPr>
    <w:rPr>
      <w:sz w:val="18"/>
      <w:szCs w:val="18"/>
    </w:rPr>
  </w:style>
  <w:style w:type="character" w:customStyle="1" w:styleId="a8">
    <w:name w:val="页眉 字符"/>
    <w:basedOn w:val="a0"/>
    <w:link w:val="a7"/>
    <w:rsid w:val="008C35BA"/>
    <w:rPr>
      <w:bCs/>
      <w:kern w:val="2"/>
      <w:sz w:val="18"/>
      <w:szCs w:val="18"/>
    </w:rPr>
  </w:style>
  <w:style w:type="paragraph" w:styleId="a9">
    <w:name w:val="footer"/>
    <w:basedOn w:val="a"/>
    <w:link w:val="aa"/>
    <w:rsid w:val="008C35BA"/>
    <w:pPr>
      <w:tabs>
        <w:tab w:val="center" w:pos="4153"/>
        <w:tab w:val="right" w:pos="8306"/>
      </w:tabs>
      <w:spacing w:line="240" w:lineRule="auto"/>
      <w:jc w:val="left"/>
    </w:pPr>
    <w:rPr>
      <w:sz w:val="18"/>
      <w:szCs w:val="18"/>
    </w:rPr>
  </w:style>
  <w:style w:type="character" w:customStyle="1" w:styleId="aa">
    <w:name w:val="页脚 字符"/>
    <w:basedOn w:val="a0"/>
    <w:link w:val="a9"/>
    <w:rsid w:val="008C35BA"/>
    <w:rPr>
      <w:bCs/>
      <w:kern w:val="2"/>
      <w:sz w:val="18"/>
      <w:szCs w:val="18"/>
    </w:rPr>
  </w:style>
  <w:style w:type="table" w:styleId="ab">
    <w:name w:val="Table Grid"/>
    <w:basedOn w:val="a1"/>
    <w:rsid w:val="00391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unhideWhenUsed/>
    <w:rsid w:val="00126EFD"/>
    <w:pPr>
      <w:ind w:firstLineChars="200" w:firstLine="420"/>
    </w:pPr>
  </w:style>
  <w:style w:type="paragraph" w:styleId="ad">
    <w:name w:val="Normal (Web)"/>
    <w:basedOn w:val="a"/>
    <w:rsid w:val="00FA0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6238065">
      <w:bodyDiv w:val="1"/>
      <w:marLeft w:val="0"/>
      <w:marRight w:val="0"/>
      <w:marTop w:val="0"/>
      <w:marBottom w:val="0"/>
      <w:divBdr>
        <w:top w:val="none" w:sz="0" w:space="0" w:color="auto"/>
        <w:left w:val="none" w:sz="0" w:space="0" w:color="auto"/>
        <w:bottom w:val="none" w:sz="0" w:space="0" w:color="auto"/>
        <w:right w:val="none" w:sz="0" w:space="0" w:color="auto"/>
      </w:divBdr>
    </w:div>
    <w:div w:id="437912260">
      <w:bodyDiv w:val="1"/>
      <w:marLeft w:val="0"/>
      <w:marRight w:val="0"/>
      <w:marTop w:val="0"/>
      <w:marBottom w:val="0"/>
      <w:divBdr>
        <w:top w:val="none" w:sz="0" w:space="0" w:color="auto"/>
        <w:left w:val="none" w:sz="0" w:space="0" w:color="auto"/>
        <w:bottom w:val="none" w:sz="0" w:space="0" w:color="auto"/>
        <w:right w:val="none" w:sz="0" w:space="0" w:color="auto"/>
      </w:divBdr>
    </w:div>
    <w:div w:id="573977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EB95F-ABF7-4C36-93D5-DD32B3987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7</Pages>
  <Words>1455</Words>
  <Characters>8294</Characters>
  <Application>Microsoft Office Word</Application>
  <DocSecurity>0</DocSecurity>
  <Lines>69</Lines>
  <Paragraphs>19</Paragraphs>
  <ScaleCrop>false</ScaleCrop>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super he</cp:lastModifiedBy>
  <cp:revision>27</cp:revision>
  <dcterms:created xsi:type="dcterms:W3CDTF">2024-06-28T08:46:00Z</dcterms:created>
  <dcterms:modified xsi:type="dcterms:W3CDTF">2024-08-14T00:58:00Z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5A644F30EDC844419EBFF5EC84FDF8E5_11</vt:lpwstr>
  </property>
</Properties>
</file>