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3B5685" w14:textId="59833E2A" w:rsidR="00322D49" w:rsidRPr="00A21EF9" w:rsidRDefault="0CFEFBF2" w:rsidP="0CFEFBF2">
      <w:pPr>
        <w:pStyle w:val="1"/>
        <w:spacing w:before="0" w:after="0" w:line="240" w:lineRule="auto"/>
        <w:rPr>
          <w:sz w:val="22"/>
          <w:szCs w:val="22"/>
        </w:rPr>
      </w:pPr>
      <w:bookmarkStart w:id="0" w:name="_Toc2026281695"/>
      <w:r w:rsidRPr="00A21EF9">
        <w:rPr>
          <w:sz w:val="22"/>
          <w:szCs w:val="22"/>
        </w:rPr>
        <w:t xml:space="preserve">Supplementary files: </w:t>
      </w:r>
      <w:r w:rsidR="00322D49" w:rsidRPr="00A21EF9">
        <w:rPr>
          <w:sz w:val="22"/>
          <w:szCs w:val="22"/>
        </w:rPr>
        <w:t xml:space="preserve">Pay-it-forward enhanced uptake of </w:t>
      </w:r>
      <w:r w:rsidR="00322D49" w:rsidRPr="00A21EF9">
        <w:rPr>
          <w:i/>
          <w:iCs/>
          <w:sz w:val="22"/>
          <w:szCs w:val="22"/>
        </w:rPr>
        <w:t xml:space="preserve">Mycoplasma </w:t>
      </w:r>
      <w:r w:rsidR="00322D49" w:rsidRPr="00CB6F6B">
        <w:rPr>
          <w:i/>
          <w:iCs/>
          <w:sz w:val="22"/>
          <w:szCs w:val="22"/>
        </w:rPr>
        <w:t xml:space="preserve">pneumoniae </w:t>
      </w:r>
      <w:r w:rsidR="00322D49" w:rsidRPr="00A21EF9">
        <w:rPr>
          <w:sz w:val="22"/>
          <w:szCs w:val="22"/>
        </w:rPr>
        <w:t>testing among pediatric outpatients in China: a pragmatic cluster randomized controlled trial</w:t>
      </w:r>
      <w:bookmarkEnd w:id="0"/>
      <w:r w:rsidR="00322D49" w:rsidRPr="00A21EF9">
        <w:rPr>
          <w:sz w:val="22"/>
          <w:szCs w:val="22"/>
        </w:rPr>
        <w:t xml:space="preserve"> </w:t>
      </w:r>
    </w:p>
    <w:p w14:paraId="44C32D31" w14:textId="0456E065" w:rsidR="00053646" w:rsidRPr="00A21EF9" w:rsidRDefault="00053646" w:rsidP="0CFEFBF2">
      <w:pPr>
        <w:pStyle w:val="a5"/>
        <w:rPr>
          <w:rFonts w:eastAsia="Times New Roman"/>
          <w:color w:val="auto"/>
          <w:sz w:val="22"/>
          <w:szCs w:val="22"/>
        </w:rPr>
      </w:pPr>
    </w:p>
    <w:sdt>
      <w:sdtPr>
        <w:rPr>
          <w:rFonts w:ascii="Times New Roman" w:hAnsi="Times New Roman" w:cs="Times New Roman"/>
          <w:b w:val="0"/>
          <w:bCs w:val="0"/>
          <w:i w:val="0"/>
          <w:iCs w:val="0"/>
          <w:sz w:val="22"/>
          <w:szCs w:val="22"/>
        </w:rPr>
        <w:id w:val="786016568"/>
        <w:docPartObj>
          <w:docPartGallery w:val="Table of Contents"/>
          <w:docPartUnique/>
        </w:docPartObj>
      </w:sdtPr>
      <w:sdtEndPr>
        <w:rPr>
          <w:rFonts w:asciiTheme="minorHAnsi" w:hAnsiTheme="minorHAnsi" w:cstheme="minorHAnsi"/>
          <w:b/>
          <w:bCs/>
        </w:rPr>
      </w:sdtEndPr>
      <w:sdtContent>
        <w:p w14:paraId="4FC03B08" w14:textId="4922AA52" w:rsidR="00514AE8" w:rsidRPr="00A21EF9" w:rsidRDefault="00053646" w:rsidP="0CFEFBF2">
          <w:pPr>
            <w:pStyle w:val="TOC1"/>
            <w:tabs>
              <w:tab w:val="right" w:leader="dot" w:pos="8295"/>
            </w:tabs>
            <w:rPr>
              <w:rStyle w:val="a6"/>
              <w:rFonts w:ascii="Times New Roman" w:eastAsiaTheme="minorEastAsia" w:hAnsi="Times New Roman" w:cs="Times New Roman"/>
              <w:b w:val="0"/>
              <w:bCs w:val="0"/>
              <w:sz w:val="22"/>
              <w:szCs w:val="22"/>
            </w:rPr>
          </w:pPr>
          <w:r w:rsidRPr="00A21EF9">
            <w:rPr>
              <w:rFonts w:ascii="Times New Roman" w:hAnsi="Times New Roman" w:cs="Times New Roman"/>
              <w:b w:val="0"/>
              <w:bCs w:val="0"/>
              <w:sz w:val="22"/>
              <w:szCs w:val="22"/>
            </w:rPr>
            <w:fldChar w:fldCharType="begin"/>
          </w:r>
          <w:r w:rsidRPr="00A21EF9">
            <w:rPr>
              <w:rFonts w:ascii="Times New Roman" w:hAnsi="Times New Roman" w:cs="Times New Roman"/>
              <w:b w:val="0"/>
              <w:bCs w:val="0"/>
              <w:sz w:val="22"/>
              <w:szCs w:val="22"/>
            </w:rPr>
            <w:instrText>TOC \o "1-9" \z \u \h</w:instrText>
          </w:r>
          <w:r w:rsidRPr="00A21EF9">
            <w:rPr>
              <w:rFonts w:ascii="Times New Roman" w:hAnsi="Times New Roman" w:cs="Times New Roman"/>
              <w:b w:val="0"/>
              <w:bCs w:val="0"/>
              <w:sz w:val="22"/>
              <w:szCs w:val="22"/>
            </w:rPr>
            <w:fldChar w:fldCharType="separate"/>
          </w:r>
          <w:hyperlink w:anchor="_Toc2026281695">
            <w:r w:rsidR="0CFEFBF2" w:rsidRPr="00A21EF9">
              <w:rPr>
                <w:rStyle w:val="a6"/>
                <w:rFonts w:ascii="Times New Roman" w:eastAsiaTheme="minorEastAsia" w:hAnsi="Times New Roman" w:cs="Times New Roman"/>
                <w:b w:val="0"/>
                <w:bCs w:val="0"/>
                <w:sz w:val="22"/>
                <w:szCs w:val="22"/>
              </w:rPr>
              <w:t>Supplementary files: Pay-it-forward enhanced uptake of Mycoplasma pneumoniae testing among pediatric outpatients in China: a pragmatic cluster randomized controlled trial</w:t>
            </w:r>
            <w:r w:rsidRPr="00A21EF9">
              <w:rPr>
                <w:rFonts w:ascii="Times New Roman" w:hAnsi="Times New Roman" w:cs="Times New Roman"/>
                <w:b w:val="0"/>
                <w:bCs w:val="0"/>
                <w:sz w:val="22"/>
                <w:szCs w:val="22"/>
              </w:rPr>
              <w:tab/>
            </w:r>
            <w:r w:rsidRPr="00A21EF9">
              <w:rPr>
                <w:rFonts w:ascii="Times New Roman" w:hAnsi="Times New Roman" w:cs="Times New Roman"/>
                <w:b w:val="0"/>
                <w:bCs w:val="0"/>
                <w:sz w:val="22"/>
                <w:szCs w:val="22"/>
              </w:rPr>
              <w:fldChar w:fldCharType="begin"/>
            </w:r>
            <w:r w:rsidRPr="00A21EF9">
              <w:rPr>
                <w:rFonts w:ascii="Times New Roman" w:hAnsi="Times New Roman" w:cs="Times New Roman"/>
                <w:b w:val="0"/>
                <w:bCs w:val="0"/>
                <w:sz w:val="22"/>
                <w:szCs w:val="22"/>
              </w:rPr>
              <w:instrText>PAGEREF _Toc2026281695 \h</w:instrText>
            </w:r>
            <w:r w:rsidRPr="00A21EF9">
              <w:rPr>
                <w:rFonts w:ascii="Times New Roman" w:hAnsi="Times New Roman" w:cs="Times New Roman"/>
                <w:b w:val="0"/>
                <w:bCs w:val="0"/>
                <w:sz w:val="22"/>
                <w:szCs w:val="22"/>
              </w:rPr>
            </w:r>
            <w:r w:rsidRPr="00A21EF9">
              <w:rPr>
                <w:rFonts w:ascii="Times New Roman" w:hAnsi="Times New Roman" w:cs="Times New Roman"/>
                <w:b w:val="0"/>
                <w:bCs w:val="0"/>
                <w:sz w:val="22"/>
                <w:szCs w:val="22"/>
              </w:rPr>
              <w:fldChar w:fldCharType="separate"/>
            </w:r>
            <w:r w:rsidR="0CFEFBF2" w:rsidRPr="00A21EF9">
              <w:rPr>
                <w:rStyle w:val="a6"/>
                <w:rFonts w:ascii="Times New Roman" w:eastAsiaTheme="minorEastAsia" w:hAnsi="Times New Roman" w:cs="Times New Roman"/>
                <w:b w:val="0"/>
                <w:bCs w:val="0"/>
                <w:sz w:val="22"/>
                <w:szCs w:val="22"/>
              </w:rPr>
              <w:t>1</w:t>
            </w:r>
            <w:r w:rsidRPr="00A21EF9">
              <w:rPr>
                <w:rFonts w:ascii="Times New Roman" w:hAnsi="Times New Roman" w:cs="Times New Roman"/>
                <w:b w:val="0"/>
                <w:bCs w:val="0"/>
                <w:sz w:val="22"/>
                <w:szCs w:val="22"/>
              </w:rPr>
              <w:fldChar w:fldCharType="end"/>
            </w:r>
          </w:hyperlink>
        </w:p>
        <w:p w14:paraId="39FED35B" w14:textId="06560248" w:rsidR="00514AE8" w:rsidRPr="00A21EF9" w:rsidRDefault="00000000" w:rsidP="0CFEFBF2">
          <w:pPr>
            <w:pStyle w:val="TOC2"/>
            <w:tabs>
              <w:tab w:val="right" w:leader="dot" w:pos="8295"/>
            </w:tabs>
            <w:rPr>
              <w:rStyle w:val="a6"/>
              <w:rFonts w:ascii="Times New Roman" w:eastAsiaTheme="minorEastAsia" w:hAnsi="Times New Roman" w:cs="Times New Roman"/>
              <w:b w:val="0"/>
              <w:bCs w:val="0"/>
            </w:rPr>
          </w:pPr>
          <w:hyperlink w:anchor="_Toc1177698186">
            <w:r w:rsidR="0CFEFBF2" w:rsidRPr="00A21EF9">
              <w:rPr>
                <w:rStyle w:val="a6"/>
                <w:rFonts w:ascii="Times New Roman" w:eastAsiaTheme="minorEastAsia" w:hAnsi="Times New Roman" w:cs="Times New Roman"/>
                <w:b w:val="0"/>
                <w:bCs w:val="0"/>
              </w:rPr>
              <w:t>Supplement file 1: The allocation sequence of randomized clusters</w:t>
            </w:r>
            <w:r w:rsidR="00053646" w:rsidRPr="00A21EF9">
              <w:rPr>
                <w:rFonts w:ascii="Times New Roman" w:hAnsi="Times New Roman" w:cs="Times New Roman"/>
                <w:b w:val="0"/>
                <w:bCs w:val="0"/>
              </w:rPr>
              <w:tab/>
            </w:r>
            <w:r w:rsidR="00053646" w:rsidRPr="00A21EF9">
              <w:rPr>
                <w:rFonts w:ascii="Times New Roman" w:hAnsi="Times New Roman" w:cs="Times New Roman"/>
                <w:b w:val="0"/>
                <w:bCs w:val="0"/>
              </w:rPr>
              <w:fldChar w:fldCharType="begin"/>
            </w:r>
            <w:r w:rsidR="00053646" w:rsidRPr="00A21EF9">
              <w:rPr>
                <w:rFonts w:ascii="Times New Roman" w:hAnsi="Times New Roman" w:cs="Times New Roman"/>
                <w:b w:val="0"/>
                <w:bCs w:val="0"/>
              </w:rPr>
              <w:instrText>PAGEREF _Toc1177698186 \h</w:instrText>
            </w:r>
            <w:r w:rsidR="00053646" w:rsidRPr="00A21EF9">
              <w:rPr>
                <w:rFonts w:ascii="Times New Roman" w:hAnsi="Times New Roman" w:cs="Times New Roman"/>
                <w:b w:val="0"/>
                <w:bCs w:val="0"/>
              </w:rPr>
            </w:r>
            <w:r w:rsidR="00053646" w:rsidRPr="00A21EF9">
              <w:rPr>
                <w:rFonts w:ascii="Times New Roman" w:hAnsi="Times New Roman" w:cs="Times New Roman"/>
                <w:b w:val="0"/>
                <w:bCs w:val="0"/>
              </w:rPr>
              <w:fldChar w:fldCharType="separate"/>
            </w:r>
            <w:r w:rsidR="0CFEFBF2" w:rsidRPr="00A21EF9">
              <w:rPr>
                <w:rStyle w:val="a6"/>
                <w:rFonts w:ascii="Times New Roman" w:eastAsiaTheme="minorEastAsia" w:hAnsi="Times New Roman" w:cs="Times New Roman"/>
                <w:b w:val="0"/>
                <w:bCs w:val="0"/>
              </w:rPr>
              <w:t>1</w:t>
            </w:r>
            <w:r w:rsidR="00053646" w:rsidRPr="00A21EF9">
              <w:rPr>
                <w:rFonts w:ascii="Times New Roman" w:hAnsi="Times New Roman" w:cs="Times New Roman"/>
                <w:b w:val="0"/>
                <w:bCs w:val="0"/>
              </w:rPr>
              <w:fldChar w:fldCharType="end"/>
            </w:r>
          </w:hyperlink>
        </w:p>
        <w:p w14:paraId="671A1CC0" w14:textId="7B51C61E" w:rsidR="00514AE8" w:rsidRPr="00A21EF9" w:rsidRDefault="00000000" w:rsidP="0CFEFBF2">
          <w:pPr>
            <w:pStyle w:val="TOC2"/>
            <w:tabs>
              <w:tab w:val="right" w:leader="dot" w:pos="8295"/>
            </w:tabs>
            <w:rPr>
              <w:rStyle w:val="a6"/>
              <w:rFonts w:ascii="Times New Roman" w:eastAsiaTheme="minorEastAsia" w:hAnsi="Times New Roman" w:cs="Times New Roman"/>
              <w:b w:val="0"/>
              <w:bCs w:val="0"/>
            </w:rPr>
          </w:pPr>
          <w:hyperlink w:anchor="_Toc1067757193">
            <w:r w:rsidR="0CFEFBF2" w:rsidRPr="00A21EF9">
              <w:rPr>
                <w:rStyle w:val="a6"/>
                <w:rFonts w:ascii="Times New Roman" w:eastAsiaTheme="minorEastAsia" w:hAnsi="Times New Roman" w:cs="Times New Roman"/>
                <w:b w:val="0"/>
                <w:bCs w:val="0"/>
              </w:rPr>
              <w:t>Supplement file 2: Cost analysis</w:t>
            </w:r>
            <w:r w:rsidR="00053646" w:rsidRPr="00A21EF9">
              <w:rPr>
                <w:rFonts w:ascii="Times New Roman" w:hAnsi="Times New Roman" w:cs="Times New Roman"/>
                <w:b w:val="0"/>
                <w:bCs w:val="0"/>
              </w:rPr>
              <w:tab/>
            </w:r>
            <w:r w:rsidR="00053646" w:rsidRPr="00A21EF9">
              <w:rPr>
                <w:rFonts w:ascii="Times New Roman" w:hAnsi="Times New Roman" w:cs="Times New Roman"/>
                <w:b w:val="0"/>
                <w:bCs w:val="0"/>
              </w:rPr>
              <w:fldChar w:fldCharType="begin"/>
            </w:r>
            <w:r w:rsidR="00053646" w:rsidRPr="00A21EF9">
              <w:rPr>
                <w:rFonts w:ascii="Times New Roman" w:hAnsi="Times New Roman" w:cs="Times New Roman"/>
                <w:b w:val="0"/>
                <w:bCs w:val="0"/>
              </w:rPr>
              <w:instrText>PAGEREF _Toc1067757193 \h</w:instrText>
            </w:r>
            <w:r w:rsidR="00053646" w:rsidRPr="00A21EF9">
              <w:rPr>
                <w:rFonts w:ascii="Times New Roman" w:hAnsi="Times New Roman" w:cs="Times New Roman"/>
                <w:b w:val="0"/>
                <w:bCs w:val="0"/>
              </w:rPr>
            </w:r>
            <w:r w:rsidR="00053646" w:rsidRPr="00A21EF9">
              <w:rPr>
                <w:rFonts w:ascii="Times New Roman" w:hAnsi="Times New Roman" w:cs="Times New Roman"/>
                <w:b w:val="0"/>
                <w:bCs w:val="0"/>
              </w:rPr>
              <w:fldChar w:fldCharType="separate"/>
            </w:r>
            <w:r w:rsidR="0CFEFBF2" w:rsidRPr="00A21EF9">
              <w:rPr>
                <w:rStyle w:val="a6"/>
                <w:rFonts w:ascii="Times New Roman" w:eastAsiaTheme="minorEastAsia" w:hAnsi="Times New Roman" w:cs="Times New Roman"/>
                <w:b w:val="0"/>
                <w:bCs w:val="0"/>
              </w:rPr>
              <w:t>2</w:t>
            </w:r>
            <w:r w:rsidR="00053646" w:rsidRPr="00A21EF9">
              <w:rPr>
                <w:rFonts w:ascii="Times New Roman" w:hAnsi="Times New Roman" w:cs="Times New Roman"/>
                <w:b w:val="0"/>
                <w:bCs w:val="0"/>
              </w:rPr>
              <w:fldChar w:fldCharType="end"/>
            </w:r>
          </w:hyperlink>
        </w:p>
        <w:p w14:paraId="3B66C9DC" w14:textId="0DC1CBA2" w:rsidR="00514AE8" w:rsidRDefault="00000000" w:rsidP="0CFEFBF2">
          <w:pPr>
            <w:pStyle w:val="TOC2"/>
            <w:tabs>
              <w:tab w:val="right" w:leader="dot" w:pos="8295"/>
            </w:tabs>
            <w:rPr>
              <w:rStyle w:val="a6"/>
              <w:rFonts w:eastAsiaTheme="minorEastAsia"/>
            </w:rPr>
          </w:pPr>
          <w:hyperlink w:anchor="_Toc334510433">
            <w:r w:rsidR="0CFEFBF2" w:rsidRPr="00A21EF9">
              <w:rPr>
                <w:rStyle w:val="a6"/>
                <w:rFonts w:ascii="Times New Roman" w:eastAsiaTheme="minorEastAsia" w:hAnsi="Times New Roman" w:cs="Times New Roman"/>
                <w:b w:val="0"/>
                <w:bCs w:val="0"/>
              </w:rPr>
              <w:t>Supplementary file 3: Study protocol: Pay-it-forward enhanced uptake of Mycoplasma pneumoniae testing among pediatric outpatients in China: a pragmatic cluster randomized controlled trial</w:t>
            </w:r>
            <w:r w:rsidR="00053646" w:rsidRPr="00A21EF9">
              <w:rPr>
                <w:rFonts w:ascii="Times New Roman" w:hAnsi="Times New Roman" w:cs="Times New Roman"/>
                <w:b w:val="0"/>
                <w:bCs w:val="0"/>
              </w:rPr>
              <w:tab/>
            </w:r>
            <w:r w:rsidR="00053646" w:rsidRPr="00A21EF9">
              <w:rPr>
                <w:rFonts w:ascii="Times New Roman" w:hAnsi="Times New Roman" w:cs="Times New Roman"/>
                <w:b w:val="0"/>
                <w:bCs w:val="0"/>
              </w:rPr>
              <w:fldChar w:fldCharType="begin"/>
            </w:r>
            <w:r w:rsidR="00053646" w:rsidRPr="00A21EF9">
              <w:rPr>
                <w:rFonts w:ascii="Times New Roman" w:hAnsi="Times New Roman" w:cs="Times New Roman"/>
                <w:b w:val="0"/>
                <w:bCs w:val="0"/>
              </w:rPr>
              <w:instrText>PAGEREF _Toc334510433 \h</w:instrText>
            </w:r>
            <w:r w:rsidR="00053646" w:rsidRPr="00A21EF9">
              <w:rPr>
                <w:rFonts w:ascii="Times New Roman" w:hAnsi="Times New Roman" w:cs="Times New Roman"/>
                <w:b w:val="0"/>
                <w:bCs w:val="0"/>
              </w:rPr>
            </w:r>
            <w:r w:rsidR="00053646" w:rsidRPr="00A21EF9">
              <w:rPr>
                <w:rFonts w:ascii="Times New Roman" w:hAnsi="Times New Roman" w:cs="Times New Roman"/>
                <w:b w:val="0"/>
                <w:bCs w:val="0"/>
              </w:rPr>
              <w:fldChar w:fldCharType="separate"/>
            </w:r>
            <w:r w:rsidR="0CFEFBF2" w:rsidRPr="00A21EF9">
              <w:rPr>
                <w:rStyle w:val="a6"/>
                <w:rFonts w:ascii="Times New Roman" w:eastAsiaTheme="minorEastAsia" w:hAnsi="Times New Roman" w:cs="Times New Roman"/>
                <w:b w:val="0"/>
                <w:bCs w:val="0"/>
              </w:rPr>
              <w:t>4</w:t>
            </w:r>
            <w:r w:rsidR="00053646" w:rsidRPr="00A21EF9">
              <w:rPr>
                <w:rFonts w:ascii="Times New Roman" w:hAnsi="Times New Roman" w:cs="Times New Roman"/>
                <w:b w:val="0"/>
                <w:bCs w:val="0"/>
              </w:rPr>
              <w:fldChar w:fldCharType="end"/>
            </w:r>
          </w:hyperlink>
          <w:r w:rsidR="00053646" w:rsidRPr="00A21EF9">
            <w:rPr>
              <w:rFonts w:ascii="Times New Roman" w:hAnsi="Times New Roman" w:cs="Times New Roman"/>
              <w:b w:val="0"/>
              <w:bCs w:val="0"/>
            </w:rPr>
            <w:fldChar w:fldCharType="end"/>
          </w:r>
        </w:p>
      </w:sdtContent>
    </w:sdt>
    <w:p w14:paraId="28F25389" w14:textId="410CF504" w:rsidR="00514AE8" w:rsidRDefault="00514AE8" w:rsidP="0CFEFBF2">
      <w:pPr>
        <w:pStyle w:val="a5"/>
        <w:rPr>
          <w:rFonts w:eastAsia="Times New Roman"/>
          <w:b/>
          <w:bCs/>
          <w:color w:val="auto"/>
          <w:sz w:val="22"/>
          <w:szCs w:val="22"/>
        </w:rPr>
      </w:pPr>
    </w:p>
    <w:p w14:paraId="354F421F" w14:textId="7B33EC4A" w:rsidR="00514AE8" w:rsidRDefault="00514AE8" w:rsidP="0CFEFBF2">
      <w:pPr>
        <w:pStyle w:val="a5"/>
        <w:rPr>
          <w:rFonts w:eastAsia="Times New Roman"/>
          <w:b/>
          <w:bCs/>
          <w:color w:val="auto"/>
          <w:sz w:val="22"/>
          <w:szCs w:val="22"/>
        </w:rPr>
      </w:pPr>
    </w:p>
    <w:p w14:paraId="3E0DB9FB" w14:textId="69CA6FB8" w:rsidR="00514AE8" w:rsidRDefault="00514AE8" w:rsidP="0CFEFBF2">
      <w:pPr>
        <w:pStyle w:val="a5"/>
        <w:rPr>
          <w:rFonts w:eastAsia="Times New Roman"/>
          <w:b/>
          <w:bCs/>
          <w:color w:val="auto"/>
          <w:sz w:val="22"/>
          <w:szCs w:val="22"/>
        </w:rPr>
      </w:pPr>
    </w:p>
    <w:p w14:paraId="7CBCED53" w14:textId="40BB3DB9" w:rsidR="00514AE8" w:rsidRDefault="00514AE8" w:rsidP="0CFEFBF2">
      <w:pPr>
        <w:pStyle w:val="a5"/>
        <w:rPr>
          <w:rFonts w:eastAsia="Times New Roman"/>
          <w:b/>
          <w:bCs/>
          <w:color w:val="auto"/>
          <w:sz w:val="22"/>
          <w:szCs w:val="22"/>
        </w:rPr>
      </w:pPr>
    </w:p>
    <w:p w14:paraId="696F53C3" w14:textId="60B6ECAA" w:rsidR="00514AE8" w:rsidRDefault="00514AE8" w:rsidP="0CFEFBF2">
      <w:pPr>
        <w:pStyle w:val="a5"/>
        <w:rPr>
          <w:rFonts w:eastAsia="Times New Roman"/>
          <w:b/>
          <w:bCs/>
          <w:color w:val="auto"/>
          <w:sz w:val="22"/>
          <w:szCs w:val="22"/>
        </w:rPr>
      </w:pPr>
    </w:p>
    <w:p w14:paraId="370C3649" w14:textId="61DA273A" w:rsidR="00514AE8" w:rsidRDefault="00514AE8" w:rsidP="0CFEFBF2">
      <w:pPr>
        <w:pStyle w:val="a5"/>
        <w:rPr>
          <w:rFonts w:eastAsia="Times New Roman"/>
          <w:b/>
          <w:bCs/>
          <w:color w:val="auto"/>
          <w:sz w:val="22"/>
          <w:szCs w:val="22"/>
        </w:rPr>
      </w:pPr>
    </w:p>
    <w:p w14:paraId="5C664C8D" w14:textId="255F231F" w:rsidR="00514AE8" w:rsidRDefault="00514AE8" w:rsidP="0CFEFBF2">
      <w:pPr>
        <w:pStyle w:val="a5"/>
        <w:rPr>
          <w:rFonts w:eastAsia="Times New Roman"/>
          <w:b/>
          <w:bCs/>
          <w:color w:val="auto"/>
          <w:sz w:val="22"/>
          <w:szCs w:val="22"/>
        </w:rPr>
      </w:pPr>
    </w:p>
    <w:p w14:paraId="0782A5B7" w14:textId="0AD60384" w:rsidR="00514AE8" w:rsidRDefault="00514AE8" w:rsidP="0CFEFBF2">
      <w:pPr>
        <w:pStyle w:val="a5"/>
        <w:rPr>
          <w:rFonts w:eastAsia="Times New Roman"/>
          <w:b/>
          <w:bCs/>
          <w:color w:val="auto"/>
          <w:sz w:val="22"/>
          <w:szCs w:val="22"/>
        </w:rPr>
      </w:pPr>
    </w:p>
    <w:p w14:paraId="3B60083D" w14:textId="32D3A802" w:rsidR="00514AE8" w:rsidRDefault="00514AE8" w:rsidP="0CFEFBF2">
      <w:pPr>
        <w:pStyle w:val="a5"/>
        <w:rPr>
          <w:rFonts w:eastAsia="Times New Roman"/>
          <w:b/>
          <w:bCs/>
          <w:color w:val="auto"/>
          <w:sz w:val="22"/>
          <w:szCs w:val="22"/>
        </w:rPr>
      </w:pPr>
    </w:p>
    <w:p w14:paraId="6DD96831" w14:textId="0AF0146A" w:rsidR="00514AE8" w:rsidRDefault="00514AE8" w:rsidP="0CFEFBF2">
      <w:pPr>
        <w:pStyle w:val="a5"/>
        <w:rPr>
          <w:rFonts w:eastAsia="Times New Roman"/>
          <w:b/>
          <w:bCs/>
          <w:color w:val="auto"/>
          <w:sz w:val="22"/>
          <w:szCs w:val="22"/>
        </w:rPr>
      </w:pPr>
    </w:p>
    <w:p w14:paraId="63E4640B" w14:textId="150E41B9" w:rsidR="00514AE8" w:rsidRDefault="00514AE8" w:rsidP="0CFEFBF2">
      <w:pPr>
        <w:pStyle w:val="a5"/>
        <w:rPr>
          <w:rFonts w:eastAsia="Times New Roman"/>
          <w:b/>
          <w:bCs/>
          <w:color w:val="auto"/>
          <w:sz w:val="22"/>
          <w:szCs w:val="22"/>
        </w:rPr>
      </w:pPr>
    </w:p>
    <w:p w14:paraId="1F95918E" w14:textId="59B16F57" w:rsidR="00514AE8" w:rsidRDefault="00514AE8" w:rsidP="0CFEFBF2">
      <w:pPr>
        <w:pStyle w:val="a5"/>
        <w:rPr>
          <w:rFonts w:eastAsia="Times New Roman"/>
          <w:b/>
          <w:bCs/>
          <w:color w:val="auto"/>
          <w:sz w:val="22"/>
          <w:szCs w:val="22"/>
        </w:rPr>
      </w:pPr>
    </w:p>
    <w:p w14:paraId="078199EB" w14:textId="39400CB8" w:rsidR="00514AE8" w:rsidRDefault="00514AE8" w:rsidP="0CFEFBF2">
      <w:pPr>
        <w:pStyle w:val="a5"/>
        <w:rPr>
          <w:rFonts w:eastAsia="Times New Roman"/>
          <w:b/>
          <w:bCs/>
          <w:color w:val="auto"/>
          <w:sz w:val="22"/>
          <w:szCs w:val="22"/>
        </w:rPr>
      </w:pPr>
    </w:p>
    <w:p w14:paraId="514C6E36" w14:textId="1BB14204" w:rsidR="00514AE8" w:rsidRDefault="00514AE8" w:rsidP="0CFEFBF2">
      <w:pPr>
        <w:pStyle w:val="a5"/>
        <w:rPr>
          <w:rFonts w:eastAsia="Times New Roman"/>
          <w:b/>
          <w:bCs/>
          <w:color w:val="auto"/>
          <w:sz w:val="22"/>
          <w:szCs w:val="22"/>
        </w:rPr>
      </w:pPr>
    </w:p>
    <w:p w14:paraId="0891CB87" w14:textId="7968B05C" w:rsidR="00514AE8" w:rsidRDefault="00514AE8" w:rsidP="0CFEFBF2">
      <w:pPr>
        <w:pStyle w:val="a5"/>
        <w:rPr>
          <w:rFonts w:eastAsia="Times New Roman"/>
          <w:b/>
          <w:bCs/>
          <w:color w:val="auto"/>
          <w:sz w:val="22"/>
          <w:szCs w:val="22"/>
        </w:rPr>
      </w:pPr>
    </w:p>
    <w:p w14:paraId="28A69C48" w14:textId="2C5AF306" w:rsidR="00514AE8" w:rsidRDefault="00514AE8" w:rsidP="0CFEFBF2">
      <w:pPr>
        <w:pStyle w:val="a5"/>
        <w:rPr>
          <w:rFonts w:eastAsia="Times New Roman"/>
          <w:b/>
          <w:bCs/>
          <w:color w:val="auto"/>
          <w:sz w:val="22"/>
          <w:szCs w:val="22"/>
        </w:rPr>
      </w:pPr>
    </w:p>
    <w:p w14:paraId="60D16812" w14:textId="2E5A262C" w:rsidR="00514AE8" w:rsidRDefault="00514AE8" w:rsidP="0CFEFBF2">
      <w:pPr>
        <w:pStyle w:val="a5"/>
        <w:rPr>
          <w:rFonts w:eastAsia="Times New Roman"/>
          <w:b/>
          <w:bCs/>
          <w:color w:val="auto"/>
          <w:sz w:val="22"/>
          <w:szCs w:val="22"/>
        </w:rPr>
      </w:pPr>
    </w:p>
    <w:p w14:paraId="0A0D6C02" w14:textId="71077CF2" w:rsidR="00514AE8" w:rsidRDefault="00514AE8" w:rsidP="0CFEFBF2">
      <w:pPr>
        <w:pStyle w:val="a5"/>
        <w:rPr>
          <w:rFonts w:eastAsia="Times New Roman"/>
          <w:b/>
          <w:bCs/>
          <w:color w:val="auto"/>
          <w:sz w:val="22"/>
          <w:szCs w:val="22"/>
        </w:rPr>
      </w:pPr>
    </w:p>
    <w:p w14:paraId="69055573" w14:textId="4F115E70" w:rsidR="00514AE8" w:rsidRDefault="00514AE8" w:rsidP="0CFEFBF2">
      <w:pPr>
        <w:pStyle w:val="a5"/>
        <w:rPr>
          <w:rFonts w:eastAsia="Times New Roman"/>
          <w:b/>
          <w:bCs/>
          <w:color w:val="auto"/>
          <w:sz w:val="22"/>
          <w:szCs w:val="22"/>
        </w:rPr>
      </w:pPr>
    </w:p>
    <w:p w14:paraId="4A3CA143" w14:textId="132D0C1D" w:rsidR="00514AE8" w:rsidRDefault="00514AE8" w:rsidP="0CFEFBF2">
      <w:pPr>
        <w:pStyle w:val="a5"/>
        <w:rPr>
          <w:rFonts w:eastAsia="Times New Roman"/>
          <w:b/>
          <w:bCs/>
          <w:color w:val="auto"/>
          <w:sz w:val="22"/>
          <w:szCs w:val="22"/>
        </w:rPr>
      </w:pPr>
    </w:p>
    <w:p w14:paraId="4667861B" w14:textId="7136CDA1" w:rsidR="00514AE8" w:rsidRDefault="00514AE8" w:rsidP="0CFEFBF2">
      <w:pPr>
        <w:pStyle w:val="a5"/>
        <w:rPr>
          <w:rFonts w:eastAsia="Times New Roman"/>
          <w:b/>
          <w:bCs/>
          <w:color w:val="auto"/>
          <w:sz w:val="22"/>
          <w:szCs w:val="22"/>
        </w:rPr>
      </w:pPr>
    </w:p>
    <w:p w14:paraId="109CB14F" w14:textId="0CF115C4" w:rsidR="00514AE8" w:rsidRDefault="00514AE8" w:rsidP="0CFEFBF2">
      <w:pPr>
        <w:pStyle w:val="a5"/>
        <w:rPr>
          <w:rFonts w:eastAsia="Times New Roman"/>
          <w:b/>
          <w:bCs/>
          <w:color w:val="auto"/>
          <w:sz w:val="22"/>
          <w:szCs w:val="22"/>
        </w:rPr>
      </w:pPr>
    </w:p>
    <w:p w14:paraId="7A6D1558" w14:textId="09F917D9" w:rsidR="00514AE8" w:rsidRDefault="00514AE8" w:rsidP="0CFEFBF2">
      <w:pPr>
        <w:pStyle w:val="a5"/>
        <w:rPr>
          <w:rFonts w:eastAsia="Times New Roman"/>
          <w:b/>
          <w:bCs/>
          <w:color w:val="auto"/>
          <w:sz w:val="22"/>
          <w:szCs w:val="22"/>
        </w:rPr>
      </w:pPr>
    </w:p>
    <w:p w14:paraId="1C0B83B4" w14:textId="0870D490" w:rsidR="00514AE8" w:rsidRDefault="00514AE8" w:rsidP="0CFEFBF2">
      <w:pPr>
        <w:pStyle w:val="a5"/>
        <w:rPr>
          <w:rFonts w:eastAsia="Times New Roman"/>
          <w:b/>
          <w:bCs/>
          <w:color w:val="auto"/>
          <w:sz w:val="22"/>
          <w:szCs w:val="22"/>
        </w:rPr>
      </w:pPr>
    </w:p>
    <w:p w14:paraId="18B4F324" w14:textId="0F20F20F" w:rsidR="00514AE8" w:rsidRDefault="00514AE8" w:rsidP="0CFEFBF2">
      <w:pPr>
        <w:pStyle w:val="a5"/>
        <w:rPr>
          <w:rFonts w:eastAsia="Times New Roman"/>
          <w:b/>
          <w:bCs/>
          <w:color w:val="auto"/>
          <w:sz w:val="22"/>
          <w:szCs w:val="22"/>
        </w:rPr>
      </w:pPr>
    </w:p>
    <w:p w14:paraId="2D75B75A" w14:textId="11414EE4" w:rsidR="00514AE8" w:rsidRDefault="00514AE8" w:rsidP="0CFEFBF2">
      <w:pPr>
        <w:pStyle w:val="a5"/>
        <w:rPr>
          <w:rFonts w:eastAsia="Times New Roman"/>
          <w:b/>
          <w:bCs/>
          <w:color w:val="auto"/>
          <w:sz w:val="22"/>
          <w:szCs w:val="22"/>
        </w:rPr>
      </w:pPr>
    </w:p>
    <w:p w14:paraId="4D9F8D5C" w14:textId="349B75E3" w:rsidR="00514AE8" w:rsidRDefault="00514AE8" w:rsidP="0CFEFBF2">
      <w:pPr>
        <w:pStyle w:val="a5"/>
        <w:rPr>
          <w:rFonts w:eastAsia="Times New Roman"/>
          <w:b/>
          <w:bCs/>
          <w:color w:val="auto"/>
          <w:sz w:val="22"/>
          <w:szCs w:val="22"/>
        </w:rPr>
      </w:pPr>
    </w:p>
    <w:p w14:paraId="2A1463C1" w14:textId="5AB36087" w:rsidR="00514AE8" w:rsidRDefault="00514AE8" w:rsidP="0CFEFBF2">
      <w:pPr>
        <w:pStyle w:val="a5"/>
        <w:rPr>
          <w:rFonts w:eastAsia="Times New Roman"/>
          <w:b/>
          <w:bCs/>
          <w:color w:val="auto"/>
          <w:sz w:val="22"/>
          <w:szCs w:val="22"/>
        </w:rPr>
      </w:pPr>
    </w:p>
    <w:p w14:paraId="61CA29B1" w14:textId="42A935A0" w:rsidR="00514AE8" w:rsidRDefault="00514AE8" w:rsidP="0CFEFBF2">
      <w:pPr>
        <w:pStyle w:val="a5"/>
        <w:rPr>
          <w:rFonts w:eastAsia="Times New Roman"/>
          <w:b/>
          <w:bCs/>
          <w:color w:val="auto"/>
          <w:sz w:val="22"/>
          <w:szCs w:val="22"/>
        </w:rPr>
      </w:pPr>
    </w:p>
    <w:p w14:paraId="730DC238" w14:textId="41C690DE" w:rsidR="00514AE8" w:rsidRDefault="00514AE8" w:rsidP="0CFEFBF2">
      <w:pPr>
        <w:pStyle w:val="a5"/>
        <w:rPr>
          <w:rFonts w:eastAsia="Times New Roman"/>
          <w:b/>
          <w:bCs/>
          <w:color w:val="auto"/>
          <w:sz w:val="22"/>
          <w:szCs w:val="22"/>
        </w:rPr>
      </w:pPr>
    </w:p>
    <w:p w14:paraId="02AC5EEE" w14:textId="2A71BD65" w:rsidR="00514AE8" w:rsidRDefault="00514AE8" w:rsidP="0CFEFBF2">
      <w:pPr>
        <w:pStyle w:val="a5"/>
        <w:rPr>
          <w:rFonts w:eastAsia="Times New Roman"/>
          <w:b/>
          <w:bCs/>
          <w:color w:val="auto"/>
          <w:sz w:val="22"/>
          <w:szCs w:val="22"/>
        </w:rPr>
      </w:pPr>
    </w:p>
    <w:p w14:paraId="24338FD5" w14:textId="31CA2FCA" w:rsidR="00514AE8" w:rsidRDefault="00514AE8" w:rsidP="0CFEFBF2">
      <w:pPr>
        <w:pStyle w:val="a5"/>
        <w:rPr>
          <w:rFonts w:eastAsia="Times New Roman"/>
          <w:b/>
          <w:bCs/>
          <w:color w:val="auto"/>
          <w:sz w:val="22"/>
          <w:szCs w:val="22"/>
        </w:rPr>
      </w:pPr>
    </w:p>
    <w:p w14:paraId="59FF05A5" w14:textId="1C67FBB8" w:rsidR="00514AE8" w:rsidRDefault="00514AE8" w:rsidP="0CFEFBF2">
      <w:pPr>
        <w:pStyle w:val="a5"/>
        <w:rPr>
          <w:rFonts w:eastAsia="Times New Roman"/>
          <w:b/>
          <w:bCs/>
          <w:color w:val="auto"/>
          <w:sz w:val="22"/>
          <w:szCs w:val="22"/>
        </w:rPr>
      </w:pPr>
    </w:p>
    <w:p w14:paraId="2C1272ED" w14:textId="7A9B27A2" w:rsidR="00514AE8" w:rsidRDefault="0CFEFBF2" w:rsidP="0CFEFBF2">
      <w:pPr>
        <w:pStyle w:val="a5"/>
        <w:rPr>
          <w:rFonts w:eastAsia="Times New Roman"/>
          <w:b/>
          <w:bCs/>
          <w:color w:val="auto"/>
          <w:sz w:val="22"/>
          <w:szCs w:val="22"/>
        </w:rPr>
      </w:pPr>
      <w:bookmarkStart w:id="1" w:name="_Toc1177698186"/>
      <w:r w:rsidRPr="0CFEFBF2">
        <w:rPr>
          <w:rFonts w:eastAsia="Times New Roman"/>
          <w:b/>
          <w:bCs/>
          <w:color w:val="auto"/>
          <w:sz w:val="22"/>
          <w:szCs w:val="22"/>
        </w:rPr>
        <w:t>Supplement file 1: The allocation sequence of randomized clusters</w:t>
      </w:r>
      <w:bookmarkEnd w:id="1"/>
    </w:p>
    <w:p w14:paraId="78F56F39" w14:textId="6F82B8FA" w:rsidR="00514AE8" w:rsidRDefault="00514AE8" w:rsidP="0CFEFBF2">
      <w:pPr>
        <w:pStyle w:val="a5"/>
        <w:rPr>
          <w:rFonts w:eastAsia="Times New Roman"/>
          <w:sz w:val="22"/>
          <w:szCs w:val="22"/>
        </w:rPr>
      </w:pPr>
    </w:p>
    <w:p w14:paraId="1CF55884" w14:textId="07C165DF" w:rsidR="00514AE8" w:rsidRDefault="00053646" w:rsidP="00197710">
      <w:pPr>
        <w:rPr>
          <w:sz w:val="22"/>
          <w:szCs w:val="22"/>
        </w:rPr>
      </w:pPr>
      <w:r w:rsidRPr="0CFEFBF2">
        <w:rPr>
          <w:sz w:val="22"/>
          <w:szCs w:val="22"/>
        </w:rPr>
        <w:t xml:space="preserve">The allocation sequence of the randomized clusters was generated by the study staff using Excel. Initially, each of the 16 clusters in each hospital was assigned a unique identifier. Subsequently, sixteen random numbers were generated in Excel. These numbers were then randomly ordered, and the clusters were assigned to either the </w:t>
      </w:r>
      <w:r w:rsidRPr="0CFEFBF2">
        <w:rPr>
          <w:rFonts w:hint="eastAsia"/>
          <w:sz w:val="22"/>
          <w:szCs w:val="22"/>
        </w:rPr>
        <w:t>p</w:t>
      </w:r>
      <w:r w:rsidRPr="0CFEFBF2">
        <w:rPr>
          <w:sz w:val="22"/>
          <w:szCs w:val="22"/>
        </w:rPr>
        <w:t xml:space="preserve">ay-it-forward </w:t>
      </w:r>
      <w:r w:rsidRPr="0CFEFBF2">
        <w:rPr>
          <w:rFonts w:hint="eastAsia"/>
          <w:sz w:val="22"/>
          <w:szCs w:val="22"/>
        </w:rPr>
        <w:t>arm</w:t>
      </w:r>
      <w:r w:rsidRPr="0CFEFBF2">
        <w:rPr>
          <w:sz w:val="22"/>
          <w:szCs w:val="22"/>
        </w:rPr>
        <w:t xml:space="preserve"> or the </w:t>
      </w:r>
      <w:r w:rsidRPr="0CFEFBF2">
        <w:rPr>
          <w:rFonts w:hint="eastAsia"/>
          <w:sz w:val="22"/>
          <w:szCs w:val="22"/>
        </w:rPr>
        <w:t>s</w:t>
      </w:r>
      <w:r w:rsidRPr="0CFEFBF2">
        <w:rPr>
          <w:sz w:val="22"/>
          <w:szCs w:val="22"/>
        </w:rPr>
        <w:t xml:space="preserve">tandard-of-care </w:t>
      </w:r>
      <w:r w:rsidRPr="0CFEFBF2">
        <w:rPr>
          <w:rFonts w:hint="eastAsia"/>
          <w:sz w:val="22"/>
          <w:szCs w:val="22"/>
        </w:rPr>
        <w:t>arm</w:t>
      </w:r>
      <w:r w:rsidRPr="0CFEFBF2">
        <w:rPr>
          <w:sz w:val="22"/>
          <w:szCs w:val="22"/>
        </w:rPr>
        <w:t xml:space="preserve"> based on this randomized order.</w:t>
      </w:r>
    </w:p>
    <w:p w14:paraId="19C1199B" w14:textId="77777777" w:rsidR="00197710" w:rsidRPr="00197710" w:rsidRDefault="00197710" w:rsidP="00197710">
      <w:pPr>
        <w:rPr>
          <w:sz w:val="22"/>
          <w:szCs w:val="22"/>
        </w:rPr>
      </w:pPr>
    </w:p>
    <w:p w14:paraId="1CF55885" w14:textId="77777777" w:rsidR="00514AE8" w:rsidRPr="00197710" w:rsidRDefault="00053646" w:rsidP="00197710">
      <w:pPr>
        <w:rPr>
          <w:sz w:val="22"/>
          <w:szCs w:val="22"/>
        </w:rPr>
      </w:pPr>
      <w:r w:rsidRPr="0CFEFBF2">
        <w:rPr>
          <w:sz w:val="22"/>
          <w:szCs w:val="22"/>
        </w:rPr>
        <w:t xml:space="preserve">Wuxi </w:t>
      </w:r>
      <w:proofErr w:type="spellStart"/>
      <w:r w:rsidRPr="0CFEFBF2">
        <w:rPr>
          <w:sz w:val="22"/>
          <w:szCs w:val="22"/>
        </w:rPr>
        <w:t>Huishan</w:t>
      </w:r>
      <w:proofErr w:type="spellEnd"/>
      <w:r w:rsidRPr="0CFEFBF2">
        <w:rPr>
          <w:sz w:val="22"/>
          <w:szCs w:val="22"/>
        </w:rPr>
        <w:t xml:space="preserve"> District People’s Hospital</w:t>
      </w:r>
    </w:p>
    <w:tbl>
      <w:tblPr>
        <w:tblW w:w="5509" w:type="dxa"/>
        <w:tblLayout w:type="fixed"/>
        <w:tblLook w:val="04A0" w:firstRow="1" w:lastRow="0" w:firstColumn="1" w:lastColumn="0" w:noHBand="0" w:noVBand="1"/>
      </w:tblPr>
      <w:tblGrid>
        <w:gridCol w:w="2659"/>
        <w:gridCol w:w="2850"/>
      </w:tblGrid>
      <w:tr w:rsidR="00514AE8" w:rsidRPr="00197710" w14:paraId="1CF55888"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86"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Cluster ID</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87"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Arms</w:t>
            </w:r>
          </w:p>
        </w:tc>
      </w:tr>
      <w:tr w:rsidR="00514AE8" w:rsidRPr="00197710" w14:paraId="1CF5588B"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89"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8A"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8E"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8C"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2</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8D"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91"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8F"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3</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90"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94"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92"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4</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93"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97"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95"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5</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96"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9A"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98"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6</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99"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9D"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9B"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7</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9C"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A0"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9E"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8</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9F"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A3"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A1"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9</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A2"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A6"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A4"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10</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A5"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A9"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A7"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11</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A8"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AC"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AA"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12</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AB"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AF"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AD"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13</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AE"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B2"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B0"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14</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B1"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B5"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B3"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15</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B4"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B8" w14:textId="77777777" w:rsidTr="0CFEFBF2">
        <w:trPr>
          <w:trHeight w:val="300"/>
        </w:trPr>
        <w:tc>
          <w:tcPr>
            <w:tcW w:w="26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B6"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16</w:t>
            </w:r>
          </w:p>
        </w:tc>
        <w:tc>
          <w:tcPr>
            <w:tcW w:w="285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B7"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bl>
    <w:p w14:paraId="1CF558B9" w14:textId="77777777" w:rsidR="00514AE8" w:rsidRPr="00197710" w:rsidRDefault="00053646" w:rsidP="00197710">
      <w:pPr>
        <w:rPr>
          <w:sz w:val="22"/>
          <w:szCs w:val="22"/>
        </w:rPr>
      </w:pPr>
      <w:r w:rsidRPr="0CFEFBF2">
        <w:rPr>
          <w:sz w:val="22"/>
          <w:szCs w:val="22"/>
        </w:rPr>
        <w:t>Affiliated Hospital of Jiangnan University</w:t>
      </w:r>
    </w:p>
    <w:tbl>
      <w:tblPr>
        <w:tblW w:w="5493" w:type="dxa"/>
        <w:tblLayout w:type="fixed"/>
        <w:tblLook w:val="04A0" w:firstRow="1" w:lastRow="0" w:firstColumn="1" w:lastColumn="0" w:noHBand="0" w:noVBand="1"/>
      </w:tblPr>
      <w:tblGrid>
        <w:gridCol w:w="2109"/>
        <w:gridCol w:w="3384"/>
      </w:tblGrid>
      <w:tr w:rsidR="00514AE8" w:rsidRPr="00197710" w14:paraId="1CF558BC"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BA"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Cluster ID</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BB"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Arms</w:t>
            </w:r>
          </w:p>
        </w:tc>
      </w:tr>
      <w:tr w:rsidR="00514AE8" w:rsidRPr="00197710" w14:paraId="1CF558BF"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BD"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BE"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C2"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C0"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2</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C1"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C5"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C3"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3</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C4"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C8"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C6"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4</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C7"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CB"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C9"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5</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CA"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CE"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CC"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6</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CD"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D1"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CF"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7</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D0"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D4"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D2"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8</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D3"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D7"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D5"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9</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D6"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DA"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D8"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10</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D9"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DD"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DB"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11</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DC"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E0"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DE"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12</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DF"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E3"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E1"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13</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E2"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E6"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E4"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14</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E5"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Pay-it-forward</w:t>
            </w:r>
          </w:p>
        </w:tc>
      </w:tr>
      <w:tr w:rsidR="00514AE8" w:rsidRPr="00197710" w14:paraId="1CF558E9"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E7"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lastRenderedPageBreak/>
              <w:t>15</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E8"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r w:rsidR="00514AE8" w:rsidRPr="00197710" w14:paraId="1CF558EC" w14:textId="77777777" w:rsidTr="0CFEFBF2">
        <w:trPr>
          <w:trHeight w:val="300"/>
        </w:trPr>
        <w:tc>
          <w:tcPr>
            <w:tcW w:w="210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EA"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16</w:t>
            </w:r>
          </w:p>
        </w:tc>
        <w:tc>
          <w:tcPr>
            <w:tcW w:w="338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CF558EB" w14:textId="77777777" w:rsidR="00514AE8" w:rsidRPr="00197710" w:rsidRDefault="00053646" w:rsidP="00197710">
            <w:pPr>
              <w:jc w:val="center"/>
              <w:textAlignment w:val="center"/>
              <w:rPr>
                <w:rFonts w:eastAsia="宋体"/>
                <w:color w:val="000000"/>
                <w:sz w:val="22"/>
                <w:szCs w:val="22"/>
              </w:rPr>
            </w:pPr>
            <w:r w:rsidRPr="0CFEFBF2">
              <w:rPr>
                <w:rFonts w:eastAsia="宋体"/>
                <w:color w:val="000000" w:themeColor="text1"/>
                <w:sz w:val="22"/>
                <w:szCs w:val="22"/>
                <w:lang w:bidi="ar"/>
              </w:rPr>
              <w:t xml:space="preserve">Standard-of-care </w:t>
            </w:r>
          </w:p>
        </w:tc>
      </w:tr>
    </w:tbl>
    <w:p w14:paraId="3EF08869" w14:textId="77777777" w:rsidR="00FE4224" w:rsidRDefault="00FE4224" w:rsidP="0CFEFBF2">
      <w:pPr>
        <w:pStyle w:val="a5"/>
        <w:rPr>
          <w:rFonts w:eastAsia="Times New Roman"/>
          <w:b/>
          <w:color w:val="auto"/>
          <w:sz w:val="22"/>
          <w:szCs w:val="22"/>
        </w:rPr>
      </w:pPr>
    </w:p>
    <w:p w14:paraId="54C5D3C9" w14:textId="19D5ECF7" w:rsidR="00E1102A" w:rsidRPr="00197710" w:rsidRDefault="00E1102A" w:rsidP="0CFEFBF2">
      <w:pPr>
        <w:pStyle w:val="a5"/>
        <w:rPr>
          <w:rFonts w:eastAsia="Times New Roman"/>
          <w:b/>
          <w:color w:val="auto"/>
          <w:sz w:val="22"/>
          <w:szCs w:val="22"/>
        </w:rPr>
      </w:pPr>
      <w:bookmarkStart w:id="2" w:name="_Toc1067757193"/>
      <w:r w:rsidRPr="0CFEFBF2">
        <w:rPr>
          <w:rFonts w:eastAsia="Times New Roman" w:hint="eastAsia"/>
          <w:b/>
          <w:i/>
          <w:color w:val="auto"/>
          <w:sz w:val="22"/>
          <w:szCs w:val="22"/>
        </w:rPr>
        <w:t>S</w:t>
      </w:r>
      <w:r w:rsidRPr="0CFEFBF2">
        <w:rPr>
          <w:rFonts w:eastAsia="Times New Roman"/>
          <w:b/>
          <w:i/>
          <w:color w:val="auto"/>
          <w:sz w:val="22"/>
          <w:szCs w:val="22"/>
        </w:rPr>
        <w:t>upplement file 2: Cost analysis</w:t>
      </w:r>
      <w:bookmarkEnd w:id="2"/>
    </w:p>
    <w:p w14:paraId="445AAC86" w14:textId="211D71FC" w:rsidR="00E1102A" w:rsidRPr="00197710" w:rsidRDefault="00E1102A" w:rsidP="00197710">
      <w:pPr>
        <w:rPr>
          <w:sz w:val="22"/>
          <w:szCs w:val="22"/>
        </w:rPr>
      </w:pPr>
      <w:r w:rsidRPr="0CFEFBF2">
        <w:rPr>
          <w:sz w:val="22"/>
          <w:szCs w:val="22"/>
        </w:rPr>
        <w:t>We compared costs between all two arms and present the collected costs data (</w:t>
      </w:r>
      <w:r w:rsidR="005B5641" w:rsidRPr="0CFEFBF2">
        <w:rPr>
          <w:sz w:val="22"/>
          <w:szCs w:val="22"/>
        </w:rPr>
        <w:t>ta</w:t>
      </w:r>
      <w:r w:rsidR="005B5641" w:rsidRPr="0CFEFBF2">
        <w:rPr>
          <w:rFonts w:hint="eastAsia"/>
          <w:sz w:val="22"/>
          <w:szCs w:val="22"/>
        </w:rPr>
        <w:t>ble</w:t>
      </w:r>
      <w:r w:rsidR="005B5641" w:rsidRPr="0CFEFBF2">
        <w:rPr>
          <w:sz w:val="22"/>
          <w:szCs w:val="22"/>
        </w:rPr>
        <w:t xml:space="preserve"> S1</w:t>
      </w:r>
      <w:r w:rsidRPr="0CFEFBF2">
        <w:rPr>
          <w:sz w:val="22"/>
          <w:szCs w:val="22"/>
        </w:rPr>
        <w:t>). Economic and financial costs per person are reported in the main text.</w:t>
      </w:r>
    </w:p>
    <w:p w14:paraId="659956BC" w14:textId="77777777" w:rsidR="00E1102A" w:rsidRPr="00197710" w:rsidRDefault="00E1102A" w:rsidP="00197710">
      <w:pPr>
        <w:rPr>
          <w:b/>
          <w:sz w:val="22"/>
          <w:szCs w:val="22"/>
        </w:rPr>
      </w:pPr>
    </w:p>
    <w:p w14:paraId="46A16421" w14:textId="77777777" w:rsidR="00E1102A" w:rsidRPr="00197710" w:rsidRDefault="00E1102A" w:rsidP="00197710">
      <w:pPr>
        <w:rPr>
          <w:b/>
          <w:sz w:val="22"/>
          <w:szCs w:val="22"/>
        </w:rPr>
      </w:pPr>
      <w:r w:rsidRPr="0CFEFBF2">
        <w:rPr>
          <w:b/>
          <w:sz w:val="22"/>
          <w:szCs w:val="22"/>
        </w:rPr>
        <w:t xml:space="preserve">Table S1. Cost calculations (in 2023 USD) for the study. </w:t>
      </w:r>
    </w:p>
    <w:tbl>
      <w:tblPr>
        <w:tblW w:w="8461" w:type="dxa"/>
        <w:tblLook w:val="04A0" w:firstRow="1" w:lastRow="0" w:firstColumn="1" w:lastColumn="0" w:noHBand="0" w:noVBand="1"/>
      </w:tblPr>
      <w:tblGrid>
        <w:gridCol w:w="2500"/>
        <w:gridCol w:w="1060"/>
        <w:gridCol w:w="1215"/>
        <w:gridCol w:w="1134"/>
        <w:gridCol w:w="1276"/>
        <w:gridCol w:w="1276"/>
      </w:tblGrid>
      <w:tr w:rsidR="00E1102A" w:rsidRPr="00197710" w14:paraId="4C4977BD" w14:textId="77777777" w:rsidTr="00597683">
        <w:trPr>
          <w:trHeight w:val="300"/>
        </w:trPr>
        <w:tc>
          <w:tcPr>
            <w:tcW w:w="2500" w:type="dxa"/>
            <w:tcBorders>
              <w:top w:val="single" w:sz="4" w:space="0" w:color="auto"/>
              <w:left w:val="nil"/>
              <w:bottom w:val="single" w:sz="4" w:space="0" w:color="auto"/>
              <w:right w:val="nil"/>
            </w:tcBorders>
            <w:shd w:val="clear" w:color="auto" w:fill="auto"/>
            <w:noWrap/>
            <w:hideMark/>
          </w:tcPr>
          <w:p w14:paraId="388B2D2A" w14:textId="77777777" w:rsidR="00E1102A" w:rsidRPr="00197710" w:rsidRDefault="00E1102A" w:rsidP="00197710">
            <w:pPr>
              <w:rPr>
                <w:rFonts w:eastAsia="DengXian"/>
                <w:b/>
                <w:color w:val="000000"/>
                <w:sz w:val="22"/>
                <w:szCs w:val="22"/>
              </w:rPr>
            </w:pPr>
            <w:r w:rsidRPr="0CFEFBF2">
              <w:rPr>
                <w:rFonts w:eastAsia="DengXian"/>
                <w:b/>
                <w:color w:val="000000" w:themeColor="text1"/>
                <w:sz w:val="22"/>
                <w:szCs w:val="22"/>
              </w:rPr>
              <w:t>Cost Items</w:t>
            </w:r>
          </w:p>
        </w:tc>
        <w:tc>
          <w:tcPr>
            <w:tcW w:w="1060" w:type="dxa"/>
            <w:tcBorders>
              <w:top w:val="single" w:sz="4" w:space="0" w:color="auto"/>
              <w:left w:val="nil"/>
              <w:bottom w:val="single" w:sz="4" w:space="0" w:color="auto"/>
              <w:right w:val="nil"/>
            </w:tcBorders>
            <w:shd w:val="clear" w:color="auto" w:fill="auto"/>
            <w:noWrap/>
            <w:hideMark/>
          </w:tcPr>
          <w:p w14:paraId="4E5082AB" w14:textId="77777777" w:rsidR="00E1102A" w:rsidRPr="00197710" w:rsidRDefault="00E1102A" w:rsidP="00197710">
            <w:pPr>
              <w:rPr>
                <w:rFonts w:eastAsia="DengXian"/>
                <w:b/>
                <w:color w:val="000000"/>
                <w:sz w:val="22"/>
                <w:szCs w:val="22"/>
              </w:rPr>
            </w:pPr>
          </w:p>
        </w:tc>
        <w:tc>
          <w:tcPr>
            <w:tcW w:w="1215" w:type="dxa"/>
            <w:tcBorders>
              <w:top w:val="single" w:sz="4" w:space="0" w:color="auto"/>
              <w:left w:val="nil"/>
              <w:bottom w:val="single" w:sz="4" w:space="0" w:color="auto"/>
              <w:right w:val="nil"/>
            </w:tcBorders>
            <w:shd w:val="clear" w:color="auto" w:fill="auto"/>
            <w:noWrap/>
            <w:hideMark/>
          </w:tcPr>
          <w:p w14:paraId="01B1AEDE" w14:textId="77777777" w:rsidR="00E1102A" w:rsidRPr="00197710" w:rsidRDefault="00E1102A" w:rsidP="00197710">
            <w:pPr>
              <w:rPr>
                <w:rFonts w:eastAsia="DengXian"/>
                <w:b/>
                <w:color w:val="000000"/>
                <w:sz w:val="22"/>
                <w:szCs w:val="22"/>
              </w:rPr>
            </w:pPr>
            <w:r w:rsidRPr="0CFEFBF2">
              <w:rPr>
                <w:rFonts w:eastAsia="DengXian"/>
                <w:b/>
                <w:color w:val="000000" w:themeColor="text1"/>
                <w:sz w:val="22"/>
                <w:szCs w:val="22"/>
              </w:rPr>
              <w:t>Standard-of-care</w:t>
            </w:r>
          </w:p>
        </w:tc>
        <w:tc>
          <w:tcPr>
            <w:tcW w:w="1134" w:type="dxa"/>
            <w:tcBorders>
              <w:top w:val="single" w:sz="4" w:space="0" w:color="auto"/>
              <w:left w:val="nil"/>
              <w:bottom w:val="single" w:sz="4" w:space="0" w:color="auto"/>
              <w:right w:val="nil"/>
            </w:tcBorders>
            <w:shd w:val="clear" w:color="auto" w:fill="auto"/>
            <w:noWrap/>
            <w:hideMark/>
          </w:tcPr>
          <w:p w14:paraId="188E3ED6" w14:textId="77777777" w:rsidR="00E1102A" w:rsidRPr="00197710" w:rsidRDefault="00E1102A" w:rsidP="00197710">
            <w:pPr>
              <w:rPr>
                <w:rFonts w:eastAsia="DengXian"/>
                <w:b/>
                <w:color w:val="000000"/>
                <w:sz w:val="22"/>
                <w:szCs w:val="22"/>
              </w:rPr>
            </w:pPr>
          </w:p>
        </w:tc>
        <w:tc>
          <w:tcPr>
            <w:tcW w:w="1276" w:type="dxa"/>
            <w:tcBorders>
              <w:top w:val="single" w:sz="4" w:space="0" w:color="auto"/>
              <w:left w:val="nil"/>
              <w:bottom w:val="single" w:sz="4" w:space="0" w:color="auto"/>
              <w:right w:val="nil"/>
            </w:tcBorders>
            <w:shd w:val="clear" w:color="auto" w:fill="auto"/>
            <w:noWrap/>
            <w:hideMark/>
          </w:tcPr>
          <w:p w14:paraId="240D5676" w14:textId="77777777" w:rsidR="00E1102A" w:rsidRPr="00197710" w:rsidRDefault="00E1102A" w:rsidP="00197710">
            <w:pPr>
              <w:rPr>
                <w:rFonts w:eastAsia="DengXian"/>
                <w:b/>
                <w:color w:val="000000"/>
                <w:sz w:val="22"/>
                <w:szCs w:val="22"/>
              </w:rPr>
            </w:pPr>
            <w:r w:rsidRPr="0CFEFBF2">
              <w:rPr>
                <w:rFonts w:eastAsia="DengXian"/>
                <w:b/>
                <w:color w:val="000000" w:themeColor="text1"/>
                <w:sz w:val="22"/>
                <w:szCs w:val="22"/>
              </w:rPr>
              <w:t>Pay-it-forward</w:t>
            </w:r>
          </w:p>
        </w:tc>
        <w:tc>
          <w:tcPr>
            <w:tcW w:w="1276" w:type="dxa"/>
            <w:tcBorders>
              <w:top w:val="single" w:sz="4" w:space="0" w:color="auto"/>
              <w:left w:val="nil"/>
              <w:bottom w:val="single" w:sz="4" w:space="0" w:color="auto"/>
              <w:right w:val="nil"/>
            </w:tcBorders>
            <w:shd w:val="clear" w:color="auto" w:fill="auto"/>
            <w:noWrap/>
            <w:hideMark/>
          </w:tcPr>
          <w:p w14:paraId="2EBAB89F" w14:textId="77777777" w:rsidR="00E1102A" w:rsidRPr="00197710" w:rsidRDefault="00E1102A" w:rsidP="00197710">
            <w:pPr>
              <w:rPr>
                <w:rFonts w:eastAsia="DengXian"/>
                <w:b/>
                <w:color w:val="000000"/>
                <w:sz w:val="22"/>
                <w:szCs w:val="22"/>
              </w:rPr>
            </w:pPr>
          </w:p>
        </w:tc>
      </w:tr>
      <w:tr w:rsidR="00E1102A" w:rsidRPr="00197710" w14:paraId="434FAEB3" w14:textId="77777777" w:rsidTr="00597683">
        <w:trPr>
          <w:trHeight w:val="300"/>
        </w:trPr>
        <w:tc>
          <w:tcPr>
            <w:tcW w:w="2500" w:type="dxa"/>
            <w:tcBorders>
              <w:top w:val="single" w:sz="4" w:space="0" w:color="auto"/>
              <w:left w:val="nil"/>
              <w:bottom w:val="nil"/>
              <w:right w:val="nil"/>
            </w:tcBorders>
            <w:shd w:val="clear" w:color="auto" w:fill="auto"/>
            <w:noWrap/>
            <w:hideMark/>
          </w:tcPr>
          <w:p w14:paraId="39836E8B" w14:textId="77777777" w:rsidR="00E1102A" w:rsidRPr="00197710" w:rsidRDefault="00E1102A" w:rsidP="00197710">
            <w:pPr>
              <w:rPr>
                <w:rFonts w:eastAsia="DengXian"/>
                <w:i/>
                <w:color w:val="000000"/>
                <w:sz w:val="22"/>
                <w:szCs w:val="22"/>
                <w:u w:val="single"/>
              </w:rPr>
            </w:pPr>
            <w:r w:rsidRPr="0CFEFBF2">
              <w:rPr>
                <w:rFonts w:eastAsia="DengXian"/>
                <w:i/>
                <w:color w:val="000000" w:themeColor="text1"/>
                <w:sz w:val="22"/>
                <w:szCs w:val="22"/>
                <w:u w:val="single"/>
              </w:rPr>
              <w:t xml:space="preserve">Training cost </w:t>
            </w:r>
          </w:p>
        </w:tc>
        <w:tc>
          <w:tcPr>
            <w:tcW w:w="1060" w:type="dxa"/>
            <w:tcBorders>
              <w:top w:val="single" w:sz="4" w:space="0" w:color="auto"/>
              <w:left w:val="nil"/>
              <w:bottom w:val="nil"/>
              <w:right w:val="nil"/>
            </w:tcBorders>
            <w:shd w:val="clear" w:color="auto" w:fill="auto"/>
            <w:noWrap/>
            <w:hideMark/>
          </w:tcPr>
          <w:p w14:paraId="02349F05" w14:textId="77777777" w:rsidR="00E1102A" w:rsidRPr="00197710" w:rsidRDefault="00E1102A" w:rsidP="00197710">
            <w:pPr>
              <w:rPr>
                <w:rFonts w:eastAsia="DengXian"/>
                <w:i/>
                <w:color w:val="000000"/>
                <w:sz w:val="22"/>
                <w:szCs w:val="22"/>
                <w:u w:val="single"/>
              </w:rPr>
            </w:pPr>
          </w:p>
        </w:tc>
        <w:tc>
          <w:tcPr>
            <w:tcW w:w="1215" w:type="dxa"/>
            <w:tcBorders>
              <w:top w:val="single" w:sz="4" w:space="0" w:color="auto"/>
              <w:left w:val="nil"/>
              <w:bottom w:val="nil"/>
              <w:right w:val="nil"/>
            </w:tcBorders>
            <w:shd w:val="clear" w:color="auto" w:fill="auto"/>
            <w:noWrap/>
            <w:hideMark/>
          </w:tcPr>
          <w:p w14:paraId="37C53219" w14:textId="77777777" w:rsidR="00E1102A" w:rsidRPr="00197710" w:rsidRDefault="00E1102A" w:rsidP="00197710">
            <w:pPr>
              <w:rPr>
                <w:sz w:val="22"/>
                <w:szCs w:val="22"/>
              </w:rPr>
            </w:pPr>
          </w:p>
        </w:tc>
        <w:tc>
          <w:tcPr>
            <w:tcW w:w="1134" w:type="dxa"/>
            <w:tcBorders>
              <w:top w:val="single" w:sz="4" w:space="0" w:color="auto"/>
              <w:left w:val="nil"/>
              <w:bottom w:val="nil"/>
              <w:right w:val="nil"/>
            </w:tcBorders>
            <w:shd w:val="clear" w:color="auto" w:fill="auto"/>
            <w:noWrap/>
            <w:hideMark/>
          </w:tcPr>
          <w:p w14:paraId="231FB42A" w14:textId="77777777" w:rsidR="00E1102A" w:rsidRPr="00197710" w:rsidRDefault="00E1102A" w:rsidP="00197710">
            <w:pPr>
              <w:rPr>
                <w:sz w:val="22"/>
                <w:szCs w:val="22"/>
              </w:rPr>
            </w:pPr>
          </w:p>
        </w:tc>
        <w:tc>
          <w:tcPr>
            <w:tcW w:w="1276" w:type="dxa"/>
            <w:tcBorders>
              <w:top w:val="single" w:sz="4" w:space="0" w:color="auto"/>
              <w:left w:val="nil"/>
              <w:bottom w:val="nil"/>
              <w:right w:val="nil"/>
            </w:tcBorders>
            <w:shd w:val="clear" w:color="auto" w:fill="auto"/>
            <w:noWrap/>
            <w:hideMark/>
          </w:tcPr>
          <w:p w14:paraId="124F79E4" w14:textId="77777777" w:rsidR="00E1102A" w:rsidRPr="00197710" w:rsidRDefault="00E1102A" w:rsidP="00197710">
            <w:pPr>
              <w:rPr>
                <w:sz w:val="22"/>
                <w:szCs w:val="22"/>
              </w:rPr>
            </w:pPr>
          </w:p>
        </w:tc>
        <w:tc>
          <w:tcPr>
            <w:tcW w:w="1276" w:type="dxa"/>
            <w:tcBorders>
              <w:top w:val="single" w:sz="4" w:space="0" w:color="auto"/>
              <w:left w:val="nil"/>
              <w:bottom w:val="nil"/>
              <w:right w:val="nil"/>
            </w:tcBorders>
            <w:shd w:val="clear" w:color="auto" w:fill="auto"/>
            <w:noWrap/>
            <w:hideMark/>
          </w:tcPr>
          <w:p w14:paraId="0E03D003" w14:textId="77777777" w:rsidR="00E1102A" w:rsidRPr="00197710" w:rsidRDefault="00E1102A" w:rsidP="00197710">
            <w:pPr>
              <w:rPr>
                <w:sz w:val="22"/>
                <w:szCs w:val="22"/>
              </w:rPr>
            </w:pPr>
          </w:p>
        </w:tc>
      </w:tr>
      <w:tr w:rsidR="00E1102A" w:rsidRPr="00197710" w14:paraId="30E2F960" w14:textId="77777777" w:rsidTr="00597683">
        <w:trPr>
          <w:trHeight w:val="300"/>
        </w:trPr>
        <w:tc>
          <w:tcPr>
            <w:tcW w:w="2500" w:type="dxa"/>
            <w:tcBorders>
              <w:top w:val="nil"/>
              <w:left w:val="nil"/>
              <w:bottom w:val="nil"/>
              <w:right w:val="nil"/>
            </w:tcBorders>
            <w:shd w:val="clear" w:color="auto" w:fill="auto"/>
            <w:noWrap/>
            <w:hideMark/>
          </w:tcPr>
          <w:p w14:paraId="62EDD7ED" w14:textId="77777777" w:rsidR="00E1102A" w:rsidRPr="00197710" w:rsidRDefault="00E1102A" w:rsidP="00197710">
            <w:pPr>
              <w:rPr>
                <w:rFonts w:eastAsia="DengXian"/>
                <w:color w:val="000000"/>
                <w:sz w:val="22"/>
                <w:szCs w:val="22"/>
                <w:u w:val="single"/>
              </w:rPr>
            </w:pPr>
            <w:r w:rsidRPr="0CFEFBF2">
              <w:rPr>
                <w:rFonts w:eastAsia="DengXian"/>
                <w:color w:val="000000" w:themeColor="text1"/>
                <w:sz w:val="22"/>
                <w:szCs w:val="22"/>
                <w:u w:val="single"/>
              </w:rPr>
              <w:t>Trainer</w:t>
            </w:r>
          </w:p>
        </w:tc>
        <w:tc>
          <w:tcPr>
            <w:tcW w:w="1060" w:type="dxa"/>
            <w:tcBorders>
              <w:top w:val="nil"/>
              <w:left w:val="nil"/>
              <w:bottom w:val="nil"/>
              <w:right w:val="nil"/>
            </w:tcBorders>
            <w:shd w:val="clear" w:color="auto" w:fill="auto"/>
            <w:noWrap/>
            <w:hideMark/>
          </w:tcPr>
          <w:p w14:paraId="59818333"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Unit cost</w:t>
            </w:r>
          </w:p>
        </w:tc>
        <w:tc>
          <w:tcPr>
            <w:tcW w:w="1215" w:type="dxa"/>
            <w:tcBorders>
              <w:top w:val="nil"/>
              <w:left w:val="nil"/>
              <w:bottom w:val="nil"/>
              <w:right w:val="nil"/>
            </w:tcBorders>
            <w:shd w:val="clear" w:color="auto" w:fill="auto"/>
            <w:noWrap/>
            <w:hideMark/>
          </w:tcPr>
          <w:p w14:paraId="58932F24"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Quantity </w:t>
            </w:r>
          </w:p>
        </w:tc>
        <w:tc>
          <w:tcPr>
            <w:tcW w:w="1134" w:type="dxa"/>
            <w:tcBorders>
              <w:top w:val="nil"/>
              <w:left w:val="nil"/>
              <w:bottom w:val="nil"/>
              <w:right w:val="nil"/>
            </w:tcBorders>
            <w:shd w:val="clear" w:color="auto" w:fill="auto"/>
            <w:noWrap/>
            <w:hideMark/>
          </w:tcPr>
          <w:p w14:paraId="21845C56"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Sub-total cost</w:t>
            </w:r>
          </w:p>
        </w:tc>
        <w:tc>
          <w:tcPr>
            <w:tcW w:w="1276" w:type="dxa"/>
            <w:tcBorders>
              <w:top w:val="nil"/>
              <w:left w:val="nil"/>
              <w:bottom w:val="nil"/>
              <w:right w:val="nil"/>
            </w:tcBorders>
            <w:shd w:val="clear" w:color="auto" w:fill="auto"/>
            <w:noWrap/>
            <w:hideMark/>
          </w:tcPr>
          <w:p w14:paraId="6DD70410"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Quantity </w:t>
            </w:r>
          </w:p>
        </w:tc>
        <w:tc>
          <w:tcPr>
            <w:tcW w:w="1276" w:type="dxa"/>
            <w:tcBorders>
              <w:top w:val="nil"/>
              <w:left w:val="nil"/>
              <w:bottom w:val="nil"/>
              <w:right w:val="nil"/>
            </w:tcBorders>
            <w:shd w:val="clear" w:color="auto" w:fill="auto"/>
            <w:noWrap/>
            <w:hideMark/>
          </w:tcPr>
          <w:p w14:paraId="6CC3DC2F"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Sub-total cost</w:t>
            </w:r>
          </w:p>
        </w:tc>
      </w:tr>
      <w:tr w:rsidR="00E1102A" w:rsidRPr="00197710" w14:paraId="1A29093C" w14:textId="77777777" w:rsidTr="00597683">
        <w:trPr>
          <w:trHeight w:val="300"/>
        </w:trPr>
        <w:tc>
          <w:tcPr>
            <w:tcW w:w="2500" w:type="dxa"/>
            <w:tcBorders>
              <w:top w:val="nil"/>
              <w:left w:val="nil"/>
              <w:bottom w:val="nil"/>
              <w:right w:val="nil"/>
            </w:tcBorders>
            <w:shd w:val="clear" w:color="auto" w:fill="auto"/>
            <w:noWrap/>
            <w:hideMark/>
          </w:tcPr>
          <w:p w14:paraId="0E85ACEC"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SESH research assistant A</w:t>
            </w:r>
          </w:p>
        </w:tc>
        <w:tc>
          <w:tcPr>
            <w:tcW w:w="1060" w:type="dxa"/>
            <w:tcBorders>
              <w:top w:val="nil"/>
              <w:left w:val="nil"/>
              <w:bottom w:val="nil"/>
              <w:right w:val="nil"/>
            </w:tcBorders>
            <w:shd w:val="clear" w:color="auto" w:fill="auto"/>
            <w:noWrap/>
            <w:hideMark/>
          </w:tcPr>
          <w:p w14:paraId="3947936E"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1.17 </w:t>
            </w:r>
          </w:p>
        </w:tc>
        <w:tc>
          <w:tcPr>
            <w:tcW w:w="1215" w:type="dxa"/>
            <w:tcBorders>
              <w:top w:val="nil"/>
              <w:left w:val="nil"/>
              <w:bottom w:val="nil"/>
              <w:right w:val="nil"/>
            </w:tcBorders>
            <w:shd w:val="clear" w:color="auto" w:fill="auto"/>
            <w:noWrap/>
            <w:hideMark/>
          </w:tcPr>
          <w:p w14:paraId="09EFB78F"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0.25 </w:t>
            </w:r>
          </w:p>
        </w:tc>
        <w:tc>
          <w:tcPr>
            <w:tcW w:w="1134" w:type="dxa"/>
            <w:tcBorders>
              <w:top w:val="nil"/>
              <w:left w:val="nil"/>
              <w:bottom w:val="nil"/>
              <w:right w:val="nil"/>
            </w:tcBorders>
            <w:shd w:val="clear" w:color="auto" w:fill="auto"/>
            <w:noWrap/>
            <w:hideMark/>
          </w:tcPr>
          <w:p w14:paraId="4C619F32"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0.29 </w:t>
            </w:r>
          </w:p>
        </w:tc>
        <w:tc>
          <w:tcPr>
            <w:tcW w:w="1276" w:type="dxa"/>
            <w:tcBorders>
              <w:top w:val="nil"/>
              <w:left w:val="nil"/>
              <w:bottom w:val="nil"/>
              <w:right w:val="nil"/>
            </w:tcBorders>
            <w:shd w:val="clear" w:color="auto" w:fill="auto"/>
            <w:noWrap/>
            <w:hideMark/>
          </w:tcPr>
          <w:p w14:paraId="58252E7C"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0.25 </w:t>
            </w:r>
          </w:p>
        </w:tc>
        <w:tc>
          <w:tcPr>
            <w:tcW w:w="1276" w:type="dxa"/>
            <w:tcBorders>
              <w:top w:val="nil"/>
              <w:left w:val="nil"/>
              <w:bottom w:val="nil"/>
              <w:right w:val="nil"/>
            </w:tcBorders>
            <w:shd w:val="clear" w:color="auto" w:fill="auto"/>
            <w:noWrap/>
            <w:hideMark/>
          </w:tcPr>
          <w:p w14:paraId="2575256A"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0.29 </w:t>
            </w:r>
          </w:p>
        </w:tc>
      </w:tr>
      <w:tr w:rsidR="00E1102A" w:rsidRPr="00197710" w14:paraId="4E4BC7D8" w14:textId="77777777" w:rsidTr="00597683">
        <w:trPr>
          <w:trHeight w:val="300"/>
        </w:trPr>
        <w:tc>
          <w:tcPr>
            <w:tcW w:w="2500" w:type="dxa"/>
            <w:tcBorders>
              <w:top w:val="nil"/>
              <w:left w:val="nil"/>
              <w:bottom w:val="nil"/>
              <w:right w:val="nil"/>
            </w:tcBorders>
            <w:shd w:val="clear" w:color="auto" w:fill="auto"/>
            <w:noWrap/>
            <w:hideMark/>
          </w:tcPr>
          <w:p w14:paraId="3353FF57"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SESH research assistant B</w:t>
            </w:r>
          </w:p>
        </w:tc>
        <w:tc>
          <w:tcPr>
            <w:tcW w:w="1060" w:type="dxa"/>
            <w:tcBorders>
              <w:top w:val="nil"/>
              <w:left w:val="nil"/>
              <w:bottom w:val="nil"/>
              <w:right w:val="nil"/>
            </w:tcBorders>
            <w:shd w:val="clear" w:color="auto" w:fill="auto"/>
            <w:noWrap/>
            <w:hideMark/>
          </w:tcPr>
          <w:p w14:paraId="38777D74"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5.54 </w:t>
            </w:r>
          </w:p>
        </w:tc>
        <w:tc>
          <w:tcPr>
            <w:tcW w:w="1215" w:type="dxa"/>
            <w:tcBorders>
              <w:top w:val="nil"/>
              <w:left w:val="nil"/>
              <w:bottom w:val="nil"/>
              <w:right w:val="nil"/>
            </w:tcBorders>
            <w:shd w:val="clear" w:color="auto" w:fill="auto"/>
            <w:noWrap/>
            <w:hideMark/>
          </w:tcPr>
          <w:p w14:paraId="5B14A49B"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0.25 </w:t>
            </w:r>
          </w:p>
        </w:tc>
        <w:tc>
          <w:tcPr>
            <w:tcW w:w="1134" w:type="dxa"/>
            <w:tcBorders>
              <w:top w:val="nil"/>
              <w:left w:val="nil"/>
              <w:bottom w:val="nil"/>
              <w:right w:val="nil"/>
            </w:tcBorders>
            <w:shd w:val="clear" w:color="auto" w:fill="auto"/>
            <w:noWrap/>
            <w:hideMark/>
          </w:tcPr>
          <w:p w14:paraId="41FBA381"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1.39 </w:t>
            </w:r>
          </w:p>
        </w:tc>
        <w:tc>
          <w:tcPr>
            <w:tcW w:w="1276" w:type="dxa"/>
            <w:tcBorders>
              <w:top w:val="nil"/>
              <w:left w:val="nil"/>
              <w:bottom w:val="nil"/>
              <w:right w:val="nil"/>
            </w:tcBorders>
            <w:shd w:val="clear" w:color="auto" w:fill="auto"/>
            <w:noWrap/>
            <w:hideMark/>
          </w:tcPr>
          <w:p w14:paraId="6DBC537E"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0.25 </w:t>
            </w:r>
          </w:p>
        </w:tc>
        <w:tc>
          <w:tcPr>
            <w:tcW w:w="1276" w:type="dxa"/>
            <w:tcBorders>
              <w:top w:val="nil"/>
              <w:left w:val="nil"/>
              <w:bottom w:val="nil"/>
              <w:right w:val="nil"/>
            </w:tcBorders>
            <w:shd w:val="clear" w:color="auto" w:fill="auto"/>
            <w:noWrap/>
            <w:hideMark/>
          </w:tcPr>
          <w:p w14:paraId="6CDBFB7C"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1.39 </w:t>
            </w:r>
          </w:p>
        </w:tc>
      </w:tr>
      <w:tr w:rsidR="00E1102A" w:rsidRPr="00197710" w14:paraId="15BF12FE" w14:textId="77777777" w:rsidTr="00597683">
        <w:trPr>
          <w:trHeight w:val="300"/>
        </w:trPr>
        <w:tc>
          <w:tcPr>
            <w:tcW w:w="2500" w:type="dxa"/>
            <w:tcBorders>
              <w:top w:val="nil"/>
              <w:left w:val="nil"/>
              <w:bottom w:val="nil"/>
              <w:right w:val="nil"/>
            </w:tcBorders>
            <w:shd w:val="clear" w:color="auto" w:fill="auto"/>
            <w:noWrap/>
            <w:hideMark/>
          </w:tcPr>
          <w:p w14:paraId="4C3E96CA" w14:textId="77777777" w:rsidR="00E1102A" w:rsidRPr="00197710" w:rsidRDefault="00E1102A" w:rsidP="00197710">
            <w:pPr>
              <w:rPr>
                <w:rFonts w:eastAsia="DengXian"/>
                <w:color w:val="000000"/>
                <w:sz w:val="22"/>
                <w:szCs w:val="22"/>
                <w:u w:val="single"/>
              </w:rPr>
            </w:pPr>
            <w:r w:rsidRPr="0CFEFBF2">
              <w:rPr>
                <w:rFonts w:eastAsia="DengXian"/>
                <w:color w:val="000000" w:themeColor="text1"/>
                <w:sz w:val="22"/>
                <w:szCs w:val="22"/>
                <w:u w:val="single"/>
              </w:rPr>
              <w:t>Participants</w:t>
            </w:r>
          </w:p>
        </w:tc>
        <w:tc>
          <w:tcPr>
            <w:tcW w:w="1060" w:type="dxa"/>
            <w:tcBorders>
              <w:top w:val="nil"/>
              <w:left w:val="nil"/>
              <w:bottom w:val="nil"/>
              <w:right w:val="nil"/>
            </w:tcBorders>
            <w:shd w:val="clear" w:color="auto" w:fill="auto"/>
            <w:noWrap/>
            <w:hideMark/>
          </w:tcPr>
          <w:p w14:paraId="182B9DC0" w14:textId="77777777" w:rsidR="00E1102A" w:rsidRPr="00197710" w:rsidRDefault="00E1102A" w:rsidP="00197710">
            <w:pPr>
              <w:rPr>
                <w:rFonts w:eastAsia="DengXian"/>
                <w:color w:val="000000"/>
                <w:sz w:val="22"/>
                <w:szCs w:val="22"/>
                <w:u w:val="single"/>
              </w:rPr>
            </w:pPr>
          </w:p>
        </w:tc>
        <w:tc>
          <w:tcPr>
            <w:tcW w:w="1215" w:type="dxa"/>
            <w:tcBorders>
              <w:top w:val="nil"/>
              <w:left w:val="nil"/>
              <w:bottom w:val="nil"/>
              <w:right w:val="nil"/>
            </w:tcBorders>
            <w:shd w:val="clear" w:color="auto" w:fill="auto"/>
            <w:noWrap/>
            <w:hideMark/>
          </w:tcPr>
          <w:p w14:paraId="5C4F8479" w14:textId="77777777" w:rsidR="00E1102A" w:rsidRPr="00197710" w:rsidRDefault="00E1102A" w:rsidP="00197710">
            <w:pPr>
              <w:rPr>
                <w:sz w:val="22"/>
                <w:szCs w:val="22"/>
              </w:rPr>
            </w:pPr>
          </w:p>
        </w:tc>
        <w:tc>
          <w:tcPr>
            <w:tcW w:w="1134" w:type="dxa"/>
            <w:tcBorders>
              <w:top w:val="nil"/>
              <w:left w:val="nil"/>
              <w:bottom w:val="nil"/>
              <w:right w:val="nil"/>
            </w:tcBorders>
            <w:shd w:val="clear" w:color="auto" w:fill="auto"/>
            <w:noWrap/>
            <w:hideMark/>
          </w:tcPr>
          <w:p w14:paraId="7199F8DC"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3AED0722"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32377CE4" w14:textId="77777777" w:rsidR="00E1102A" w:rsidRPr="00197710" w:rsidRDefault="00E1102A" w:rsidP="00197710">
            <w:pPr>
              <w:rPr>
                <w:sz w:val="22"/>
                <w:szCs w:val="22"/>
              </w:rPr>
            </w:pPr>
          </w:p>
        </w:tc>
      </w:tr>
      <w:tr w:rsidR="00E1102A" w:rsidRPr="00197710" w14:paraId="68274C83" w14:textId="77777777" w:rsidTr="00597683">
        <w:trPr>
          <w:trHeight w:val="320"/>
        </w:trPr>
        <w:tc>
          <w:tcPr>
            <w:tcW w:w="2500" w:type="dxa"/>
            <w:tcBorders>
              <w:top w:val="nil"/>
              <w:left w:val="nil"/>
              <w:bottom w:val="nil"/>
              <w:right w:val="nil"/>
            </w:tcBorders>
            <w:shd w:val="clear" w:color="auto" w:fill="auto"/>
            <w:noWrap/>
            <w:hideMark/>
          </w:tcPr>
          <w:p w14:paraId="5E485DC8"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Medical staff (</w:t>
            </w:r>
            <w:r w:rsidRPr="0CFEFBF2">
              <w:rPr>
                <w:rFonts w:eastAsia="DengXian"/>
                <w:color w:val="3F3F3F"/>
                <w:sz w:val="22"/>
                <w:szCs w:val="22"/>
              </w:rPr>
              <w:t>site A)</w:t>
            </w:r>
          </w:p>
        </w:tc>
        <w:tc>
          <w:tcPr>
            <w:tcW w:w="1060" w:type="dxa"/>
            <w:tcBorders>
              <w:top w:val="nil"/>
              <w:left w:val="nil"/>
              <w:bottom w:val="nil"/>
              <w:right w:val="nil"/>
            </w:tcBorders>
            <w:shd w:val="clear" w:color="auto" w:fill="auto"/>
            <w:noWrap/>
            <w:hideMark/>
          </w:tcPr>
          <w:p w14:paraId="1942B4C0"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39.21 </w:t>
            </w:r>
          </w:p>
        </w:tc>
        <w:tc>
          <w:tcPr>
            <w:tcW w:w="1215" w:type="dxa"/>
            <w:tcBorders>
              <w:top w:val="nil"/>
              <w:left w:val="nil"/>
              <w:bottom w:val="nil"/>
              <w:right w:val="nil"/>
            </w:tcBorders>
            <w:shd w:val="clear" w:color="auto" w:fill="auto"/>
            <w:noWrap/>
            <w:hideMark/>
          </w:tcPr>
          <w:p w14:paraId="2F1CDD3A"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0.50 </w:t>
            </w:r>
          </w:p>
        </w:tc>
        <w:tc>
          <w:tcPr>
            <w:tcW w:w="1134" w:type="dxa"/>
            <w:tcBorders>
              <w:top w:val="nil"/>
              <w:left w:val="nil"/>
              <w:bottom w:val="nil"/>
              <w:right w:val="nil"/>
            </w:tcBorders>
            <w:shd w:val="clear" w:color="auto" w:fill="auto"/>
            <w:noWrap/>
            <w:hideMark/>
          </w:tcPr>
          <w:p w14:paraId="015FCBBF"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19.61 </w:t>
            </w:r>
          </w:p>
        </w:tc>
        <w:tc>
          <w:tcPr>
            <w:tcW w:w="1276" w:type="dxa"/>
            <w:tcBorders>
              <w:top w:val="nil"/>
              <w:left w:val="nil"/>
              <w:bottom w:val="nil"/>
              <w:right w:val="nil"/>
            </w:tcBorders>
            <w:shd w:val="clear" w:color="auto" w:fill="auto"/>
            <w:noWrap/>
            <w:hideMark/>
          </w:tcPr>
          <w:p w14:paraId="53181169"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0.50 </w:t>
            </w:r>
          </w:p>
        </w:tc>
        <w:tc>
          <w:tcPr>
            <w:tcW w:w="1276" w:type="dxa"/>
            <w:tcBorders>
              <w:top w:val="nil"/>
              <w:left w:val="nil"/>
              <w:bottom w:val="nil"/>
              <w:right w:val="nil"/>
            </w:tcBorders>
            <w:shd w:val="clear" w:color="auto" w:fill="auto"/>
            <w:noWrap/>
            <w:hideMark/>
          </w:tcPr>
          <w:p w14:paraId="5D60DDBC"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19.61 </w:t>
            </w:r>
          </w:p>
        </w:tc>
      </w:tr>
      <w:tr w:rsidR="00E1102A" w:rsidRPr="00197710" w14:paraId="6FF0D41E" w14:textId="77777777" w:rsidTr="00597683">
        <w:trPr>
          <w:trHeight w:val="320"/>
        </w:trPr>
        <w:tc>
          <w:tcPr>
            <w:tcW w:w="2500" w:type="dxa"/>
            <w:tcBorders>
              <w:top w:val="nil"/>
              <w:left w:val="nil"/>
              <w:bottom w:val="nil"/>
              <w:right w:val="nil"/>
            </w:tcBorders>
            <w:shd w:val="clear" w:color="auto" w:fill="auto"/>
            <w:noWrap/>
            <w:hideMark/>
          </w:tcPr>
          <w:p w14:paraId="46AF27EA"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Medical staff (</w:t>
            </w:r>
            <w:r w:rsidRPr="0CFEFBF2">
              <w:rPr>
                <w:rFonts w:eastAsia="DengXian"/>
                <w:color w:val="3F3F3F"/>
                <w:sz w:val="22"/>
                <w:szCs w:val="22"/>
              </w:rPr>
              <w:t>site B)</w:t>
            </w:r>
          </w:p>
        </w:tc>
        <w:tc>
          <w:tcPr>
            <w:tcW w:w="1060" w:type="dxa"/>
            <w:tcBorders>
              <w:top w:val="nil"/>
              <w:left w:val="nil"/>
              <w:bottom w:val="nil"/>
              <w:right w:val="nil"/>
            </w:tcBorders>
            <w:shd w:val="clear" w:color="auto" w:fill="auto"/>
            <w:noWrap/>
            <w:hideMark/>
          </w:tcPr>
          <w:p w14:paraId="489B0C2E"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28.29 </w:t>
            </w:r>
          </w:p>
        </w:tc>
        <w:tc>
          <w:tcPr>
            <w:tcW w:w="1215" w:type="dxa"/>
            <w:tcBorders>
              <w:top w:val="nil"/>
              <w:left w:val="nil"/>
              <w:bottom w:val="nil"/>
              <w:right w:val="nil"/>
            </w:tcBorders>
            <w:shd w:val="clear" w:color="auto" w:fill="auto"/>
            <w:noWrap/>
            <w:hideMark/>
          </w:tcPr>
          <w:p w14:paraId="7F2F282F"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0.25 </w:t>
            </w:r>
          </w:p>
        </w:tc>
        <w:tc>
          <w:tcPr>
            <w:tcW w:w="1134" w:type="dxa"/>
            <w:tcBorders>
              <w:top w:val="nil"/>
              <w:left w:val="nil"/>
              <w:bottom w:val="nil"/>
              <w:right w:val="nil"/>
            </w:tcBorders>
            <w:shd w:val="clear" w:color="auto" w:fill="auto"/>
            <w:noWrap/>
            <w:hideMark/>
          </w:tcPr>
          <w:p w14:paraId="4F258D5B"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7.07 </w:t>
            </w:r>
          </w:p>
        </w:tc>
        <w:tc>
          <w:tcPr>
            <w:tcW w:w="1276" w:type="dxa"/>
            <w:tcBorders>
              <w:top w:val="nil"/>
              <w:left w:val="nil"/>
              <w:bottom w:val="nil"/>
              <w:right w:val="nil"/>
            </w:tcBorders>
            <w:shd w:val="clear" w:color="auto" w:fill="auto"/>
            <w:noWrap/>
            <w:hideMark/>
          </w:tcPr>
          <w:p w14:paraId="6EACC6AE"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0.25 </w:t>
            </w:r>
          </w:p>
        </w:tc>
        <w:tc>
          <w:tcPr>
            <w:tcW w:w="1276" w:type="dxa"/>
            <w:tcBorders>
              <w:top w:val="nil"/>
              <w:left w:val="nil"/>
              <w:bottom w:val="nil"/>
              <w:right w:val="nil"/>
            </w:tcBorders>
            <w:shd w:val="clear" w:color="auto" w:fill="auto"/>
            <w:noWrap/>
            <w:hideMark/>
          </w:tcPr>
          <w:p w14:paraId="754EED41"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7.07 </w:t>
            </w:r>
          </w:p>
        </w:tc>
      </w:tr>
      <w:tr w:rsidR="00E1102A" w:rsidRPr="00197710" w14:paraId="60096745" w14:textId="77777777" w:rsidTr="00597683">
        <w:trPr>
          <w:trHeight w:val="300"/>
        </w:trPr>
        <w:tc>
          <w:tcPr>
            <w:tcW w:w="2500" w:type="dxa"/>
            <w:tcBorders>
              <w:top w:val="nil"/>
              <w:left w:val="nil"/>
              <w:bottom w:val="nil"/>
              <w:right w:val="nil"/>
            </w:tcBorders>
            <w:shd w:val="clear" w:color="auto" w:fill="auto"/>
            <w:noWrap/>
            <w:hideMark/>
          </w:tcPr>
          <w:p w14:paraId="05066655"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Nurses (Site B)</w:t>
            </w:r>
          </w:p>
        </w:tc>
        <w:tc>
          <w:tcPr>
            <w:tcW w:w="1060" w:type="dxa"/>
            <w:tcBorders>
              <w:top w:val="nil"/>
              <w:left w:val="nil"/>
              <w:bottom w:val="nil"/>
              <w:right w:val="nil"/>
            </w:tcBorders>
            <w:shd w:val="clear" w:color="auto" w:fill="auto"/>
            <w:noWrap/>
            <w:hideMark/>
          </w:tcPr>
          <w:p w14:paraId="61907FDA"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28.29 </w:t>
            </w:r>
          </w:p>
        </w:tc>
        <w:tc>
          <w:tcPr>
            <w:tcW w:w="1215" w:type="dxa"/>
            <w:tcBorders>
              <w:top w:val="nil"/>
              <w:left w:val="nil"/>
              <w:bottom w:val="nil"/>
              <w:right w:val="nil"/>
            </w:tcBorders>
            <w:shd w:val="clear" w:color="auto" w:fill="auto"/>
            <w:noWrap/>
            <w:hideMark/>
          </w:tcPr>
          <w:p w14:paraId="7F85B824"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0.50 </w:t>
            </w:r>
          </w:p>
        </w:tc>
        <w:tc>
          <w:tcPr>
            <w:tcW w:w="1134" w:type="dxa"/>
            <w:tcBorders>
              <w:top w:val="nil"/>
              <w:left w:val="nil"/>
              <w:bottom w:val="nil"/>
              <w:right w:val="nil"/>
            </w:tcBorders>
            <w:shd w:val="clear" w:color="auto" w:fill="auto"/>
            <w:noWrap/>
            <w:hideMark/>
          </w:tcPr>
          <w:p w14:paraId="47F63723"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14.14 </w:t>
            </w:r>
          </w:p>
        </w:tc>
        <w:tc>
          <w:tcPr>
            <w:tcW w:w="1276" w:type="dxa"/>
            <w:tcBorders>
              <w:top w:val="nil"/>
              <w:left w:val="nil"/>
              <w:bottom w:val="nil"/>
              <w:right w:val="nil"/>
            </w:tcBorders>
            <w:shd w:val="clear" w:color="auto" w:fill="auto"/>
            <w:noWrap/>
            <w:hideMark/>
          </w:tcPr>
          <w:p w14:paraId="4BAE0F82"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0.50 </w:t>
            </w:r>
          </w:p>
        </w:tc>
        <w:tc>
          <w:tcPr>
            <w:tcW w:w="1276" w:type="dxa"/>
            <w:tcBorders>
              <w:top w:val="nil"/>
              <w:left w:val="nil"/>
              <w:bottom w:val="nil"/>
              <w:right w:val="nil"/>
            </w:tcBorders>
            <w:shd w:val="clear" w:color="auto" w:fill="auto"/>
            <w:noWrap/>
            <w:hideMark/>
          </w:tcPr>
          <w:p w14:paraId="6F95C73D"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14.14 </w:t>
            </w:r>
          </w:p>
        </w:tc>
      </w:tr>
      <w:tr w:rsidR="00E1102A" w:rsidRPr="00197710" w14:paraId="080BCFA6" w14:textId="77777777" w:rsidTr="00597683">
        <w:trPr>
          <w:trHeight w:val="300"/>
        </w:trPr>
        <w:tc>
          <w:tcPr>
            <w:tcW w:w="2500" w:type="dxa"/>
            <w:tcBorders>
              <w:top w:val="nil"/>
              <w:left w:val="nil"/>
              <w:bottom w:val="nil"/>
              <w:right w:val="nil"/>
            </w:tcBorders>
            <w:shd w:val="clear" w:color="auto" w:fill="auto"/>
            <w:noWrap/>
            <w:hideMark/>
          </w:tcPr>
          <w:p w14:paraId="63CBA27F" w14:textId="77777777" w:rsidR="00E1102A" w:rsidRPr="00197710" w:rsidRDefault="00E1102A" w:rsidP="00197710">
            <w:pPr>
              <w:rPr>
                <w:rFonts w:eastAsia="DengXian"/>
                <w:color w:val="000000"/>
                <w:sz w:val="22"/>
                <w:szCs w:val="22"/>
              </w:rPr>
            </w:pPr>
          </w:p>
        </w:tc>
        <w:tc>
          <w:tcPr>
            <w:tcW w:w="1060" w:type="dxa"/>
            <w:tcBorders>
              <w:top w:val="nil"/>
              <w:left w:val="nil"/>
              <w:bottom w:val="nil"/>
              <w:right w:val="nil"/>
            </w:tcBorders>
            <w:shd w:val="clear" w:color="auto" w:fill="auto"/>
            <w:noWrap/>
            <w:hideMark/>
          </w:tcPr>
          <w:p w14:paraId="1625D993" w14:textId="77777777" w:rsidR="00E1102A" w:rsidRPr="00197710" w:rsidRDefault="00E1102A" w:rsidP="00197710">
            <w:pPr>
              <w:rPr>
                <w:sz w:val="22"/>
                <w:szCs w:val="22"/>
              </w:rPr>
            </w:pPr>
          </w:p>
        </w:tc>
        <w:tc>
          <w:tcPr>
            <w:tcW w:w="1215" w:type="dxa"/>
            <w:tcBorders>
              <w:top w:val="nil"/>
              <w:left w:val="nil"/>
              <w:bottom w:val="nil"/>
              <w:right w:val="nil"/>
            </w:tcBorders>
            <w:shd w:val="clear" w:color="auto" w:fill="auto"/>
            <w:noWrap/>
            <w:hideMark/>
          </w:tcPr>
          <w:p w14:paraId="4518A469" w14:textId="77777777" w:rsidR="00E1102A" w:rsidRPr="00197710" w:rsidRDefault="00E1102A" w:rsidP="00197710">
            <w:pPr>
              <w:rPr>
                <w:sz w:val="22"/>
                <w:szCs w:val="22"/>
              </w:rPr>
            </w:pPr>
          </w:p>
        </w:tc>
        <w:tc>
          <w:tcPr>
            <w:tcW w:w="1134" w:type="dxa"/>
            <w:tcBorders>
              <w:top w:val="nil"/>
              <w:left w:val="nil"/>
              <w:bottom w:val="nil"/>
              <w:right w:val="nil"/>
            </w:tcBorders>
            <w:shd w:val="clear" w:color="auto" w:fill="auto"/>
            <w:noWrap/>
            <w:hideMark/>
          </w:tcPr>
          <w:p w14:paraId="5D6818F9"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7D92F792"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0A30AA8E" w14:textId="77777777" w:rsidR="00E1102A" w:rsidRPr="00197710" w:rsidRDefault="00E1102A" w:rsidP="00197710">
            <w:pPr>
              <w:rPr>
                <w:sz w:val="22"/>
                <w:szCs w:val="22"/>
              </w:rPr>
            </w:pPr>
          </w:p>
        </w:tc>
      </w:tr>
      <w:tr w:rsidR="00E1102A" w:rsidRPr="00197710" w14:paraId="5FB49A0A" w14:textId="77777777" w:rsidTr="00597683">
        <w:trPr>
          <w:trHeight w:val="300"/>
        </w:trPr>
        <w:tc>
          <w:tcPr>
            <w:tcW w:w="2500" w:type="dxa"/>
            <w:tcBorders>
              <w:top w:val="nil"/>
              <w:left w:val="nil"/>
              <w:bottom w:val="nil"/>
              <w:right w:val="nil"/>
            </w:tcBorders>
            <w:shd w:val="clear" w:color="auto" w:fill="auto"/>
            <w:noWrap/>
            <w:hideMark/>
          </w:tcPr>
          <w:p w14:paraId="4829C069" w14:textId="77777777" w:rsidR="00E1102A" w:rsidRPr="00197710" w:rsidRDefault="00E1102A" w:rsidP="00197710">
            <w:pPr>
              <w:rPr>
                <w:rFonts w:eastAsia="DengXian"/>
                <w:i/>
                <w:color w:val="000000"/>
                <w:sz w:val="22"/>
                <w:szCs w:val="22"/>
                <w:u w:val="single"/>
              </w:rPr>
            </w:pPr>
            <w:r w:rsidRPr="0CFEFBF2">
              <w:rPr>
                <w:rFonts w:eastAsia="DengXian"/>
                <w:i/>
                <w:color w:val="000000" w:themeColor="text1"/>
                <w:sz w:val="22"/>
                <w:szCs w:val="22"/>
                <w:u w:val="single"/>
              </w:rPr>
              <w:t xml:space="preserve">Variable cost </w:t>
            </w:r>
          </w:p>
        </w:tc>
        <w:tc>
          <w:tcPr>
            <w:tcW w:w="1060" w:type="dxa"/>
            <w:tcBorders>
              <w:top w:val="nil"/>
              <w:left w:val="nil"/>
              <w:bottom w:val="nil"/>
              <w:right w:val="nil"/>
            </w:tcBorders>
            <w:shd w:val="clear" w:color="auto" w:fill="auto"/>
            <w:noWrap/>
            <w:hideMark/>
          </w:tcPr>
          <w:p w14:paraId="04C76353" w14:textId="77777777" w:rsidR="00E1102A" w:rsidRPr="00197710" w:rsidRDefault="00E1102A" w:rsidP="00197710">
            <w:pPr>
              <w:rPr>
                <w:rFonts w:eastAsia="DengXian"/>
                <w:i/>
                <w:color w:val="000000"/>
                <w:sz w:val="22"/>
                <w:szCs w:val="22"/>
                <w:u w:val="single"/>
              </w:rPr>
            </w:pPr>
          </w:p>
        </w:tc>
        <w:tc>
          <w:tcPr>
            <w:tcW w:w="1215" w:type="dxa"/>
            <w:tcBorders>
              <w:top w:val="nil"/>
              <w:left w:val="nil"/>
              <w:bottom w:val="nil"/>
              <w:right w:val="nil"/>
            </w:tcBorders>
            <w:shd w:val="clear" w:color="auto" w:fill="auto"/>
            <w:noWrap/>
            <w:hideMark/>
          </w:tcPr>
          <w:p w14:paraId="703A1F32" w14:textId="77777777" w:rsidR="00E1102A" w:rsidRPr="00197710" w:rsidRDefault="00E1102A" w:rsidP="00197710">
            <w:pPr>
              <w:rPr>
                <w:sz w:val="22"/>
                <w:szCs w:val="22"/>
              </w:rPr>
            </w:pPr>
          </w:p>
        </w:tc>
        <w:tc>
          <w:tcPr>
            <w:tcW w:w="1134" w:type="dxa"/>
            <w:tcBorders>
              <w:top w:val="nil"/>
              <w:left w:val="nil"/>
              <w:bottom w:val="nil"/>
              <w:right w:val="nil"/>
            </w:tcBorders>
            <w:shd w:val="clear" w:color="auto" w:fill="auto"/>
            <w:noWrap/>
            <w:hideMark/>
          </w:tcPr>
          <w:p w14:paraId="00CBBC47"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23028DB1"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340284FC" w14:textId="77777777" w:rsidR="00E1102A" w:rsidRPr="00197710" w:rsidRDefault="00E1102A" w:rsidP="00197710">
            <w:pPr>
              <w:rPr>
                <w:sz w:val="22"/>
                <w:szCs w:val="22"/>
              </w:rPr>
            </w:pPr>
          </w:p>
        </w:tc>
      </w:tr>
      <w:tr w:rsidR="00E1102A" w:rsidRPr="00197710" w14:paraId="729290F0" w14:textId="77777777" w:rsidTr="00597683">
        <w:trPr>
          <w:trHeight w:val="300"/>
        </w:trPr>
        <w:tc>
          <w:tcPr>
            <w:tcW w:w="8461" w:type="dxa"/>
            <w:gridSpan w:val="6"/>
            <w:tcBorders>
              <w:top w:val="nil"/>
              <w:left w:val="nil"/>
              <w:bottom w:val="nil"/>
              <w:right w:val="nil"/>
            </w:tcBorders>
            <w:shd w:val="clear" w:color="auto" w:fill="auto"/>
            <w:noWrap/>
            <w:hideMark/>
          </w:tcPr>
          <w:p w14:paraId="2E8655B3" w14:textId="77777777" w:rsidR="00E1102A" w:rsidRPr="00197710" w:rsidRDefault="00E1102A" w:rsidP="00197710">
            <w:pPr>
              <w:rPr>
                <w:rFonts w:eastAsia="DengXian"/>
                <w:color w:val="000000"/>
                <w:sz w:val="22"/>
                <w:szCs w:val="22"/>
                <w:u w:val="single"/>
              </w:rPr>
            </w:pPr>
            <w:r w:rsidRPr="0CFEFBF2">
              <w:rPr>
                <w:rFonts w:eastAsia="DengXian"/>
                <w:color w:val="000000" w:themeColor="text1"/>
                <w:sz w:val="22"/>
                <w:szCs w:val="22"/>
                <w:u w:val="single"/>
              </w:rPr>
              <w:t>Provide project counselling for participants per weekday</w:t>
            </w:r>
          </w:p>
        </w:tc>
      </w:tr>
      <w:tr w:rsidR="00E1102A" w:rsidRPr="00197710" w14:paraId="27D3F286" w14:textId="77777777" w:rsidTr="00597683">
        <w:trPr>
          <w:trHeight w:val="320"/>
        </w:trPr>
        <w:tc>
          <w:tcPr>
            <w:tcW w:w="2500" w:type="dxa"/>
            <w:tcBorders>
              <w:top w:val="nil"/>
              <w:left w:val="nil"/>
              <w:bottom w:val="nil"/>
              <w:right w:val="nil"/>
            </w:tcBorders>
            <w:shd w:val="clear" w:color="auto" w:fill="auto"/>
            <w:noWrap/>
            <w:hideMark/>
          </w:tcPr>
          <w:p w14:paraId="7BCF2A04"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Medical staff (</w:t>
            </w:r>
            <w:r w:rsidRPr="0CFEFBF2">
              <w:rPr>
                <w:rFonts w:eastAsia="DengXian"/>
                <w:color w:val="3F3F3F"/>
                <w:sz w:val="22"/>
                <w:szCs w:val="22"/>
              </w:rPr>
              <w:t>site A)</w:t>
            </w:r>
          </w:p>
        </w:tc>
        <w:tc>
          <w:tcPr>
            <w:tcW w:w="1060" w:type="dxa"/>
            <w:tcBorders>
              <w:top w:val="nil"/>
              <w:left w:val="nil"/>
              <w:bottom w:val="nil"/>
              <w:right w:val="nil"/>
            </w:tcBorders>
            <w:shd w:val="clear" w:color="auto" w:fill="auto"/>
            <w:noWrap/>
            <w:hideMark/>
          </w:tcPr>
          <w:p w14:paraId="558BCBC5"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39.21 </w:t>
            </w:r>
          </w:p>
        </w:tc>
        <w:tc>
          <w:tcPr>
            <w:tcW w:w="1215" w:type="dxa"/>
            <w:tcBorders>
              <w:top w:val="nil"/>
              <w:left w:val="nil"/>
              <w:bottom w:val="nil"/>
              <w:right w:val="nil"/>
            </w:tcBorders>
            <w:shd w:val="clear" w:color="auto" w:fill="auto"/>
            <w:noWrap/>
            <w:hideMark/>
          </w:tcPr>
          <w:p w14:paraId="6F152931"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13.00 </w:t>
            </w:r>
          </w:p>
        </w:tc>
        <w:tc>
          <w:tcPr>
            <w:tcW w:w="1134" w:type="dxa"/>
            <w:tcBorders>
              <w:top w:val="nil"/>
              <w:left w:val="nil"/>
              <w:bottom w:val="nil"/>
              <w:right w:val="nil"/>
            </w:tcBorders>
            <w:shd w:val="clear" w:color="auto" w:fill="auto"/>
            <w:noWrap/>
            <w:hideMark/>
          </w:tcPr>
          <w:p w14:paraId="19DA3AD5"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509.77 </w:t>
            </w:r>
          </w:p>
        </w:tc>
        <w:tc>
          <w:tcPr>
            <w:tcW w:w="1276" w:type="dxa"/>
            <w:tcBorders>
              <w:top w:val="nil"/>
              <w:left w:val="nil"/>
              <w:bottom w:val="nil"/>
              <w:right w:val="nil"/>
            </w:tcBorders>
            <w:shd w:val="clear" w:color="auto" w:fill="auto"/>
            <w:noWrap/>
            <w:hideMark/>
          </w:tcPr>
          <w:p w14:paraId="640FC4EF"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13.00 </w:t>
            </w:r>
          </w:p>
        </w:tc>
        <w:tc>
          <w:tcPr>
            <w:tcW w:w="1276" w:type="dxa"/>
            <w:tcBorders>
              <w:top w:val="nil"/>
              <w:left w:val="nil"/>
              <w:bottom w:val="nil"/>
              <w:right w:val="nil"/>
            </w:tcBorders>
            <w:shd w:val="clear" w:color="auto" w:fill="auto"/>
            <w:noWrap/>
            <w:hideMark/>
          </w:tcPr>
          <w:p w14:paraId="4C02F092"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509.77 </w:t>
            </w:r>
          </w:p>
        </w:tc>
      </w:tr>
      <w:tr w:rsidR="00E1102A" w:rsidRPr="00197710" w14:paraId="658CC718" w14:textId="77777777" w:rsidTr="00597683">
        <w:trPr>
          <w:trHeight w:val="300"/>
        </w:trPr>
        <w:tc>
          <w:tcPr>
            <w:tcW w:w="2500" w:type="dxa"/>
            <w:tcBorders>
              <w:top w:val="nil"/>
              <w:left w:val="nil"/>
              <w:bottom w:val="nil"/>
              <w:right w:val="nil"/>
            </w:tcBorders>
            <w:shd w:val="clear" w:color="auto" w:fill="auto"/>
            <w:noWrap/>
            <w:hideMark/>
          </w:tcPr>
          <w:p w14:paraId="090BBE39"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Medical staff (Site B)</w:t>
            </w:r>
          </w:p>
        </w:tc>
        <w:tc>
          <w:tcPr>
            <w:tcW w:w="1060" w:type="dxa"/>
            <w:tcBorders>
              <w:top w:val="nil"/>
              <w:left w:val="nil"/>
              <w:bottom w:val="nil"/>
              <w:right w:val="nil"/>
            </w:tcBorders>
            <w:shd w:val="clear" w:color="auto" w:fill="auto"/>
            <w:noWrap/>
            <w:hideMark/>
          </w:tcPr>
          <w:p w14:paraId="228D4562"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28.29 </w:t>
            </w:r>
          </w:p>
        </w:tc>
        <w:tc>
          <w:tcPr>
            <w:tcW w:w="1215" w:type="dxa"/>
            <w:tcBorders>
              <w:top w:val="nil"/>
              <w:left w:val="nil"/>
              <w:bottom w:val="nil"/>
              <w:right w:val="nil"/>
            </w:tcBorders>
            <w:shd w:val="clear" w:color="auto" w:fill="auto"/>
            <w:noWrap/>
            <w:hideMark/>
          </w:tcPr>
          <w:p w14:paraId="20AB8EAE"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6.00 </w:t>
            </w:r>
          </w:p>
        </w:tc>
        <w:tc>
          <w:tcPr>
            <w:tcW w:w="1134" w:type="dxa"/>
            <w:tcBorders>
              <w:top w:val="nil"/>
              <w:left w:val="nil"/>
              <w:bottom w:val="nil"/>
              <w:right w:val="nil"/>
            </w:tcBorders>
            <w:shd w:val="clear" w:color="auto" w:fill="auto"/>
            <w:noWrap/>
            <w:hideMark/>
          </w:tcPr>
          <w:p w14:paraId="708D6706"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169.74 </w:t>
            </w:r>
          </w:p>
        </w:tc>
        <w:tc>
          <w:tcPr>
            <w:tcW w:w="1276" w:type="dxa"/>
            <w:tcBorders>
              <w:top w:val="nil"/>
              <w:left w:val="nil"/>
              <w:bottom w:val="nil"/>
              <w:right w:val="nil"/>
            </w:tcBorders>
            <w:shd w:val="clear" w:color="auto" w:fill="auto"/>
            <w:noWrap/>
            <w:hideMark/>
          </w:tcPr>
          <w:p w14:paraId="7BB64BC2"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6.00 </w:t>
            </w:r>
          </w:p>
        </w:tc>
        <w:tc>
          <w:tcPr>
            <w:tcW w:w="1276" w:type="dxa"/>
            <w:tcBorders>
              <w:top w:val="nil"/>
              <w:left w:val="nil"/>
              <w:bottom w:val="nil"/>
              <w:right w:val="nil"/>
            </w:tcBorders>
            <w:shd w:val="clear" w:color="auto" w:fill="auto"/>
            <w:noWrap/>
            <w:hideMark/>
          </w:tcPr>
          <w:p w14:paraId="1B8557FA"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169.74 </w:t>
            </w:r>
          </w:p>
        </w:tc>
      </w:tr>
      <w:tr w:rsidR="00E1102A" w:rsidRPr="00197710" w14:paraId="7AD706DE" w14:textId="77777777" w:rsidTr="00597683">
        <w:trPr>
          <w:trHeight w:val="300"/>
        </w:trPr>
        <w:tc>
          <w:tcPr>
            <w:tcW w:w="2500" w:type="dxa"/>
            <w:tcBorders>
              <w:top w:val="nil"/>
              <w:left w:val="nil"/>
              <w:bottom w:val="nil"/>
              <w:right w:val="nil"/>
            </w:tcBorders>
            <w:shd w:val="clear" w:color="auto" w:fill="auto"/>
            <w:noWrap/>
            <w:hideMark/>
          </w:tcPr>
          <w:p w14:paraId="64BEC32D"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Nurses (Site B)</w:t>
            </w:r>
          </w:p>
        </w:tc>
        <w:tc>
          <w:tcPr>
            <w:tcW w:w="1060" w:type="dxa"/>
            <w:tcBorders>
              <w:top w:val="nil"/>
              <w:left w:val="nil"/>
              <w:bottom w:val="nil"/>
              <w:right w:val="nil"/>
            </w:tcBorders>
            <w:shd w:val="clear" w:color="auto" w:fill="auto"/>
            <w:noWrap/>
            <w:hideMark/>
          </w:tcPr>
          <w:p w14:paraId="05527EED"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28.29 </w:t>
            </w:r>
          </w:p>
        </w:tc>
        <w:tc>
          <w:tcPr>
            <w:tcW w:w="1215" w:type="dxa"/>
            <w:tcBorders>
              <w:top w:val="nil"/>
              <w:left w:val="nil"/>
              <w:bottom w:val="nil"/>
              <w:right w:val="nil"/>
            </w:tcBorders>
            <w:shd w:val="clear" w:color="auto" w:fill="auto"/>
            <w:noWrap/>
            <w:hideMark/>
          </w:tcPr>
          <w:p w14:paraId="48DBFAF3"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12.00 </w:t>
            </w:r>
          </w:p>
        </w:tc>
        <w:tc>
          <w:tcPr>
            <w:tcW w:w="1134" w:type="dxa"/>
            <w:tcBorders>
              <w:top w:val="nil"/>
              <w:left w:val="nil"/>
              <w:bottom w:val="nil"/>
              <w:right w:val="nil"/>
            </w:tcBorders>
            <w:shd w:val="clear" w:color="auto" w:fill="auto"/>
            <w:noWrap/>
            <w:hideMark/>
          </w:tcPr>
          <w:p w14:paraId="3A37269A"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339.47 </w:t>
            </w:r>
          </w:p>
        </w:tc>
        <w:tc>
          <w:tcPr>
            <w:tcW w:w="1276" w:type="dxa"/>
            <w:tcBorders>
              <w:top w:val="nil"/>
              <w:left w:val="nil"/>
              <w:bottom w:val="nil"/>
              <w:right w:val="nil"/>
            </w:tcBorders>
            <w:shd w:val="clear" w:color="auto" w:fill="auto"/>
            <w:noWrap/>
            <w:hideMark/>
          </w:tcPr>
          <w:p w14:paraId="70D0B21E"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12.00 </w:t>
            </w:r>
          </w:p>
        </w:tc>
        <w:tc>
          <w:tcPr>
            <w:tcW w:w="1276" w:type="dxa"/>
            <w:tcBorders>
              <w:top w:val="nil"/>
              <w:left w:val="nil"/>
              <w:bottom w:val="nil"/>
              <w:right w:val="nil"/>
            </w:tcBorders>
            <w:shd w:val="clear" w:color="auto" w:fill="auto"/>
            <w:noWrap/>
            <w:hideMark/>
          </w:tcPr>
          <w:p w14:paraId="114E1061"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339.47 </w:t>
            </w:r>
          </w:p>
        </w:tc>
      </w:tr>
      <w:tr w:rsidR="00E1102A" w:rsidRPr="00197710" w14:paraId="54AAFDD9" w14:textId="77777777" w:rsidTr="00597683">
        <w:trPr>
          <w:trHeight w:val="300"/>
        </w:trPr>
        <w:tc>
          <w:tcPr>
            <w:tcW w:w="2500" w:type="dxa"/>
            <w:tcBorders>
              <w:top w:val="nil"/>
              <w:left w:val="nil"/>
              <w:bottom w:val="nil"/>
              <w:right w:val="nil"/>
            </w:tcBorders>
            <w:shd w:val="clear" w:color="auto" w:fill="auto"/>
            <w:noWrap/>
            <w:hideMark/>
          </w:tcPr>
          <w:p w14:paraId="262F643E" w14:textId="77777777" w:rsidR="00E1102A" w:rsidRPr="00197710" w:rsidRDefault="00E1102A" w:rsidP="00197710">
            <w:pPr>
              <w:rPr>
                <w:rFonts w:eastAsia="DengXian"/>
                <w:color w:val="000000"/>
                <w:sz w:val="22"/>
                <w:szCs w:val="22"/>
                <w:u w:val="single"/>
              </w:rPr>
            </w:pPr>
            <w:r w:rsidRPr="0CFEFBF2">
              <w:rPr>
                <w:rFonts w:eastAsia="DengXian"/>
                <w:color w:val="000000" w:themeColor="text1"/>
                <w:sz w:val="22"/>
                <w:szCs w:val="22"/>
                <w:u w:val="single"/>
              </w:rPr>
              <w:t xml:space="preserve">Sample collection tube </w:t>
            </w:r>
          </w:p>
        </w:tc>
        <w:tc>
          <w:tcPr>
            <w:tcW w:w="1060" w:type="dxa"/>
            <w:tcBorders>
              <w:top w:val="nil"/>
              <w:left w:val="nil"/>
              <w:bottom w:val="nil"/>
              <w:right w:val="nil"/>
            </w:tcBorders>
            <w:shd w:val="clear" w:color="auto" w:fill="auto"/>
            <w:noWrap/>
            <w:hideMark/>
          </w:tcPr>
          <w:p w14:paraId="03256017"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1.40 </w:t>
            </w:r>
          </w:p>
        </w:tc>
        <w:tc>
          <w:tcPr>
            <w:tcW w:w="1215" w:type="dxa"/>
            <w:tcBorders>
              <w:top w:val="nil"/>
              <w:left w:val="nil"/>
              <w:bottom w:val="nil"/>
              <w:right w:val="nil"/>
            </w:tcBorders>
            <w:shd w:val="clear" w:color="auto" w:fill="auto"/>
            <w:noWrap/>
            <w:hideMark/>
          </w:tcPr>
          <w:p w14:paraId="4BE4035C"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55.00 </w:t>
            </w:r>
          </w:p>
        </w:tc>
        <w:tc>
          <w:tcPr>
            <w:tcW w:w="1134" w:type="dxa"/>
            <w:tcBorders>
              <w:top w:val="nil"/>
              <w:left w:val="nil"/>
              <w:bottom w:val="nil"/>
              <w:right w:val="nil"/>
            </w:tcBorders>
            <w:shd w:val="clear" w:color="auto" w:fill="auto"/>
            <w:noWrap/>
            <w:hideMark/>
          </w:tcPr>
          <w:p w14:paraId="0561B253"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77.02 </w:t>
            </w:r>
          </w:p>
        </w:tc>
        <w:tc>
          <w:tcPr>
            <w:tcW w:w="1276" w:type="dxa"/>
            <w:tcBorders>
              <w:top w:val="nil"/>
              <w:left w:val="nil"/>
              <w:bottom w:val="nil"/>
              <w:right w:val="nil"/>
            </w:tcBorders>
            <w:shd w:val="clear" w:color="auto" w:fill="auto"/>
            <w:noWrap/>
            <w:hideMark/>
          </w:tcPr>
          <w:p w14:paraId="1002D2BA"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116.00 </w:t>
            </w:r>
          </w:p>
        </w:tc>
        <w:tc>
          <w:tcPr>
            <w:tcW w:w="1276" w:type="dxa"/>
            <w:tcBorders>
              <w:top w:val="nil"/>
              <w:left w:val="nil"/>
              <w:bottom w:val="nil"/>
              <w:right w:val="nil"/>
            </w:tcBorders>
            <w:shd w:val="clear" w:color="auto" w:fill="auto"/>
            <w:noWrap/>
            <w:hideMark/>
          </w:tcPr>
          <w:p w14:paraId="575AE25D"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162.45 </w:t>
            </w:r>
          </w:p>
        </w:tc>
      </w:tr>
      <w:tr w:rsidR="00E1102A" w:rsidRPr="00197710" w14:paraId="17A1A49F" w14:textId="77777777" w:rsidTr="00597683">
        <w:trPr>
          <w:trHeight w:val="300"/>
        </w:trPr>
        <w:tc>
          <w:tcPr>
            <w:tcW w:w="2500" w:type="dxa"/>
            <w:tcBorders>
              <w:top w:val="nil"/>
              <w:left w:val="nil"/>
              <w:bottom w:val="nil"/>
              <w:right w:val="nil"/>
            </w:tcBorders>
            <w:shd w:val="clear" w:color="auto" w:fill="auto"/>
            <w:noWrap/>
            <w:hideMark/>
          </w:tcPr>
          <w:p w14:paraId="3ED95588" w14:textId="77777777" w:rsidR="00E1102A" w:rsidRPr="00197710" w:rsidRDefault="00E1102A" w:rsidP="00197710">
            <w:pPr>
              <w:rPr>
                <w:rFonts w:eastAsia="DengXian"/>
                <w:color w:val="000000"/>
                <w:sz w:val="22"/>
                <w:szCs w:val="22"/>
                <w:u w:val="single"/>
              </w:rPr>
            </w:pPr>
            <w:r w:rsidRPr="0CFEFBF2">
              <w:rPr>
                <w:rFonts w:eastAsia="DengXian"/>
                <w:color w:val="000000" w:themeColor="text1"/>
                <w:sz w:val="22"/>
                <w:szCs w:val="22"/>
                <w:u w:val="single"/>
              </w:rPr>
              <w:t xml:space="preserve">MP testing service </w:t>
            </w:r>
          </w:p>
        </w:tc>
        <w:tc>
          <w:tcPr>
            <w:tcW w:w="1060" w:type="dxa"/>
            <w:tcBorders>
              <w:top w:val="nil"/>
              <w:left w:val="nil"/>
              <w:bottom w:val="nil"/>
              <w:right w:val="nil"/>
            </w:tcBorders>
            <w:shd w:val="clear" w:color="auto" w:fill="auto"/>
            <w:noWrap/>
            <w:hideMark/>
          </w:tcPr>
          <w:p w14:paraId="32B32B3B"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11.20 </w:t>
            </w:r>
          </w:p>
        </w:tc>
        <w:tc>
          <w:tcPr>
            <w:tcW w:w="1215" w:type="dxa"/>
            <w:tcBorders>
              <w:top w:val="nil"/>
              <w:left w:val="nil"/>
              <w:bottom w:val="nil"/>
              <w:right w:val="nil"/>
            </w:tcBorders>
            <w:shd w:val="clear" w:color="auto" w:fill="auto"/>
            <w:noWrap/>
            <w:hideMark/>
          </w:tcPr>
          <w:p w14:paraId="1E8E54B2"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55.00 </w:t>
            </w:r>
          </w:p>
        </w:tc>
        <w:tc>
          <w:tcPr>
            <w:tcW w:w="1134" w:type="dxa"/>
            <w:tcBorders>
              <w:top w:val="nil"/>
              <w:left w:val="nil"/>
              <w:bottom w:val="nil"/>
              <w:right w:val="nil"/>
            </w:tcBorders>
            <w:shd w:val="clear" w:color="auto" w:fill="auto"/>
            <w:noWrap/>
            <w:hideMark/>
          </w:tcPr>
          <w:p w14:paraId="5553F778"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616.20 </w:t>
            </w:r>
          </w:p>
        </w:tc>
        <w:tc>
          <w:tcPr>
            <w:tcW w:w="1276" w:type="dxa"/>
            <w:tcBorders>
              <w:top w:val="nil"/>
              <w:left w:val="nil"/>
              <w:bottom w:val="nil"/>
              <w:right w:val="nil"/>
            </w:tcBorders>
            <w:shd w:val="clear" w:color="auto" w:fill="auto"/>
            <w:noWrap/>
            <w:hideMark/>
          </w:tcPr>
          <w:p w14:paraId="1149A963"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116.00 </w:t>
            </w:r>
          </w:p>
        </w:tc>
        <w:tc>
          <w:tcPr>
            <w:tcW w:w="1276" w:type="dxa"/>
            <w:tcBorders>
              <w:top w:val="nil"/>
              <w:left w:val="nil"/>
              <w:bottom w:val="nil"/>
              <w:right w:val="nil"/>
            </w:tcBorders>
            <w:shd w:val="clear" w:color="auto" w:fill="auto"/>
            <w:noWrap/>
            <w:hideMark/>
          </w:tcPr>
          <w:p w14:paraId="51F3F8EE"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1299.62 </w:t>
            </w:r>
          </w:p>
        </w:tc>
      </w:tr>
      <w:tr w:rsidR="00E1102A" w:rsidRPr="00197710" w14:paraId="0D4690F9" w14:textId="77777777" w:rsidTr="00597683">
        <w:trPr>
          <w:trHeight w:val="300"/>
        </w:trPr>
        <w:tc>
          <w:tcPr>
            <w:tcW w:w="2500" w:type="dxa"/>
            <w:tcBorders>
              <w:top w:val="nil"/>
              <w:left w:val="nil"/>
              <w:bottom w:val="nil"/>
              <w:right w:val="nil"/>
            </w:tcBorders>
            <w:shd w:val="clear" w:color="auto" w:fill="auto"/>
            <w:noWrap/>
            <w:hideMark/>
          </w:tcPr>
          <w:p w14:paraId="2F35194A" w14:textId="77777777" w:rsidR="00E1102A" w:rsidRPr="00197710" w:rsidRDefault="00E1102A" w:rsidP="00197710">
            <w:pPr>
              <w:rPr>
                <w:rFonts w:eastAsia="DengXian"/>
                <w:color w:val="000000"/>
                <w:sz w:val="22"/>
                <w:szCs w:val="22"/>
              </w:rPr>
            </w:pPr>
          </w:p>
        </w:tc>
        <w:tc>
          <w:tcPr>
            <w:tcW w:w="1060" w:type="dxa"/>
            <w:tcBorders>
              <w:top w:val="nil"/>
              <w:left w:val="nil"/>
              <w:bottom w:val="nil"/>
              <w:right w:val="nil"/>
            </w:tcBorders>
            <w:shd w:val="clear" w:color="auto" w:fill="auto"/>
            <w:noWrap/>
            <w:hideMark/>
          </w:tcPr>
          <w:p w14:paraId="23180832" w14:textId="77777777" w:rsidR="00E1102A" w:rsidRPr="00197710" w:rsidRDefault="00E1102A" w:rsidP="00197710">
            <w:pPr>
              <w:rPr>
                <w:sz w:val="22"/>
                <w:szCs w:val="22"/>
              </w:rPr>
            </w:pPr>
          </w:p>
        </w:tc>
        <w:tc>
          <w:tcPr>
            <w:tcW w:w="1215" w:type="dxa"/>
            <w:tcBorders>
              <w:top w:val="nil"/>
              <w:left w:val="nil"/>
              <w:bottom w:val="nil"/>
              <w:right w:val="nil"/>
            </w:tcBorders>
            <w:shd w:val="clear" w:color="auto" w:fill="auto"/>
            <w:noWrap/>
            <w:hideMark/>
          </w:tcPr>
          <w:p w14:paraId="6BFF379C" w14:textId="77777777" w:rsidR="00E1102A" w:rsidRPr="00197710" w:rsidRDefault="00E1102A" w:rsidP="00197710">
            <w:pPr>
              <w:rPr>
                <w:sz w:val="22"/>
                <w:szCs w:val="22"/>
              </w:rPr>
            </w:pPr>
          </w:p>
        </w:tc>
        <w:tc>
          <w:tcPr>
            <w:tcW w:w="1134" w:type="dxa"/>
            <w:tcBorders>
              <w:top w:val="nil"/>
              <w:left w:val="nil"/>
              <w:bottom w:val="nil"/>
              <w:right w:val="nil"/>
            </w:tcBorders>
            <w:shd w:val="clear" w:color="auto" w:fill="auto"/>
            <w:noWrap/>
            <w:hideMark/>
          </w:tcPr>
          <w:p w14:paraId="39054685"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1754.70 </w:t>
            </w:r>
          </w:p>
        </w:tc>
        <w:tc>
          <w:tcPr>
            <w:tcW w:w="1276" w:type="dxa"/>
            <w:tcBorders>
              <w:top w:val="nil"/>
              <w:left w:val="nil"/>
              <w:bottom w:val="nil"/>
              <w:right w:val="nil"/>
            </w:tcBorders>
            <w:shd w:val="clear" w:color="auto" w:fill="auto"/>
            <w:noWrap/>
            <w:hideMark/>
          </w:tcPr>
          <w:p w14:paraId="1A6F370F" w14:textId="77777777" w:rsidR="00E1102A" w:rsidRPr="00197710" w:rsidRDefault="00E1102A" w:rsidP="00197710">
            <w:pPr>
              <w:rPr>
                <w:rFonts w:eastAsia="DengXian"/>
                <w:color w:val="000000"/>
                <w:sz w:val="22"/>
                <w:szCs w:val="22"/>
              </w:rPr>
            </w:pPr>
          </w:p>
        </w:tc>
        <w:tc>
          <w:tcPr>
            <w:tcW w:w="1276" w:type="dxa"/>
            <w:tcBorders>
              <w:top w:val="nil"/>
              <w:left w:val="nil"/>
              <w:bottom w:val="nil"/>
              <w:right w:val="nil"/>
            </w:tcBorders>
            <w:shd w:val="clear" w:color="auto" w:fill="auto"/>
            <w:noWrap/>
            <w:hideMark/>
          </w:tcPr>
          <w:p w14:paraId="379FECA7"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2523.55 </w:t>
            </w:r>
          </w:p>
        </w:tc>
      </w:tr>
      <w:tr w:rsidR="00E1102A" w:rsidRPr="00197710" w14:paraId="26991BEA" w14:textId="77777777" w:rsidTr="00597683">
        <w:trPr>
          <w:trHeight w:val="300"/>
        </w:trPr>
        <w:tc>
          <w:tcPr>
            <w:tcW w:w="2500" w:type="dxa"/>
            <w:tcBorders>
              <w:top w:val="nil"/>
              <w:left w:val="nil"/>
              <w:bottom w:val="nil"/>
              <w:right w:val="nil"/>
            </w:tcBorders>
            <w:shd w:val="clear" w:color="auto" w:fill="auto"/>
            <w:noWrap/>
            <w:hideMark/>
          </w:tcPr>
          <w:p w14:paraId="67344CD0" w14:textId="77777777" w:rsidR="00E1102A" w:rsidRPr="00197710" w:rsidRDefault="00E1102A" w:rsidP="00197710">
            <w:pPr>
              <w:rPr>
                <w:rFonts w:eastAsia="DengXian"/>
                <w:i/>
                <w:color w:val="000000"/>
                <w:sz w:val="22"/>
                <w:szCs w:val="22"/>
                <w:u w:val="single"/>
              </w:rPr>
            </w:pPr>
            <w:r w:rsidRPr="0CFEFBF2">
              <w:rPr>
                <w:rFonts w:eastAsia="DengXian"/>
                <w:i/>
                <w:color w:val="000000" w:themeColor="text1"/>
                <w:sz w:val="22"/>
                <w:szCs w:val="22"/>
                <w:u w:val="single"/>
              </w:rPr>
              <w:t xml:space="preserve">Contribution </w:t>
            </w:r>
          </w:p>
        </w:tc>
        <w:tc>
          <w:tcPr>
            <w:tcW w:w="1060" w:type="dxa"/>
            <w:tcBorders>
              <w:top w:val="nil"/>
              <w:left w:val="nil"/>
              <w:bottom w:val="nil"/>
              <w:right w:val="nil"/>
            </w:tcBorders>
            <w:shd w:val="clear" w:color="auto" w:fill="auto"/>
            <w:noWrap/>
            <w:hideMark/>
          </w:tcPr>
          <w:p w14:paraId="5C73B5C8" w14:textId="77777777" w:rsidR="00E1102A" w:rsidRPr="00197710" w:rsidRDefault="00E1102A" w:rsidP="00197710">
            <w:pPr>
              <w:rPr>
                <w:rFonts w:eastAsia="DengXian"/>
                <w:i/>
                <w:color w:val="000000"/>
                <w:sz w:val="22"/>
                <w:szCs w:val="22"/>
                <w:u w:val="single"/>
              </w:rPr>
            </w:pPr>
          </w:p>
        </w:tc>
        <w:tc>
          <w:tcPr>
            <w:tcW w:w="1215" w:type="dxa"/>
            <w:tcBorders>
              <w:top w:val="nil"/>
              <w:left w:val="nil"/>
              <w:bottom w:val="nil"/>
              <w:right w:val="nil"/>
            </w:tcBorders>
            <w:shd w:val="clear" w:color="auto" w:fill="auto"/>
            <w:noWrap/>
            <w:hideMark/>
          </w:tcPr>
          <w:p w14:paraId="5E119AE9" w14:textId="77777777" w:rsidR="00E1102A" w:rsidRPr="00197710" w:rsidRDefault="00E1102A" w:rsidP="00197710">
            <w:pPr>
              <w:rPr>
                <w:sz w:val="22"/>
                <w:szCs w:val="22"/>
              </w:rPr>
            </w:pPr>
          </w:p>
        </w:tc>
        <w:tc>
          <w:tcPr>
            <w:tcW w:w="1134" w:type="dxa"/>
            <w:tcBorders>
              <w:top w:val="nil"/>
              <w:left w:val="nil"/>
              <w:bottom w:val="nil"/>
              <w:right w:val="nil"/>
            </w:tcBorders>
            <w:shd w:val="clear" w:color="auto" w:fill="auto"/>
            <w:noWrap/>
            <w:hideMark/>
          </w:tcPr>
          <w:p w14:paraId="6470D401"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578211C3"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33F05928" w14:textId="77777777" w:rsidR="00E1102A" w:rsidRPr="00197710" w:rsidRDefault="00E1102A" w:rsidP="00197710">
            <w:pPr>
              <w:rPr>
                <w:sz w:val="22"/>
                <w:szCs w:val="22"/>
              </w:rPr>
            </w:pPr>
          </w:p>
        </w:tc>
      </w:tr>
      <w:tr w:rsidR="00E1102A" w:rsidRPr="00197710" w14:paraId="5EBFB3FC" w14:textId="77777777" w:rsidTr="00597683">
        <w:trPr>
          <w:trHeight w:val="300"/>
        </w:trPr>
        <w:tc>
          <w:tcPr>
            <w:tcW w:w="2500" w:type="dxa"/>
            <w:tcBorders>
              <w:top w:val="nil"/>
              <w:left w:val="nil"/>
              <w:bottom w:val="nil"/>
              <w:right w:val="nil"/>
            </w:tcBorders>
            <w:shd w:val="clear" w:color="auto" w:fill="auto"/>
            <w:noWrap/>
            <w:hideMark/>
          </w:tcPr>
          <w:p w14:paraId="5AD0A551"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Payment</w:t>
            </w:r>
          </w:p>
        </w:tc>
        <w:tc>
          <w:tcPr>
            <w:tcW w:w="1060" w:type="dxa"/>
            <w:tcBorders>
              <w:top w:val="nil"/>
              <w:left w:val="nil"/>
              <w:bottom w:val="nil"/>
              <w:right w:val="nil"/>
            </w:tcBorders>
            <w:shd w:val="clear" w:color="auto" w:fill="auto"/>
            <w:noWrap/>
            <w:hideMark/>
          </w:tcPr>
          <w:p w14:paraId="1162EEF1"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14.00 </w:t>
            </w:r>
          </w:p>
        </w:tc>
        <w:tc>
          <w:tcPr>
            <w:tcW w:w="1215" w:type="dxa"/>
            <w:tcBorders>
              <w:top w:val="nil"/>
              <w:left w:val="nil"/>
              <w:bottom w:val="nil"/>
              <w:right w:val="nil"/>
            </w:tcBorders>
            <w:shd w:val="clear" w:color="auto" w:fill="auto"/>
            <w:noWrap/>
            <w:hideMark/>
          </w:tcPr>
          <w:p w14:paraId="1B755737"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55.00 </w:t>
            </w:r>
          </w:p>
        </w:tc>
        <w:tc>
          <w:tcPr>
            <w:tcW w:w="1134" w:type="dxa"/>
            <w:tcBorders>
              <w:top w:val="nil"/>
              <w:left w:val="nil"/>
              <w:bottom w:val="nil"/>
              <w:right w:val="nil"/>
            </w:tcBorders>
            <w:shd w:val="clear" w:color="auto" w:fill="auto"/>
            <w:noWrap/>
            <w:hideMark/>
          </w:tcPr>
          <w:p w14:paraId="7F9F8D47"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770.25 </w:t>
            </w:r>
          </w:p>
        </w:tc>
        <w:tc>
          <w:tcPr>
            <w:tcW w:w="1276" w:type="dxa"/>
            <w:tcBorders>
              <w:top w:val="nil"/>
              <w:left w:val="nil"/>
              <w:bottom w:val="nil"/>
              <w:right w:val="nil"/>
            </w:tcBorders>
            <w:shd w:val="clear" w:color="auto" w:fill="auto"/>
            <w:noWrap/>
            <w:hideMark/>
          </w:tcPr>
          <w:p w14:paraId="26FBD4C1" w14:textId="77777777" w:rsidR="00E1102A" w:rsidRPr="00197710" w:rsidRDefault="00E1102A" w:rsidP="00197710">
            <w:pPr>
              <w:rPr>
                <w:rFonts w:eastAsia="DengXian"/>
                <w:color w:val="000000"/>
                <w:sz w:val="22"/>
                <w:szCs w:val="22"/>
              </w:rPr>
            </w:pPr>
          </w:p>
        </w:tc>
        <w:tc>
          <w:tcPr>
            <w:tcW w:w="1276" w:type="dxa"/>
            <w:tcBorders>
              <w:top w:val="nil"/>
              <w:left w:val="nil"/>
              <w:bottom w:val="nil"/>
              <w:right w:val="nil"/>
            </w:tcBorders>
            <w:shd w:val="clear" w:color="auto" w:fill="auto"/>
            <w:noWrap/>
            <w:hideMark/>
          </w:tcPr>
          <w:p w14:paraId="261DC29C" w14:textId="77777777" w:rsidR="00E1102A" w:rsidRPr="00197710" w:rsidRDefault="00E1102A" w:rsidP="00197710">
            <w:pPr>
              <w:rPr>
                <w:sz w:val="22"/>
                <w:szCs w:val="22"/>
              </w:rPr>
            </w:pPr>
          </w:p>
        </w:tc>
      </w:tr>
      <w:tr w:rsidR="00E1102A" w:rsidRPr="00197710" w14:paraId="07FEADA2" w14:textId="77777777" w:rsidTr="00597683">
        <w:trPr>
          <w:trHeight w:val="300"/>
        </w:trPr>
        <w:tc>
          <w:tcPr>
            <w:tcW w:w="2500" w:type="dxa"/>
            <w:tcBorders>
              <w:top w:val="nil"/>
              <w:left w:val="nil"/>
              <w:bottom w:val="nil"/>
              <w:right w:val="nil"/>
            </w:tcBorders>
            <w:shd w:val="clear" w:color="auto" w:fill="auto"/>
            <w:noWrap/>
            <w:hideMark/>
          </w:tcPr>
          <w:p w14:paraId="7B68B82A"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Donation</w:t>
            </w:r>
          </w:p>
        </w:tc>
        <w:tc>
          <w:tcPr>
            <w:tcW w:w="1060" w:type="dxa"/>
            <w:tcBorders>
              <w:top w:val="nil"/>
              <w:left w:val="nil"/>
              <w:bottom w:val="nil"/>
              <w:right w:val="nil"/>
            </w:tcBorders>
            <w:shd w:val="clear" w:color="auto" w:fill="auto"/>
            <w:noWrap/>
            <w:hideMark/>
          </w:tcPr>
          <w:p w14:paraId="7B6E197E" w14:textId="77777777" w:rsidR="00E1102A" w:rsidRPr="00197710" w:rsidRDefault="00E1102A" w:rsidP="00197710">
            <w:pPr>
              <w:rPr>
                <w:rFonts w:eastAsia="DengXian"/>
                <w:color w:val="000000"/>
                <w:sz w:val="22"/>
                <w:szCs w:val="22"/>
              </w:rPr>
            </w:pPr>
          </w:p>
        </w:tc>
        <w:tc>
          <w:tcPr>
            <w:tcW w:w="1215" w:type="dxa"/>
            <w:tcBorders>
              <w:top w:val="nil"/>
              <w:left w:val="nil"/>
              <w:bottom w:val="nil"/>
              <w:right w:val="nil"/>
            </w:tcBorders>
            <w:shd w:val="clear" w:color="auto" w:fill="auto"/>
            <w:noWrap/>
            <w:hideMark/>
          </w:tcPr>
          <w:p w14:paraId="49D4E8E4" w14:textId="77777777" w:rsidR="00E1102A" w:rsidRPr="00197710" w:rsidRDefault="00E1102A" w:rsidP="00197710">
            <w:pPr>
              <w:rPr>
                <w:sz w:val="22"/>
                <w:szCs w:val="22"/>
              </w:rPr>
            </w:pPr>
          </w:p>
        </w:tc>
        <w:tc>
          <w:tcPr>
            <w:tcW w:w="1134" w:type="dxa"/>
            <w:tcBorders>
              <w:top w:val="nil"/>
              <w:left w:val="nil"/>
              <w:bottom w:val="nil"/>
              <w:right w:val="nil"/>
            </w:tcBorders>
            <w:shd w:val="clear" w:color="auto" w:fill="auto"/>
            <w:noWrap/>
            <w:hideMark/>
          </w:tcPr>
          <w:p w14:paraId="07F73EE2"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33342597"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7292E240"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39.35 </w:t>
            </w:r>
          </w:p>
        </w:tc>
      </w:tr>
      <w:tr w:rsidR="00E1102A" w:rsidRPr="00197710" w14:paraId="77EA8D36" w14:textId="77777777" w:rsidTr="00597683">
        <w:trPr>
          <w:trHeight w:val="300"/>
        </w:trPr>
        <w:tc>
          <w:tcPr>
            <w:tcW w:w="2500" w:type="dxa"/>
            <w:tcBorders>
              <w:top w:val="nil"/>
              <w:left w:val="nil"/>
              <w:bottom w:val="nil"/>
              <w:right w:val="nil"/>
            </w:tcBorders>
            <w:shd w:val="clear" w:color="auto" w:fill="auto"/>
            <w:noWrap/>
            <w:hideMark/>
          </w:tcPr>
          <w:p w14:paraId="5057E768" w14:textId="77777777" w:rsidR="00E1102A" w:rsidRPr="00197710" w:rsidRDefault="00E1102A" w:rsidP="00197710">
            <w:pPr>
              <w:rPr>
                <w:rFonts w:eastAsia="DengXian"/>
                <w:color w:val="000000"/>
                <w:sz w:val="22"/>
                <w:szCs w:val="22"/>
              </w:rPr>
            </w:pPr>
          </w:p>
        </w:tc>
        <w:tc>
          <w:tcPr>
            <w:tcW w:w="1060" w:type="dxa"/>
            <w:tcBorders>
              <w:top w:val="nil"/>
              <w:left w:val="nil"/>
              <w:bottom w:val="nil"/>
              <w:right w:val="nil"/>
            </w:tcBorders>
            <w:shd w:val="clear" w:color="auto" w:fill="auto"/>
            <w:noWrap/>
            <w:hideMark/>
          </w:tcPr>
          <w:p w14:paraId="57556C87" w14:textId="77777777" w:rsidR="00E1102A" w:rsidRPr="00197710" w:rsidRDefault="00E1102A" w:rsidP="00197710">
            <w:pPr>
              <w:rPr>
                <w:sz w:val="22"/>
                <w:szCs w:val="22"/>
              </w:rPr>
            </w:pPr>
          </w:p>
        </w:tc>
        <w:tc>
          <w:tcPr>
            <w:tcW w:w="1215" w:type="dxa"/>
            <w:tcBorders>
              <w:top w:val="nil"/>
              <w:left w:val="nil"/>
              <w:bottom w:val="nil"/>
              <w:right w:val="nil"/>
            </w:tcBorders>
            <w:shd w:val="clear" w:color="auto" w:fill="auto"/>
            <w:noWrap/>
            <w:hideMark/>
          </w:tcPr>
          <w:p w14:paraId="03315887" w14:textId="77777777" w:rsidR="00E1102A" w:rsidRPr="00197710" w:rsidRDefault="00E1102A" w:rsidP="00197710">
            <w:pPr>
              <w:rPr>
                <w:sz w:val="22"/>
                <w:szCs w:val="22"/>
              </w:rPr>
            </w:pPr>
          </w:p>
        </w:tc>
        <w:tc>
          <w:tcPr>
            <w:tcW w:w="1134" w:type="dxa"/>
            <w:tcBorders>
              <w:top w:val="nil"/>
              <w:left w:val="nil"/>
              <w:bottom w:val="nil"/>
              <w:right w:val="nil"/>
            </w:tcBorders>
            <w:shd w:val="clear" w:color="auto" w:fill="auto"/>
            <w:noWrap/>
            <w:hideMark/>
          </w:tcPr>
          <w:p w14:paraId="171DF296"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72F0192B"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00026BB4" w14:textId="77777777" w:rsidR="00E1102A" w:rsidRPr="00197710" w:rsidRDefault="00E1102A" w:rsidP="00197710">
            <w:pPr>
              <w:rPr>
                <w:sz w:val="22"/>
                <w:szCs w:val="22"/>
              </w:rPr>
            </w:pPr>
          </w:p>
        </w:tc>
      </w:tr>
      <w:tr w:rsidR="00E1102A" w:rsidRPr="00197710" w14:paraId="765EC559" w14:textId="77777777" w:rsidTr="00597683">
        <w:trPr>
          <w:trHeight w:val="300"/>
        </w:trPr>
        <w:tc>
          <w:tcPr>
            <w:tcW w:w="2500" w:type="dxa"/>
            <w:tcBorders>
              <w:top w:val="nil"/>
              <w:left w:val="nil"/>
              <w:bottom w:val="nil"/>
              <w:right w:val="nil"/>
            </w:tcBorders>
            <w:shd w:val="clear" w:color="auto" w:fill="auto"/>
            <w:noWrap/>
            <w:hideMark/>
          </w:tcPr>
          <w:p w14:paraId="7C3852FE" w14:textId="77777777" w:rsidR="00E1102A" w:rsidRPr="00197710" w:rsidRDefault="00E1102A" w:rsidP="00197710">
            <w:pPr>
              <w:rPr>
                <w:rFonts w:eastAsia="DengXian"/>
                <w:i/>
                <w:color w:val="000000"/>
                <w:sz w:val="22"/>
                <w:szCs w:val="22"/>
                <w:u w:val="single"/>
              </w:rPr>
            </w:pPr>
            <w:r w:rsidRPr="0CFEFBF2">
              <w:rPr>
                <w:rFonts w:eastAsia="DengXian"/>
                <w:i/>
                <w:color w:val="000000" w:themeColor="text1"/>
                <w:sz w:val="22"/>
                <w:szCs w:val="22"/>
                <w:u w:val="single"/>
              </w:rPr>
              <w:t>Effectiveness</w:t>
            </w:r>
          </w:p>
        </w:tc>
        <w:tc>
          <w:tcPr>
            <w:tcW w:w="1060" w:type="dxa"/>
            <w:tcBorders>
              <w:top w:val="nil"/>
              <w:left w:val="nil"/>
              <w:bottom w:val="nil"/>
              <w:right w:val="nil"/>
            </w:tcBorders>
            <w:shd w:val="clear" w:color="auto" w:fill="auto"/>
            <w:noWrap/>
            <w:hideMark/>
          </w:tcPr>
          <w:p w14:paraId="17D4C426" w14:textId="77777777" w:rsidR="00E1102A" w:rsidRPr="00197710" w:rsidRDefault="00E1102A" w:rsidP="00197710">
            <w:pPr>
              <w:rPr>
                <w:rFonts w:eastAsia="DengXian"/>
                <w:i/>
                <w:color w:val="000000"/>
                <w:sz w:val="22"/>
                <w:szCs w:val="22"/>
                <w:u w:val="single"/>
              </w:rPr>
            </w:pPr>
          </w:p>
        </w:tc>
        <w:tc>
          <w:tcPr>
            <w:tcW w:w="1215" w:type="dxa"/>
            <w:tcBorders>
              <w:top w:val="nil"/>
              <w:left w:val="nil"/>
              <w:bottom w:val="nil"/>
              <w:right w:val="nil"/>
            </w:tcBorders>
            <w:shd w:val="clear" w:color="auto" w:fill="auto"/>
            <w:noWrap/>
            <w:hideMark/>
          </w:tcPr>
          <w:p w14:paraId="5875B29B" w14:textId="77777777" w:rsidR="00E1102A" w:rsidRPr="00197710" w:rsidRDefault="00E1102A" w:rsidP="00197710">
            <w:pPr>
              <w:rPr>
                <w:sz w:val="22"/>
                <w:szCs w:val="22"/>
              </w:rPr>
            </w:pPr>
          </w:p>
        </w:tc>
        <w:tc>
          <w:tcPr>
            <w:tcW w:w="1134" w:type="dxa"/>
            <w:tcBorders>
              <w:top w:val="nil"/>
              <w:left w:val="nil"/>
              <w:bottom w:val="nil"/>
              <w:right w:val="nil"/>
            </w:tcBorders>
            <w:shd w:val="clear" w:color="auto" w:fill="auto"/>
            <w:noWrap/>
            <w:hideMark/>
          </w:tcPr>
          <w:p w14:paraId="3651C51E"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55.00 </w:t>
            </w:r>
          </w:p>
        </w:tc>
        <w:tc>
          <w:tcPr>
            <w:tcW w:w="1276" w:type="dxa"/>
            <w:tcBorders>
              <w:top w:val="nil"/>
              <w:left w:val="nil"/>
              <w:bottom w:val="nil"/>
              <w:right w:val="nil"/>
            </w:tcBorders>
            <w:shd w:val="clear" w:color="auto" w:fill="auto"/>
            <w:noWrap/>
            <w:hideMark/>
          </w:tcPr>
          <w:p w14:paraId="7A03DD72" w14:textId="77777777" w:rsidR="00E1102A" w:rsidRPr="00197710" w:rsidRDefault="00E1102A" w:rsidP="00197710">
            <w:pPr>
              <w:rPr>
                <w:rFonts w:eastAsia="DengXian"/>
                <w:color w:val="000000"/>
                <w:sz w:val="22"/>
                <w:szCs w:val="22"/>
              </w:rPr>
            </w:pPr>
          </w:p>
        </w:tc>
        <w:tc>
          <w:tcPr>
            <w:tcW w:w="1276" w:type="dxa"/>
            <w:tcBorders>
              <w:top w:val="nil"/>
              <w:left w:val="nil"/>
              <w:bottom w:val="nil"/>
              <w:right w:val="nil"/>
            </w:tcBorders>
            <w:shd w:val="clear" w:color="auto" w:fill="auto"/>
            <w:noWrap/>
            <w:hideMark/>
          </w:tcPr>
          <w:p w14:paraId="01535E8C"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116.00 </w:t>
            </w:r>
          </w:p>
        </w:tc>
      </w:tr>
      <w:tr w:rsidR="00E1102A" w:rsidRPr="00197710" w14:paraId="2D83496F" w14:textId="77777777" w:rsidTr="00597683">
        <w:trPr>
          <w:trHeight w:val="300"/>
        </w:trPr>
        <w:tc>
          <w:tcPr>
            <w:tcW w:w="2500" w:type="dxa"/>
            <w:tcBorders>
              <w:top w:val="nil"/>
              <w:left w:val="nil"/>
              <w:bottom w:val="nil"/>
              <w:right w:val="nil"/>
            </w:tcBorders>
            <w:shd w:val="clear" w:color="auto" w:fill="auto"/>
            <w:noWrap/>
            <w:hideMark/>
          </w:tcPr>
          <w:p w14:paraId="2CC5D2C8" w14:textId="77777777" w:rsidR="00E1102A" w:rsidRPr="00197710" w:rsidRDefault="00E1102A" w:rsidP="00197710">
            <w:pPr>
              <w:rPr>
                <w:rFonts w:eastAsia="DengXian"/>
                <w:color w:val="000000"/>
                <w:sz w:val="22"/>
                <w:szCs w:val="22"/>
              </w:rPr>
            </w:pPr>
          </w:p>
        </w:tc>
        <w:tc>
          <w:tcPr>
            <w:tcW w:w="1060" w:type="dxa"/>
            <w:tcBorders>
              <w:top w:val="nil"/>
              <w:left w:val="nil"/>
              <w:bottom w:val="nil"/>
              <w:right w:val="nil"/>
            </w:tcBorders>
            <w:shd w:val="clear" w:color="auto" w:fill="auto"/>
            <w:noWrap/>
            <w:hideMark/>
          </w:tcPr>
          <w:p w14:paraId="3C3413CE" w14:textId="77777777" w:rsidR="00E1102A" w:rsidRPr="00197710" w:rsidRDefault="00E1102A" w:rsidP="00197710">
            <w:pPr>
              <w:rPr>
                <w:sz w:val="22"/>
                <w:szCs w:val="22"/>
              </w:rPr>
            </w:pPr>
          </w:p>
        </w:tc>
        <w:tc>
          <w:tcPr>
            <w:tcW w:w="1215" w:type="dxa"/>
            <w:tcBorders>
              <w:top w:val="nil"/>
              <w:left w:val="nil"/>
              <w:bottom w:val="nil"/>
              <w:right w:val="nil"/>
            </w:tcBorders>
            <w:shd w:val="clear" w:color="auto" w:fill="auto"/>
            <w:noWrap/>
            <w:hideMark/>
          </w:tcPr>
          <w:p w14:paraId="34E894D0" w14:textId="77777777" w:rsidR="00E1102A" w:rsidRPr="00197710" w:rsidRDefault="00E1102A" w:rsidP="00197710">
            <w:pPr>
              <w:rPr>
                <w:sz w:val="22"/>
                <w:szCs w:val="22"/>
              </w:rPr>
            </w:pPr>
          </w:p>
        </w:tc>
        <w:tc>
          <w:tcPr>
            <w:tcW w:w="1134" w:type="dxa"/>
            <w:tcBorders>
              <w:top w:val="nil"/>
              <w:left w:val="nil"/>
              <w:bottom w:val="nil"/>
              <w:right w:val="nil"/>
            </w:tcBorders>
            <w:shd w:val="clear" w:color="auto" w:fill="auto"/>
            <w:noWrap/>
            <w:hideMark/>
          </w:tcPr>
          <w:p w14:paraId="59A1B445"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2B8DAA90"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74D51493" w14:textId="77777777" w:rsidR="00E1102A" w:rsidRPr="00197710" w:rsidRDefault="00E1102A" w:rsidP="00197710">
            <w:pPr>
              <w:rPr>
                <w:sz w:val="22"/>
                <w:szCs w:val="22"/>
              </w:rPr>
            </w:pPr>
          </w:p>
        </w:tc>
      </w:tr>
      <w:tr w:rsidR="00E1102A" w:rsidRPr="00197710" w14:paraId="33396FDD" w14:textId="77777777" w:rsidTr="00597683">
        <w:trPr>
          <w:trHeight w:val="300"/>
        </w:trPr>
        <w:tc>
          <w:tcPr>
            <w:tcW w:w="2500" w:type="dxa"/>
            <w:tcBorders>
              <w:top w:val="nil"/>
              <w:left w:val="nil"/>
              <w:bottom w:val="nil"/>
              <w:right w:val="nil"/>
            </w:tcBorders>
            <w:shd w:val="clear" w:color="auto" w:fill="auto"/>
            <w:noWrap/>
            <w:hideMark/>
          </w:tcPr>
          <w:p w14:paraId="20A4EEE2" w14:textId="77777777" w:rsidR="00E1102A" w:rsidRPr="00197710" w:rsidRDefault="00E1102A" w:rsidP="00197710">
            <w:pPr>
              <w:rPr>
                <w:rFonts w:eastAsia="DengXian"/>
                <w:i/>
                <w:color w:val="000000"/>
                <w:sz w:val="22"/>
                <w:szCs w:val="22"/>
                <w:u w:val="single"/>
              </w:rPr>
            </w:pPr>
            <w:r w:rsidRPr="0CFEFBF2">
              <w:rPr>
                <w:rFonts w:eastAsia="DengXian"/>
                <w:i/>
                <w:color w:val="000000" w:themeColor="text1"/>
                <w:sz w:val="22"/>
                <w:szCs w:val="22"/>
                <w:u w:val="single"/>
              </w:rPr>
              <w:t>Economic cost (USD)</w:t>
            </w:r>
          </w:p>
        </w:tc>
        <w:tc>
          <w:tcPr>
            <w:tcW w:w="1060" w:type="dxa"/>
            <w:tcBorders>
              <w:top w:val="nil"/>
              <w:left w:val="nil"/>
              <w:bottom w:val="nil"/>
              <w:right w:val="nil"/>
            </w:tcBorders>
            <w:shd w:val="clear" w:color="auto" w:fill="auto"/>
            <w:noWrap/>
            <w:hideMark/>
          </w:tcPr>
          <w:p w14:paraId="726D197B" w14:textId="77777777" w:rsidR="00E1102A" w:rsidRPr="00197710" w:rsidRDefault="00E1102A" w:rsidP="00197710">
            <w:pPr>
              <w:rPr>
                <w:rFonts w:eastAsia="DengXian"/>
                <w:i/>
                <w:color w:val="000000"/>
                <w:sz w:val="22"/>
                <w:szCs w:val="22"/>
                <w:u w:val="single"/>
              </w:rPr>
            </w:pPr>
          </w:p>
        </w:tc>
        <w:tc>
          <w:tcPr>
            <w:tcW w:w="1215" w:type="dxa"/>
            <w:tcBorders>
              <w:top w:val="nil"/>
              <w:left w:val="nil"/>
              <w:bottom w:val="nil"/>
              <w:right w:val="nil"/>
            </w:tcBorders>
            <w:shd w:val="clear" w:color="auto" w:fill="auto"/>
            <w:noWrap/>
            <w:hideMark/>
          </w:tcPr>
          <w:p w14:paraId="5E778B87" w14:textId="77777777" w:rsidR="00E1102A" w:rsidRPr="00197710" w:rsidRDefault="00E1102A" w:rsidP="00197710">
            <w:pPr>
              <w:rPr>
                <w:sz w:val="22"/>
                <w:szCs w:val="22"/>
              </w:rPr>
            </w:pPr>
          </w:p>
        </w:tc>
        <w:tc>
          <w:tcPr>
            <w:tcW w:w="1134" w:type="dxa"/>
            <w:tcBorders>
              <w:top w:val="nil"/>
              <w:left w:val="nil"/>
              <w:bottom w:val="nil"/>
              <w:right w:val="nil"/>
            </w:tcBorders>
            <w:shd w:val="clear" w:color="auto" w:fill="auto"/>
            <w:noWrap/>
            <w:hideMark/>
          </w:tcPr>
          <w:p w14:paraId="2B30A006"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1754.70 </w:t>
            </w:r>
          </w:p>
        </w:tc>
        <w:tc>
          <w:tcPr>
            <w:tcW w:w="1276" w:type="dxa"/>
            <w:tcBorders>
              <w:top w:val="nil"/>
              <w:left w:val="nil"/>
              <w:bottom w:val="nil"/>
              <w:right w:val="nil"/>
            </w:tcBorders>
            <w:shd w:val="clear" w:color="auto" w:fill="auto"/>
            <w:noWrap/>
            <w:hideMark/>
          </w:tcPr>
          <w:p w14:paraId="0377C1D4" w14:textId="77777777" w:rsidR="00E1102A" w:rsidRPr="00197710" w:rsidRDefault="00E1102A" w:rsidP="00197710">
            <w:pPr>
              <w:rPr>
                <w:rFonts w:eastAsia="DengXian"/>
                <w:color w:val="000000"/>
                <w:sz w:val="22"/>
                <w:szCs w:val="22"/>
              </w:rPr>
            </w:pPr>
          </w:p>
        </w:tc>
        <w:tc>
          <w:tcPr>
            <w:tcW w:w="1276" w:type="dxa"/>
            <w:tcBorders>
              <w:top w:val="nil"/>
              <w:left w:val="nil"/>
              <w:bottom w:val="nil"/>
              <w:right w:val="nil"/>
            </w:tcBorders>
            <w:shd w:val="clear" w:color="auto" w:fill="auto"/>
            <w:noWrap/>
            <w:hideMark/>
          </w:tcPr>
          <w:p w14:paraId="2453859C"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2523.55 </w:t>
            </w:r>
          </w:p>
        </w:tc>
      </w:tr>
      <w:tr w:rsidR="00F810C0" w:rsidRPr="00197710" w14:paraId="2BEDD009" w14:textId="77777777" w:rsidTr="00597683">
        <w:trPr>
          <w:trHeight w:val="300"/>
        </w:trPr>
        <w:tc>
          <w:tcPr>
            <w:tcW w:w="2500" w:type="dxa"/>
            <w:tcBorders>
              <w:top w:val="nil"/>
              <w:left w:val="nil"/>
              <w:bottom w:val="nil"/>
              <w:right w:val="nil"/>
            </w:tcBorders>
            <w:shd w:val="clear" w:color="auto" w:fill="auto"/>
            <w:noWrap/>
          </w:tcPr>
          <w:p w14:paraId="30D344F2" w14:textId="7471662C" w:rsidR="00F810C0" w:rsidRPr="002224A6" w:rsidRDefault="002224A6" w:rsidP="00197710">
            <w:pPr>
              <w:rPr>
                <w:rFonts w:eastAsia="DengXian"/>
                <w:color w:val="000000"/>
                <w:sz w:val="22"/>
                <w:szCs w:val="22"/>
              </w:rPr>
            </w:pPr>
            <w:r w:rsidRPr="002224A6">
              <w:rPr>
                <w:rFonts w:eastAsia="DengXian"/>
                <w:color w:val="000000"/>
                <w:sz w:val="22"/>
                <w:szCs w:val="22"/>
              </w:rPr>
              <w:t xml:space="preserve">Cost per person tested </w:t>
            </w:r>
          </w:p>
        </w:tc>
        <w:tc>
          <w:tcPr>
            <w:tcW w:w="1060" w:type="dxa"/>
            <w:tcBorders>
              <w:top w:val="nil"/>
              <w:left w:val="nil"/>
              <w:bottom w:val="nil"/>
              <w:right w:val="nil"/>
            </w:tcBorders>
            <w:shd w:val="clear" w:color="auto" w:fill="auto"/>
            <w:noWrap/>
          </w:tcPr>
          <w:p w14:paraId="3408B967" w14:textId="77777777" w:rsidR="00F810C0" w:rsidRPr="00197710" w:rsidRDefault="00F810C0" w:rsidP="00197710">
            <w:pPr>
              <w:rPr>
                <w:rFonts w:eastAsia="DengXian"/>
                <w:i/>
                <w:color w:val="000000"/>
                <w:sz w:val="22"/>
                <w:szCs w:val="22"/>
                <w:u w:val="single"/>
              </w:rPr>
            </w:pPr>
          </w:p>
        </w:tc>
        <w:tc>
          <w:tcPr>
            <w:tcW w:w="1215" w:type="dxa"/>
            <w:tcBorders>
              <w:top w:val="nil"/>
              <w:left w:val="nil"/>
              <w:bottom w:val="nil"/>
              <w:right w:val="nil"/>
            </w:tcBorders>
            <w:shd w:val="clear" w:color="auto" w:fill="auto"/>
            <w:noWrap/>
          </w:tcPr>
          <w:p w14:paraId="4DBD74D1" w14:textId="77777777" w:rsidR="00F810C0" w:rsidRPr="00197710" w:rsidRDefault="00F810C0" w:rsidP="00197710">
            <w:pPr>
              <w:rPr>
                <w:sz w:val="22"/>
                <w:szCs w:val="22"/>
              </w:rPr>
            </w:pPr>
          </w:p>
        </w:tc>
        <w:tc>
          <w:tcPr>
            <w:tcW w:w="1134" w:type="dxa"/>
            <w:tcBorders>
              <w:top w:val="nil"/>
              <w:left w:val="nil"/>
              <w:bottom w:val="nil"/>
              <w:right w:val="nil"/>
            </w:tcBorders>
            <w:shd w:val="clear" w:color="auto" w:fill="auto"/>
            <w:noWrap/>
          </w:tcPr>
          <w:p w14:paraId="78374BF1" w14:textId="13BE3C72" w:rsidR="00F810C0" w:rsidRPr="0CFEFBF2" w:rsidRDefault="002224A6" w:rsidP="00197710">
            <w:pPr>
              <w:rPr>
                <w:rFonts w:eastAsia="DengXian"/>
                <w:color w:val="000000" w:themeColor="text1"/>
                <w:sz w:val="22"/>
                <w:szCs w:val="22"/>
              </w:rPr>
            </w:pPr>
            <w:r>
              <w:rPr>
                <w:rFonts w:eastAsia="DengXian" w:hint="eastAsia"/>
                <w:color w:val="000000" w:themeColor="text1"/>
                <w:sz w:val="22"/>
                <w:szCs w:val="22"/>
              </w:rPr>
              <w:t>3</w:t>
            </w:r>
            <w:r>
              <w:rPr>
                <w:rFonts w:eastAsia="DengXian"/>
                <w:color w:val="000000" w:themeColor="text1"/>
                <w:sz w:val="22"/>
                <w:szCs w:val="22"/>
              </w:rPr>
              <w:t>1.90</w:t>
            </w:r>
          </w:p>
        </w:tc>
        <w:tc>
          <w:tcPr>
            <w:tcW w:w="1276" w:type="dxa"/>
            <w:tcBorders>
              <w:top w:val="nil"/>
              <w:left w:val="nil"/>
              <w:bottom w:val="nil"/>
              <w:right w:val="nil"/>
            </w:tcBorders>
            <w:shd w:val="clear" w:color="auto" w:fill="auto"/>
            <w:noWrap/>
          </w:tcPr>
          <w:p w14:paraId="7C694A78" w14:textId="77777777" w:rsidR="00F810C0" w:rsidRPr="00197710" w:rsidRDefault="00F810C0" w:rsidP="00197710">
            <w:pPr>
              <w:rPr>
                <w:rFonts w:eastAsia="DengXian"/>
                <w:color w:val="000000"/>
                <w:sz w:val="22"/>
                <w:szCs w:val="22"/>
              </w:rPr>
            </w:pPr>
          </w:p>
        </w:tc>
        <w:tc>
          <w:tcPr>
            <w:tcW w:w="1276" w:type="dxa"/>
            <w:tcBorders>
              <w:top w:val="nil"/>
              <w:left w:val="nil"/>
              <w:bottom w:val="nil"/>
              <w:right w:val="nil"/>
            </w:tcBorders>
            <w:shd w:val="clear" w:color="auto" w:fill="auto"/>
            <w:noWrap/>
          </w:tcPr>
          <w:p w14:paraId="6E5AC96A" w14:textId="62AF72DC" w:rsidR="00F810C0" w:rsidRPr="0CFEFBF2" w:rsidRDefault="00DF1717" w:rsidP="00197710">
            <w:pPr>
              <w:rPr>
                <w:rFonts w:eastAsia="DengXian"/>
                <w:color w:val="000000" w:themeColor="text1"/>
                <w:sz w:val="22"/>
                <w:szCs w:val="22"/>
              </w:rPr>
            </w:pPr>
            <w:r>
              <w:rPr>
                <w:rFonts w:eastAsia="DengXian" w:hint="eastAsia"/>
                <w:color w:val="000000" w:themeColor="text1"/>
                <w:sz w:val="22"/>
                <w:szCs w:val="22"/>
              </w:rPr>
              <w:t>2</w:t>
            </w:r>
            <w:r>
              <w:rPr>
                <w:rFonts w:eastAsia="DengXian"/>
                <w:color w:val="000000" w:themeColor="text1"/>
                <w:sz w:val="22"/>
                <w:szCs w:val="22"/>
              </w:rPr>
              <w:t>1.75</w:t>
            </w:r>
          </w:p>
        </w:tc>
      </w:tr>
      <w:tr w:rsidR="00E1102A" w:rsidRPr="00197710" w14:paraId="63F21F0B" w14:textId="77777777" w:rsidTr="00597683">
        <w:trPr>
          <w:trHeight w:val="300"/>
        </w:trPr>
        <w:tc>
          <w:tcPr>
            <w:tcW w:w="3560" w:type="dxa"/>
            <w:gridSpan w:val="2"/>
            <w:tcBorders>
              <w:top w:val="nil"/>
              <w:left w:val="nil"/>
              <w:bottom w:val="nil"/>
              <w:right w:val="nil"/>
            </w:tcBorders>
            <w:shd w:val="clear" w:color="auto" w:fill="auto"/>
            <w:noWrap/>
            <w:hideMark/>
          </w:tcPr>
          <w:p w14:paraId="3D8541FC"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Incremental economic cost</w:t>
            </w:r>
          </w:p>
        </w:tc>
        <w:tc>
          <w:tcPr>
            <w:tcW w:w="1215" w:type="dxa"/>
            <w:tcBorders>
              <w:top w:val="nil"/>
              <w:left w:val="nil"/>
              <w:bottom w:val="nil"/>
              <w:right w:val="nil"/>
            </w:tcBorders>
            <w:shd w:val="clear" w:color="auto" w:fill="auto"/>
            <w:noWrap/>
            <w:hideMark/>
          </w:tcPr>
          <w:p w14:paraId="3C412C13" w14:textId="77777777" w:rsidR="00E1102A" w:rsidRPr="00197710" w:rsidRDefault="00E1102A" w:rsidP="00197710">
            <w:pPr>
              <w:rPr>
                <w:rFonts w:eastAsia="DengXian"/>
                <w:color w:val="000000"/>
                <w:sz w:val="22"/>
                <w:szCs w:val="22"/>
              </w:rPr>
            </w:pPr>
          </w:p>
        </w:tc>
        <w:tc>
          <w:tcPr>
            <w:tcW w:w="1134" w:type="dxa"/>
            <w:tcBorders>
              <w:top w:val="nil"/>
              <w:left w:val="nil"/>
              <w:bottom w:val="nil"/>
              <w:right w:val="nil"/>
            </w:tcBorders>
            <w:shd w:val="clear" w:color="auto" w:fill="auto"/>
            <w:noWrap/>
            <w:hideMark/>
          </w:tcPr>
          <w:p w14:paraId="2B44B257"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Ref</w:t>
            </w:r>
          </w:p>
        </w:tc>
        <w:tc>
          <w:tcPr>
            <w:tcW w:w="1276" w:type="dxa"/>
            <w:tcBorders>
              <w:top w:val="nil"/>
              <w:left w:val="nil"/>
              <w:bottom w:val="nil"/>
              <w:right w:val="nil"/>
            </w:tcBorders>
            <w:shd w:val="clear" w:color="auto" w:fill="auto"/>
            <w:noWrap/>
            <w:hideMark/>
          </w:tcPr>
          <w:p w14:paraId="057A7A7E" w14:textId="77777777" w:rsidR="00E1102A" w:rsidRPr="00197710" w:rsidRDefault="00E1102A" w:rsidP="00197710">
            <w:pPr>
              <w:rPr>
                <w:rFonts w:eastAsia="DengXian"/>
                <w:color w:val="000000"/>
                <w:sz w:val="22"/>
                <w:szCs w:val="22"/>
              </w:rPr>
            </w:pPr>
          </w:p>
        </w:tc>
        <w:tc>
          <w:tcPr>
            <w:tcW w:w="1276" w:type="dxa"/>
            <w:tcBorders>
              <w:top w:val="nil"/>
              <w:left w:val="nil"/>
              <w:bottom w:val="nil"/>
              <w:right w:val="nil"/>
            </w:tcBorders>
            <w:shd w:val="clear" w:color="auto" w:fill="auto"/>
            <w:noWrap/>
            <w:hideMark/>
          </w:tcPr>
          <w:p w14:paraId="46B9E0CE"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768.85 </w:t>
            </w:r>
          </w:p>
        </w:tc>
      </w:tr>
      <w:tr w:rsidR="00E1102A" w:rsidRPr="00197710" w14:paraId="2BB39B1A" w14:textId="77777777" w:rsidTr="00597683">
        <w:trPr>
          <w:trHeight w:val="300"/>
        </w:trPr>
        <w:tc>
          <w:tcPr>
            <w:tcW w:w="2500" w:type="dxa"/>
            <w:tcBorders>
              <w:top w:val="nil"/>
              <w:left w:val="nil"/>
              <w:bottom w:val="nil"/>
              <w:right w:val="nil"/>
            </w:tcBorders>
            <w:shd w:val="clear" w:color="auto" w:fill="auto"/>
            <w:noWrap/>
            <w:hideMark/>
          </w:tcPr>
          <w:p w14:paraId="5A9DCB87"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ICER (economic cost)</w:t>
            </w:r>
          </w:p>
        </w:tc>
        <w:tc>
          <w:tcPr>
            <w:tcW w:w="1060" w:type="dxa"/>
            <w:tcBorders>
              <w:top w:val="nil"/>
              <w:left w:val="nil"/>
              <w:bottom w:val="nil"/>
              <w:right w:val="nil"/>
            </w:tcBorders>
            <w:shd w:val="clear" w:color="auto" w:fill="auto"/>
            <w:noWrap/>
            <w:hideMark/>
          </w:tcPr>
          <w:p w14:paraId="7295CE69" w14:textId="77777777" w:rsidR="00E1102A" w:rsidRPr="00197710" w:rsidRDefault="00E1102A" w:rsidP="00197710">
            <w:pPr>
              <w:rPr>
                <w:rFonts w:eastAsia="DengXian"/>
                <w:color w:val="000000"/>
                <w:sz w:val="22"/>
                <w:szCs w:val="22"/>
              </w:rPr>
            </w:pPr>
          </w:p>
        </w:tc>
        <w:tc>
          <w:tcPr>
            <w:tcW w:w="1215" w:type="dxa"/>
            <w:tcBorders>
              <w:top w:val="nil"/>
              <w:left w:val="nil"/>
              <w:bottom w:val="nil"/>
              <w:right w:val="nil"/>
            </w:tcBorders>
            <w:shd w:val="clear" w:color="auto" w:fill="auto"/>
            <w:noWrap/>
            <w:hideMark/>
          </w:tcPr>
          <w:p w14:paraId="781C8036" w14:textId="77777777" w:rsidR="00E1102A" w:rsidRPr="00197710" w:rsidRDefault="00E1102A" w:rsidP="00197710">
            <w:pPr>
              <w:rPr>
                <w:sz w:val="22"/>
                <w:szCs w:val="22"/>
              </w:rPr>
            </w:pPr>
          </w:p>
        </w:tc>
        <w:tc>
          <w:tcPr>
            <w:tcW w:w="1134" w:type="dxa"/>
            <w:tcBorders>
              <w:top w:val="nil"/>
              <w:left w:val="nil"/>
              <w:bottom w:val="nil"/>
              <w:right w:val="nil"/>
            </w:tcBorders>
            <w:shd w:val="clear" w:color="auto" w:fill="auto"/>
            <w:noWrap/>
            <w:hideMark/>
          </w:tcPr>
          <w:p w14:paraId="786F915F"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Ref</w:t>
            </w:r>
          </w:p>
        </w:tc>
        <w:tc>
          <w:tcPr>
            <w:tcW w:w="1276" w:type="dxa"/>
            <w:tcBorders>
              <w:top w:val="nil"/>
              <w:left w:val="nil"/>
              <w:bottom w:val="nil"/>
              <w:right w:val="nil"/>
            </w:tcBorders>
            <w:shd w:val="clear" w:color="auto" w:fill="auto"/>
            <w:noWrap/>
            <w:hideMark/>
          </w:tcPr>
          <w:p w14:paraId="6B28F028" w14:textId="77777777" w:rsidR="00E1102A" w:rsidRPr="00197710" w:rsidRDefault="00E1102A" w:rsidP="00197710">
            <w:pPr>
              <w:rPr>
                <w:rFonts w:eastAsia="DengXian"/>
                <w:color w:val="000000"/>
                <w:sz w:val="22"/>
                <w:szCs w:val="22"/>
              </w:rPr>
            </w:pPr>
          </w:p>
        </w:tc>
        <w:tc>
          <w:tcPr>
            <w:tcW w:w="1276" w:type="dxa"/>
            <w:tcBorders>
              <w:top w:val="nil"/>
              <w:left w:val="nil"/>
              <w:bottom w:val="nil"/>
              <w:right w:val="nil"/>
            </w:tcBorders>
            <w:shd w:val="clear" w:color="auto" w:fill="auto"/>
            <w:noWrap/>
            <w:hideMark/>
          </w:tcPr>
          <w:p w14:paraId="1C92181C"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12.60 </w:t>
            </w:r>
          </w:p>
        </w:tc>
      </w:tr>
      <w:tr w:rsidR="00E1102A" w:rsidRPr="00197710" w14:paraId="54D5FF0B" w14:textId="77777777" w:rsidTr="00597683">
        <w:trPr>
          <w:trHeight w:val="300"/>
        </w:trPr>
        <w:tc>
          <w:tcPr>
            <w:tcW w:w="2500" w:type="dxa"/>
            <w:tcBorders>
              <w:top w:val="nil"/>
              <w:left w:val="nil"/>
              <w:bottom w:val="nil"/>
              <w:right w:val="nil"/>
            </w:tcBorders>
            <w:shd w:val="clear" w:color="auto" w:fill="auto"/>
            <w:noWrap/>
            <w:hideMark/>
          </w:tcPr>
          <w:p w14:paraId="2451FF60" w14:textId="77777777" w:rsidR="00E1102A" w:rsidRPr="00197710" w:rsidRDefault="00E1102A" w:rsidP="00197710">
            <w:pPr>
              <w:rPr>
                <w:rFonts w:eastAsia="DengXian"/>
                <w:color w:val="000000"/>
                <w:sz w:val="22"/>
                <w:szCs w:val="22"/>
              </w:rPr>
            </w:pPr>
          </w:p>
        </w:tc>
        <w:tc>
          <w:tcPr>
            <w:tcW w:w="1060" w:type="dxa"/>
            <w:tcBorders>
              <w:top w:val="nil"/>
              <w:left w:val="nil"/>
              <w:bottom w:val="nil"/>
              <w:right w:val="nil"/>
            </w:tcBorders>
            <w:shd w:val="clear" w:color="auto" w:fill="auto"/>
            <w:noWrap/>
            <w:hideMark/>
          </w:tcPr>
          <w:p w14:paraId="78BED1ED" w14:textId="77777777" w:rsidR="00E1102A" w:rsidRPr="00197710" w:rsidRDefault="00E1102A" w:rsidP="00197710">
            <w:pPr>
              <w:rPr>
                <w:sz w:val="22"/>
                <w:szCs w:val="22"/>
              </w:rPr>
            </w:pPr>
          </w:p>
        </w:tc>
        <w:tc>
          <w:tcPr>
            <w:tcW w:w="1215" w:type="dxa"/>
            <w:tcBorders>
              <w:top w:val="nil"/>
              <w:left w:val="nil"/>
              <w:bottom w:val="nil"/>
              <w:right w:val="nil"/>
            </w:tcBorders>
            <w:shd w:val="clear" w:color="auto" w:fill="auto"/>
            <w:noWrap/>
            <w:hideMark/>
          </w:tcPr>
          <w:p w14:paraId="4B8858F3" w14:textId="77777777" w:rsidR="00E1102A" w:rsidRPr="00197710" w:rsidRDefault="00E1102A" w:rsidP="00197710">
            <w:pPr>
              <w:rPr>
                <w:sz w:val="22"/>
                <w:szCs w:val="22"/>
              </w:rPr>
            </w:pPr>
          </w:p>
        </w:tc>
        <w:tc>
          <w:tcPr>
            <w:tcW w:w="1134" w:type="dxa"/>
            <w:tcBorders>
              <w:top w:val="nil"/>
              <w:left w:val="nil"/>
              <w:bottom w:val="nil"/>
              <w:right w:val="nil"/>
            </w:tcBorders>
            <w:shd w:val="clear" w:color="auto" w:fill="auto"/>
            <w:noWrap/>
            <w:hideMark/>
          </w:tcPr>
          <w:p w14:paraId="48C932D3"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69AFAC9B" w14:textId="77777777" w:rsidR="00E1102A" w:rsidRPr="00197710" w:rsidRDefault="00E1102A" w:rsidP="00197710">
            <w:pPr>
              <w:rPr>
                <w:sz w:val="22"/>
                <w:szCs w:val="22"/>
              </w:rPr>
            </w:pPr>
          </w:p>
        </w:tc>
        <w:tc>
          <w:tcPr>
            <w:tcW w:w="1276" w:type="dxa"/>
            <w:tcBorders>
              <w:top w:val="nil"/>
              <w:left w:val="nil"/>
              <w:bottom w:val="nil"/>
              <w:right w:val="nil"/>
            </w:tcBorders>
            <w:shd w:val="clear" w:color="auto" w:fill="auto"/>
            <w:noWrap/>
            <w:hideMark/>
          </w:tcPr>
          <w:p w14:paraId="137D9BFD" w14:textId="77777777" w:rsidR="00E1102A" w:rsidRPr="00197710" w:rsidRDefault="00E1102A" w:rsidP="00197710">
            <w:pPr>
              <w:rPr>
                <w:sz w:val="22"/>
                <w:szCs w:val="22"/>
              </w:rPr>
            </w:pPr>
          </w:p>
        </w:tc>
      </w:tr>
      <w:tr w:rsidR="00E1102A" w:rsidRPr="00197710" w14:paraId="657AA095" w14:textId="77777777" w:rsidTr="00597683">
        <w:trPr>
          <w:trHeight w:val="300"/>
        </w:trPr>
        <w:tc>
          <w:tcPr>
            <w:tcW w:w="2500" w:type="dxa"/>
            <w:tcBorders>
              <w:top w:val="nil"/>
              <w:left w:val="nil"/>
              <w:bottom w:val="nil"/>
              <w:right w:val="nil"/>
            </w:tcBorders>
            <w:shd w:val="clear" w:color="auto" w:fill="auto"/>
            <w:noWrap/>
            <w:hideMark/>
          </w:tcPr>
          <w:p w14:paraId="30A62370" w14:textId="77777777" w:rsidR="00E1102A" w:rsidRPr="00197710" w:rsidRDefault="00E1102A" w:rsidP="00197710">
            <w:pPr>
              <w:rPr>
                <w:rFonts w:eastAsia="DengXian"/>
                <w:i/>
                <w:color w:val="000000"/>
                <w:sz w:val="22"/>
                <w:szCs w:val="22"/>
                <w:u w:val="single"/>
              </w:rPr>
            </w:pPr>
            <w:r w:rsidRPr="0CFEFBF2">
              <w:rPr>
                <w:rFonts w:eastAsia="DengXian"/>
                <w:i/>
                <w:color w:val="000000" w:themeColor="text1"/>
                <w:sz w:val="22"/>
                <w:szCs w:val="22"/>
                <w:u w:val="single"/>
              </w:rPr>
              <w:t>Financial cost (USD)</w:t>
            </w:r>
          </w:p>
        </w:tc>
        <w:tc>
          <w:tcPr>
            <w:tcW w:w="1060" w:type="dxa"/>
            <w:tcBorders>
              <w:top w:val="nil"/>
              <w:left w:val="nil"/>
              <w:bottom w:val="nil"/>
              <w:right w:val="nil"/>
            </w:tcBorders>
            <w:shd w:val="clear" w:color="auto" w:fill="auto"/>
            <w:noWrap/>
            <w:hideMark/>
          </w:tcPr>
          <w:p w14:paraId="70AA3C60" w14:textId="77777777" w:rsidR="00E1102A" w:rsidRPr="00197710" w:rsidRDefault="00E1102A" w:rsidP="00197710">
            <w:pPr>
              <w:rPr>
                <w:rFonts w:eastAsia="DengXian"/>
                <w:i/>
                <w:color w:val="000000"/>
                <w:sz w:val="22"/>
                <w:szCs w:val="22"/>
                <w:u w:val="single"/>
              </w:rPr>
            </w:pPr>
          </w:p>
        </w:tc>
        <w:tc>
          <w:tcPr>
            <w:tcW w:w="1215" w:type="dxa"/>
            <w:tcBorders>
              <w:top w:val="nil"/>
              <w:left w:val="nil"/>
              <w:bottom w:val="nil"/>
              <w:right w:val="nil"/>
            </w:tcBorders>
            <w:shd w:val="clear" w:color="auto" w:fill="auto"/>
            <w:noWrap/>
            <w:hideMark/>
          </w:tcPr>
          <w:p w14:paraId="4DDB3406" w14:textId="77777777" w:rsidR="00E1102A" w:rsidRPr="00197710" w:rsidRDefault="00E1102A" w:rsidP="00197710">
            <w:pPr>
              <w:rPr>
                <w:sz w:val="22"/>
                <w:szCs w:val="22"/>
              </w:rPr>
            </w:pPr>
          </w:p>
        </w:tc>
        <w:tc>
          <w:tcPr>
            <w:tcW w:w="1134" w:type="dxa"/>
            <w:tcBorders>
              <w:top w:val="nil"/>
              <w:left w:val="nil"/>
              <w:bottom w:val="nil"/>
              <w:right w:val="nil"/>
            </w:tcBorders>
            <w:shd w:val="clear" w:color="auto" w:fill="auto"/>
            <w:noWrap/>
            <w:hideMark/>
          </w:tcPr>
          <w:p w14:paraId="6D679B79"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984.45 </w:t>
            </w:r>
          </w:p>
        </w:tc>
        <w:tc>
          <w:tcPr>
            <w:tcW w:w="1276" w:type="dxa"/>
            <w:tcBorders>
              <w:top w:val="nil"/>
              <w:left w:val="nil"/>
              <w:bottom w:val="nil"/>
              <w:right w:val="nil"/>
            </w:tcBorders>
            <w:shd w:val="clear" w:color="auto" w:fill="auto"/>
            <w:noWrap/>
            <w:hideMark/>
          </w:tcPr>
          <w:p w14:paraId="3AC4743B" w14:textId="77777777" w:rsidR="00E1102A" w:rsidRPr="00197710" w:rsidRDefault="00E1102A" w:rsidP="00197710">
            <w:pPr>
              <w:rPr>
                <w:rFonts w:eastAsia="DengXian"/>
                <w:color w:val="000000"/>
                <w:sz w:val="22"/>
                <w:szCs w:val="22"/>
              </w:rPr>
            </w:pPr>
          </w:p>
        </w:tc>
        <w:tc>
          <w:tcPr>
            <w:tcW w:w="1276" w:type="dxa"/>
            <w:tcBorders>
              <w:top w:val="nil"/>
              <w:left w:val="nil"/>
              <w:bottom w:val="nil"/>
              <w:right w:val="nil"/>
            </w:tcBorders>
            <w:shd w:val="clear" w:color="auto" w:fill="auto"/>
            <w:noWrap/>
            <w:hideMark/>
          </w:tcPr>
          <w:p w14:paraId="1DABDE44"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2484.19 </w:t>
            </w:r>
          </w:p>
        </w:tc>
      </w:tr>
      <w:tr w:rsidR="00F810C0" w:rsidRPr="00197710" w14:paraId="3AC88C80" w14:textId="77777777" w:rsidTr="00597683">
        <w:trPr>
          <w:trHeight w:val="300"/>
        </w:trPr>
        <w:tc>
          <w:tcPr>
            <w:tcW w:w="2500" w:type="dxa"/>
            <w:tcBorders>
              <w:top w:val="nil"/>
              <w:left w:val="nil"/>
              <w:bottom w:val="nil"/>
              <w:right w:val="nil"/>
            </w:tcBorders>
            <w:shd w:val="clear" w:color="auto" w:fill="auto"/>
            <w:noWrap/>
          </w:tcPr>
          <w:p w14:paraId="33B385A9" w14:textId="695A5411" w:rsidR="00F810C0" w:rsidRPr="0CFEFBF2" w:rsidRDefault="00DF1717" w:rsidP="00197710">
            <w:pPr>
              <w:rPr>
                <w:rFonts w:eastAsia="DengXian"/>
                <w:i/>
                <w:color w:val="000000" w:themeColor="text1"/>
                <w:sz w:val="22"/>
                <w:szCs w:val="22"/>
                <w:u w:val="single"/>
              </w:rPr>
            </w:pPr>
            <w:r w:rsidRPr="002224A6">
              <w:rPr>
                <w:rFonts w:eastAsia="DengXian"/>
                <w:color w:val="000000"/>
                <w:sz w:val="22"/>
                <w:szCs w:val="22"/>
              </w:rPr>
              <w:t>Cost per person tested</w:t>
            </w:r>
          </w:p>
        </w:tc>
        <w:tc>
          <w:tcPr>
            <w:tcW w:w="1060" w:type="dxa"/>
            <w:tcBorders>
              <w:top w:val="nil"/>
              <w:left w:val="nil"/>
              <w:bottom w:val="nil"/>
              <w:right w:val="nil"/>
            </w:tcBorders>
            <w:shd w:val="clear" w:color="auto" w:fill="auto"/>
            <w:noWrap/>
          </w:tcPr>
          <w:p w14:paraId="091B7C97" w14:textId="77777777" w:rsidR="00F810C0" w:rsidRPr="00197710" w:rsidRDefault="00F810C0" w:rsidP="00197710">
            <w:pPr>
              <w:rPr>
                <w:rFonts w:eastAsia="DengXian"/>
                <w:i/>
                <w:color w:val="000000"/>
                <w:sz w:val="22"/>
                <w:szCs w:val="22"/>
                <w:u w:val="single"/>
              </w:rPr>
            </w:pPr>
          </w:p>
        </w:tc>
        <w:tc>
          <w:tcPr>
            <w:tcW w:w="1215" w:type="dxa"/>
            <w:tcBorders>
              <w:top w:val="nil"/>
              <w:left w:val="nil"/>
              <w:bottom w:val="nil"/>
              <w:right w:val="nil"/>
            </w:tcBorders>
            <w:shd w:val="clear" w:color="auto" w:fill="auto"/>
            <w:noWrap/>
          </w:tcPr>
          <w:p w14:paraId="7E87584F" w14:textId="77777777" w:rsidR="00F810C0" w:rsidRPr="00197710" w:rsidRDefault="00F810C0" w:rsidP="00197710">
            <w:pPr>
              <w:rPr>
                <w:sz w:val="22"/>
                <w:szCs w:val="22"/>
              </w:rPr>
            </w:pPr>
          </w:p>
        </w:tc>
        <w:tc>
          <w:tcPr>
            <w:tcW w:w="1134" w:type="dxa"/>
            <w:tcBorders>
              <w:top w:val="nil"/>
              <w:left w:val="nil"/>
              <w:bottom w:val="nil"/>
              <w:right w:val="nil"/>
            </w:tcBorders>
            <w:shd w:val="clear" w:color="auto" w:fill="auto"/>
            <w:noWrap/>
          </w:tcPr>
          <w:p w14:paraId="2953DC64" w14:textId="225E52C2" w:rsidR="00F810C0" w:rsidRPr="0CFEFBF2" w:rsidRDefault="00DF1717" w:rsidP="00197710">
            <w:pPr>
              <w:rPr>
                <w:rFonts w:eastAsia="DengXian"/>
                <w:color w:val="000000" w:themeColor="text1"/>
                <w:sz w:val="22"/>
                <w:szCs w:val="22"/>
              </w:rPr>
            </w:pPr>
            <w:r>
              <w:rPr>
                <w:rFonts w:eastAsia="DengXian" w:hint="eastAsia"/>
                <w:color w:val="000000" w:themeColor="text1"/>
                <w:sz w:val="22"/>
                <w:szCs w:val="22"/>
              </w:rPr>
              <w:t>1</w:t>
            </w:r>
            <w:r>
              <w:rPr>
                <w:rFonts w:eastAsia="DengXian"/>
                <w:color w:val="000000" w:themeColor="text1"/>
                <w:sz w:val="22"/>
                <w:szCs w:val="22"/>
              </w:rPr>
              <w:t>7.90</w:t>
            </w:r>
          </w:p>
        </w:tc>
        <w:tc>
          <w:tcPr>
            <w:tcW w:w="1276" w:type="dxa"/>
            <w:tcBorders>
              <w:top w:val="nil"/>
              <w:left w:val="nil"/>
              <w:bottom w:val="nil"/>
              <w:right w:val="nil"/>
            </w:tcBorders>
            <w:shd w:val="clear" w:color="auto" w:fill="auto"/>
            <w:noWrap/>
          </w:tcPr>
          <w:p w14:paraId="113AAE64" w14:textId="77777777" w:rsidR="00F810C0" w:rsidRPr="00197710" w:rsidRDefault="00F810C0" w:rsidP="00197710">
            <w:pPr>
              <w:rPr>
                <w:rFonts w:eastAsia="DengXian"/>
                <w:color w:val="000000"/>
                <w:sz w:val="22"/>
                <w:szCs w:val="22"/>
              </w:rPr>
            </w:pPr>
          </w:p>
        </w:tc>
        <w:tc>
          <w:tcPr>
            <w:tcW w:w="1276" w:type="dxa"/>
            <w:tcBorders>
              <w:top w:val="nil"/>
              <w:left w:val="nil"/>
              <w:bottom w:val="nil"/>
              <w:right w:val="nil"/>
            </w:tcBorders>
            <w:shd w:val="clear" w:color="auto" w:fill="auto"/>
            <w:noWrap/>
          </w:tcPr>
          <w:p w14:paraId="1340DF70" w14:textId="0854D9C9" w:rsidR="00F810C0" w:rsidRPr="0CFEFBF2" w:rsidRDefault="00DF1717" w:rsidP="00197710">
            <w:pPr>
              <w:rPr>
                <w:rFonts w:eastAsia="DengXian"/>
                <w:color w:val="000000" w:themeColor="text1"/>
                <w:sz w:val="22"/>
                <w:szCs w:val="22"/>
              </w:rPr>
            </w:pPr>
            <w:r>
              <w:rPr>
                <w:rFonts w:eastAsia="DengXian" w:hint="eastAsia"/>
                <w:color w:val="000000" w:themeColor="text1"/>
                <w:sz w:val="22"/>
                <w:szCs w:val="22"/>
              </w:rPr>
              <w:t>2</w:t>
            </w:r>
            <w:r>
              <w:rPr>
                <w:rFonts w:eastAsia="DengXian"/>
                <w:color w:val="000000" w:themeColor="text1"/>
                <w:sz w:val="22"/>
                <w:szCs w:val="22"/>
              </w:rPr>
              <w:t>1.42</w:t>
            </w:r>
          </w:p>
        </w:tc>
      </w:tr>
      <w:tr w:rsidR="00E1102A" w:rsidRPr="00197710" w14:paraId="583814A9" w14:textId="77777777" w:rsidTr="00597683">
        <w:trPr>
          <w:trHeight w:val="300"/>
        </w:trPr>
        <w:tc>
          <w:tcPr>
            <w:tcW w:w="3560" w:type="dxa"/>
            <w:gridSpan w:val="2"/>
            <w:tcBorders>
              <w:top w:val="nil"/>
              <w:left w:val="nil"/>
              <w:right w:val="nil"/>
            </w:tcBorders>
            <w:shd w:val="clear" w:color="auto" w:fill="auto"/>
            <w:noWrap/>
            <w:hideMark/>
          </w:tcPr>
          <w:p w14:paraId="2C6F51B7"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Incremental financial cost </w:t>
            </w:r>
          </w:p>
        </w:tc>
        <w:tc>
          <w:tcPr>
            <w:tcW w:w="1215" w:type="dxa"/>
            <w:tcBorders>
              <w:top w:val="nil"/>
              <w:left w:val="nil"/>
              <w:right w:val="nil"/>
            </w:tcBorders>
            <w:shd w:val="clear" w:color="auto" w:fill="auto"/>
            <w:noWrap/>
            <w:hideMark/>
          </w:tcPr>
          <w:p w14:paraId="459EAE4D" w14:textId="77777777" w:rsidR="00E1102A" w:rsidRPr="00197710" w:rsidRDefault="00E1102A" w:rsidP="00197710">
            <w:pPr>
              <w:rPr>
                <w:rFonts w:eastAsia="DengXian"/>
                <w:color w:val="000000"/>
                <w:sz w:val="22"/>
                <w:szCs w:val="22"/>
              </w:rPr>
            </w:pPr>
          </w:p>
        </w:tc>
        <w:tc>
          <w:tcPr>
            <w:tcW w:w="1134" w:type="dxa"/>
            <w:tcBorders>
              <w:top w:val="nil"/>
              <w:left w:val="nil"/>
              <w:right w:val="nil"/>
            </w:tcBorders>
            <w:shd w:val="clear" w:color="auto" w:fill="auto"/>
            <w:noWrap/>
            <w:hideMark/>
          </w:tcPr>
          <w:p w14:paraId="73918B1F"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Ref</w:t>
            </w:r>
          </w:p>
        </w:tc>
        <w:tc>
          <w:tcPr>
            <w:tcW w:w="1276" w:type="dxa"/>
            <w:tcBorders>
              <w:top w:val="nil"/>
              <w:left w:val="nil"/>
              <w:right w:val="nil"/>
            </w:tcBorders>
            <w:shd w:val="clear" w:color="auto" w:fill="auto"/>
            <w:noWrap/>
            <w:hideMark/>
          </w:tcPr>
          <w:p w14:paraId="31932B95" w14:textId="77777777" w:rsidR="00E1102A" w:rsidRPr="00197710" w:rsidRDefault="00E1102A" w:rsidP="00197710">
            <w:pPr>
              <w:rPr>
                <w:rFonts w:eastAsia="DengXian"/>
                <w:color w:val="000000"/>
                <w:sz w:val="22"/>
                <w:szCs w:val="22"/>
              </w:rPr>
            </w:pPr>
          </w:p>
        </w:tc>
        <w:tc>
          <w:tcPr>
            <w:tcW w:w="1276" w:type="dxa"/>
            <w:tcBorders>
              <w:top w:val="nil"/>
              <w:left w:val="nil"/>
              <w:right w:val="nil"/>
            </w:tcBorders>
            <w:shd w:val="clear" w:color="auto" w:fill="auto"/>
            <w:noWrap/>
            <w:hideMark/>
          </w:tcPr>
          <w:p w14:paraId="75FBCEC3"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1499.75 </w:t>
            </w:r>
          </w:p>
        </w:tc>
      </w:tr>
      <w:tr w:rsidR="00E1102A" w:rsidRPr="00197710" w14:paraId="2CB0A697" w14:textId="77777777" w:rsidTr="00597683">
        <w:trPr>
          <w:trHeight w:val="300"/>
        </w:trPr>
        <w:tc>
          <w:tcPr>
            <w:tcW w:w="2500" w:type="dxa"/>
            <w:tcBorders>
              <w:top w:val="nil"/>
              <w:left w:val="nil"/>
              <w:bottom w:val="single" w:sz="4" w:space="0" w:color="auto"/>
              <w:right w:val="nil"/>
            </w:tcBorders>
            <w:shd w:val="clear" w:color="auto" w:fill="auto"/>
            <w:noWrap/>
            <w:hideMark/>
          </w:tcPr>
          <w:p w14:paraId="7A7D811D"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lastRenderedPageBreak/>
              <w:t>ICER (financial cost)</w:t>
            </w:r>
          </w:p>
        </w:tc>
        <w:tc>
          <w:tcPr>
            <w:tcW w:w="1060" w:type="dxa"/>
            <w:tcBorders>
              <w:top w:val="nil"/>
              <w:left w:val="nil"/>
              <w:bottom w:val="single" w:sz="4" w:space="0" w:color="auto"/>
              <w:right w:val="nil"/>
            </w:tcBorders>
            <w:shd w:val="clear" w:color="auto" w:fill="auto"/>
            <w:noWrap/>
            <w:hideMark/>
          </w:tcPr>
          <w:p w14:paraId="3BCF410D" w14:textId="77777777" w:rsidR="00E1102A" w:rsidRPr="00197710" w:rsidRDefault="00E1102A" w:rsidP="00197710">
            <w:pPr>
              <w:rPr>
                <w:rFonts w:eastAsia="DengXian"/>
                <w:color w:val="000000"/>
                <w:sz w:val="22"/>
                <w:szCs w:val="22"/>
              </w:rPr>
            </w:pPr>
          </w:p>
        </w:tc>
        <w:tc>
          <w:tcPr>
            <w:tcW w:w="1215" w:type="dxa"/>
            <w:tcBorders>
              <w:top w:val="nil"/>
              <w:left w:val="nil"/>
              <w:bottom w:val="single" w:sz="4" w:space="0" w:color="auto"/>
              <w:right w:val="nil"/>
            </w:tcBorders>
            <w:shd w:val="clear" w:color="auto" w:fill="auto"/>
            <w:noWrap/>
            <w:hideMark/>
          </w:tcPr>
          <w:p w14:paraId="18FF71F5" w14:textId="77777777" w:rsidR="00E1102A" w:rsidRPr="00197710" w:rsidRDefault="00E1102A" w:rsidP="00197710">
            <w:pPr>
              <w:rPr>
                <w:sz w:val="22"/>
                <w:szCs w:val="22"/>
              </w:rPr>
            </w:pPr>
          </w:p>
        </w:tc>
        <w:tc>
          <w:tcPr>
            <w:tcW w:w="1134" w:type="dxa"/>
            <w:tcBorders>
              <w:top w:val="nil"/>
              <w:left w:val="nil"/>
              <w:bottom w:val="single" w:sz="4" w:space="0" w:color="auto"/>
              <w:right w:val="nil"/>
            </w:tcBorders>
            <w:shd w:val="clear" w:color="auto" w:fill="auto"/>
            <w:noWrap/>
            <w:hideMark/>
          </w:tcPr>
          <w:p w14:paraId="1AC37C81"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Ref</w:t>
            </w:r>
          </w:p>
        </w:tc>
        <w:tc>
          <w:tcPr>
            <w:tcW w:w="1276" w:type="dxa"/>
            <w:tcBorders>
              <w:top w:val="nil"/>
              <w:left w:val="nil"/>
              <w:bottom w:val="single" w:sz="4" w:space="0" w:color="auto"/>
              <w:right w:val="nil"/>
            </w:tcBorders>
            <w:shd w:val="clear" w:color="auto" w:fill="auto"/>
            <w:noWrap/>
            <w:hideMark/>
          </w:tcPr>
          <w:p w14:paraId="588C12B0" w14:textId="77777777" w:rsidR="00E1102A" w:rsidRPr="00197710" w:rsidRDefault="00E1102A" w:rsidP="00197710">
            <w:pPr>
              <w:rPr>
                <w:rFonts w:eastAsia="DengXian"/>
                <w:color w:val="000000"/>
                <w:sz w:val="22"/>
                <w:szCs w:val="22"/>
              </w:rPr>
            </w:pPr>
          </w:p>
        </w:tc>
        <w:tc>
          <w:tcPr>
            <w:tcW w:w="1276" w:type="dxa"/>
            <w:tcBorders>
              <w:top w:val="nil"/>
              <w:left w:val="nil"/>
              <w:bottom w:val="single" w:sz="4" w:space="0" w:color="auto"/>
              <w:right w:val="nil"/>
            </w:tcBorders>
            <w:shd w:val="clear" w:color="auto" w:fill="auto"/>
            <w:noWrap/>
            <w:hideMark/>
          </w:tcPr>
          <w:p w14:paraId="10B5E220" w14:textId="77777777" w:rsidR="00E1102A" w:rsidRPr="00197710" w:rsidRDefault="00E1102A" w:rsidP="00197710">
            <w:pPr>
              <w:rPr>
                <w:rFonts w:eastAsia="DengXian"/>
                <w:color w:val="000000"/>
                <w:sz w:val="22"/>
                <w:szCs w:val="22"/>
              </w:rPr>
            </w:pPr>
            <w:r w:rsidRPr="0CFEFBF2">
              <w:rPr>
                <w:rFonts w:eastAsia="DengXian"/>
                <w:color w:val="000000" w:themeColor="text1"/>
                <w:sz w:val="22"/>
                <w:szCs w:val="22"/>
              </w:rPr>
              <w:t xml:space="preserve">24.59 </w:t>
            </w:r>
          </w:p>
        </w:tc>
      </w:tr>
    </w:tbl>
    <w:p w14:paraId="0FF3B4D7" w14:textId="77777777" w:rsidR="00E1102A" w:rsidRPr="00197710" w:rsidRDefault="00E1102A" w:rsidP="00197710">
      <w:pPr>
        <w:rPr>
          <w:sz w:val="22"/>
          <w:szCs w:val="22"/>
        </w:rPr>
      </w:pPr>
    </w:p>
    <w:p w14:paraId="136D689C" w14:textId="77777777" w:rsidR="00E1102A" w:rsidRPr="00197710" w:rsidRDefault="00E1102A" w:rsidP="00197710">
      <w:pPr>
        <w:rPr>
          <w:i/>
          <w:sz w:val="22"/>
          <w:szCs w:val="22"/>
        </w:rPr>
      </w:pPr>
      <w:r w:rsidRPr="0CFEFBF2">
        <w:rPr>
          <w:i/>
          <w:sz w:val="22"/>
          <w:szCs w:val="22"/>
        </w:rPr>
        <w:t>Addendum: Breakdown for obtaining the total economic cost and the total financial cost of each intervention arm</w:t>
      </w:r>
    </w:p>
    <w:tbl>
      <w:tblPr>
        <w:tblStyle w:val="a3"/>
        <w:tblW w:w="0" w:type="auto"/>
        <w:tblLook w:val="04A0" w:firstRow="1" w:lastRow="0" w:firstColumn="1" w:lastColumn="0" w:noHBand="0" w:noVBand="1"/>
      </w:tblPr>
      <w:tblGrid>
        <w:gridCol w:w="8296"/>
      </w:tblGrid>
      <w:tr w:rsidR="00E1102A" w:rsidRPr="00197710" w14:paraId="707E6F8C" w14:textId="77777777" w:rsidTr="0CFEFBF2">
        <w:tc>
          <w:tcPr>
            <w:tcW w:w="9010" w:type="dxa"/>
            <w:tcBorders>
              <w:top w:val="single" w:sz="4" w:space="0" w:color="auto"/>
              <w:left w:val="single" w:sz="4" w:space="0" w:color="auto"/>
              <w:bottom w:val="single" w:sz="4" w:space="0" w:color="auto"/>
              <w:right w:val="single" w:sz="4" w:space="0" w:color="auto"/>
            </w:tcBorders>
          </w:tcPr>
          <w:p w14:paraId="6752ED9B" w14:textId="77777777" w:rsidR="00E1102A" w:rsidRPr="00197710" w:rsidRDefault="00E1102A" w:rsidP="00197710">
            <w:pPr>
              <w:rPr>
                <w:rFonts w:ascii="Times New Roman" w:hAnsi="Times New Roman" w:cs="Times New Roman"/>
                <w:sz w:val="22"/>
                <w:szCs w:val="22"/>
              </w:rPr>
            </w:pPr>
          </w:p>
          <w:p w14:paraId="73723157" w14:textId="77777777" w:rsidR="00E1102A" w:rsidRPr="00197710" w:rsidRDefault="00E1102A" w:rsidP="00197710">
            <w:pPr>
              <w:rPr>
                <w:rFonts w:ascii="Times New Roman" w:hAnsi="Times New Roman" w:cs="Times New Roman"/>
                <w:sz w:val="22"/>
                <w:szCs w:val="22"/>
              </w:rPr>
            </w:pPr>
            <w:r w:rsidRPr="0CFEFBF2">
              <w:rPr>
                <w:rFonts w:ascii="Times New Roman" w:hAnsi="Times New Roman" w:cs="Times New Roman"/>
                <w:b/>
                <w:sz w:val="22"/>
                <w:szCs w:val="22"/>
                <w:u w:val="single"/>
              </w:rPr>
              <w:t>Total economic cost</w:t>
            </w:r>
            <w:r w:rsidRPr="0CFEFBF2">
              <w:rPr>
                <w:rFonts w:ascii="Times New Roman" w:hAnsi="Times New Roman" w:cs="Times New Roman"/>
                <w:sz w:val="22"/>
                <w:szCs w:val="22"/>
              </w:rPr>
              <w:t xml:space="preserve"> of an intervention</w:t>
            </w:r>
          </w:p>
          <w:p w14:paraId="7EDBD53B" w14:textId="77777777" w:rsidR="00E1102A" w:rsidRPr="00197710" w:rsidRDefault="00E1102A" w:rsidP="00197710">
            <w:pPr>
              <w:rPr>
                <w:rFonts w:ascii="Times New Roman" w:hAnsi="Times New Roman" w:cs="Times New Roman"/>
                <w:sz w:val="22"/>
                <w:szCs w:val="22"/>
              </w:rPr>
            </w:pPr>
            <w:r w:rsidRPr="0CFEFBF2">
              <w:rPr>
                <w:rFonts w:ascii="Times New Roman" w:hAnsi="Times New Roman" w:cs="Times New Roman"/>
                <w:sz w:val="22"/>
                <w:szCs w:val="22"/>
              </w:rPr>
              <w:t>= Start-up costs + Fixed costs + Variable costs</w:t>
            </w:r>
          </w:p>
          <w:p w14:paraId="529037BC" w14:textId="77777777" w:rsidR="00E1102A" w:rsidRPr="00197710" w:rsidRDefault="00E1102A" w:rsidP="00197710">
            <w:pPr>
              <w:rPr>
                <w:rFonts w:ascii="Times New Roman" w:hAnsi="Times New Roman" w:cs="Times New Roman"/>
                <w:sz w:val="22"/>
                <w:szCs w:val="22"/>
              </w:rPr>
            </w:pPr>
          </w:p>
          <w:p w14:paraId="01B71885" w14:textId="77777777" w:rsidR="00E1102A" w:rsidRPr="00197710" w:rsidRDefault="00E1102A" w:rsidP="00197710">
            <w:pPr>
              <w:rPr>
                <w:rFonts w:ascii="Times New Roman" w:hAnsi="Times New Roman" w:cs="Times New Roman"/>
                <w:sz w:val="22"/>
                <w:szCs w:val="22"/>
              </w:rPr>
            </w:pPr>
            <w:r w:rsidRPr="0CFEFBF2">
              <w:rPr>
                <w:rFonts w:ascii="Times New Roman" w:hAnsi="Times New Roman" w:cs="Times New Roman"/>
                <w:b/>
                <w:sz w:val="22"/>
                <w:szCs w:val="22"/>
                <w:u w:val="single"/>
              </w:rPr>
              <w:t>Total financial cost</w:t>
            </w:r>
            <w:r w:rsidRPr="0CFEFBF2">
              <w:rPr>
                <w:rFonts w:ascii="Times New Roman" w:hAnsi="Times New Roman" w:cs="Times New Roman"/>
                <w:sz w:val="22"/>
                <w:szCs w:val="22"/>
              </w:rPr>
              <w:t xml:space="preserve"> of an intervention </w:t>
            </w:r>
          </w:p>
          <w:p w14:paraId="68344509" w14:textId="77777777" w:rsidR="00E1102A" w:rsidRPr="00197710" w:rsidRDefault="00E1102A" w:rsidP="00197710">
            <w:pPr>
              <w:rPr>
                <w:rFonts w:ascii="Times New Roman" w:hAnsi="Times New Roman" w:cs="Times New Roman"/>
                <w:sz w:val="22"/>
                <w:szCs w:val="22"/>
              </w:rPr>
            </w:pPr>
            <w:r w:rsidRPr="0CFEFBF2">
              <w:rPr>
                <w:rFonts w:ascii="Times New Roman" w:hAnsi="Times New Roman" w:cs="Times New Roman"/>
                <w:sz w:val="22"/>
                <w:szCs w:val="22"/>
              </w:rPr>
              <w:t>= Start-up costs + Fixed costs + Variable costs – Contributions</w:t>
            </w:r>
          </w:p>
          <w:p w14:paraId="3849563F" w14:textId="77777777" w:rsidR="00E1102A" w:rsidRPr="00197710" w:rsidRDefault="00E1102A" w:rsidP="00197710">
            <w:pPr>
              <w:rPr>
                <w:rFonts w:ascii="Times New Roman" w:hAnsi="Times New Roman" w:cs="Times New Roman"/>
                <w:sz w:val="22"/>
                <w:szCs w:val="22"/>
              </w:rPr>
            </w:pPr>
          </w:p>
        </w:tc>
      </w:tr>
    </w:tbl>
    <w:p w14:paraId="3D8A44B2" w14:textId="77777777" w:rsidR="00E1102A" w:rsidRPr="00197710" w:rsidRDefault="00E1102A" w:rsidP="00197710">
      <w:pPr>
        <w:rPr>
          <w:b/>
          <w:i/>
          <w:sz w:val="22"/>
          <w:szCs w:val="22"/>
        </w:rPr>
      </w:pPr>
    </w:p>
    <w:p w14:paraId="202B73F9" w14:textId="5C4AD027" w:rsidR="00322D49" w:rsidRPr="00BC25E8" w:rsidRDefault="00610257" w:rsidP="0CFEFBF2">
      <w:pPr>
        <w:pStyle w:val="a5"/>
        <w:rPr>
          <w:rFonts w:eastAsia="Times New Roman"/>
          <w:b/>
          <w:i/>
          <w:color w:val="auto"/>
          <w:sz w:val="22"/>
          <w:szCs w:val="22"/>
        </w:rPr>
      </w:pPr>
      <w:bookmarkStart w:id="3" w:name="_Toc334510433"/>
      <w:r w:rsidRPr="0CFEFBF2">
        <w:rPr>
          <w:rFonts w:eastAsia="Times New Roman" w:hint="eastAsia"/>
          <w:b/>
          <w:i/>
          <w:color w:val="auto"/>
          <w:sz w:val="22"/>
          <w:szCs w:val="22"/>
        </w:rPr>
        <w:t>S</w:t>
      </w:r>
      <w:r w:rsidRPr="0CFEFBF2">
        <w:rPr>
          <w:rFonts w:eastAsia="Times New Roman"/>
          <w:b/>
          <w:i/>
          <w:color w:val="auto"/>
          <w:sz w:val="22"/>
          <w:szCs w:val="22"/>
        </w:rPr>
        <w:t>upplementary file 3: Study protocol</w:t>
      </w:r>
      <w:r w:rsidR="0CFEFBF2" w:rsidRPr="0CFEFBF2">
        <w:rPr>
          <w:rFonts w:eastAsia="Times New Roman"/>
          <w:b/>
          <w:bCs/>
          <w:i/>
          <w:iCs/>
          <w:color w:val="auto"/>
          <w:sz w:val="22"/>
          <w:szCs w:val="22"/>
        </w:rPr>
        <w:t xml:space="preserve">: </w:t>
      </w:r>
      <w:r w:rsidR="00322D49" w:rsidRPr="0CFEFBF2">
        <w:rPr>
          <w:rFonts w:eastAsia="Times New Roman"/>
          <w:b/>
          <w:i/>
          <w:color w:val="auto"/>
          <w:sz w:val="22"/>
          <w:szCs w:val="22"/>
        </w:rPr>
        <w:t>Pay-it-forward enhanced uptake of Mycoplasma pneumoniae testing among pediatric outpatients in China: a pragmatic cluster randomized controlled trial</w:t>
      </w:r>
      <w:bookmarkEnd w:id="3"/>
      <w:r w:rsidR="00322D49" w:rsidRPr="0CFEFBF2">
        <w:rPr>
          <w:rFonts w:eastAsia="Times New Roman"/>
          <w:b/>
          <w:i/>
          <w:color w:val="auto"/>
          <w:sz w:val="22"/>
          <w:szCs w:val="22"/>
        </w:rPr>
        <w:t xml:space="preserve"> </w:t>
      </w:r>
    </w:p>
    <w:p w14:paraId="05AB12DD" w14:textId="77777777" w:rsidR="00DA2453" w:rsidRPr="00322D49" w:rsidRDefault="00DA2453" w:rsidP="00DA2453">
      <w:pPr>
        <w:rPr>
          <w:sz w:val="22"/>
          <w:szCs w:val="22"/>
        </w:rPr>
      </w:pPr>
    </w:p>
    <w:p w14:paraId="0EFF5240" w14:textId="77777777" w:rsidR="00DA2453" w:rsidRPr="00322D49" w:rsidRDefault="00DA2453" w:rsidP="00DA2453">
      <w:pPr>
        <w:rPr>
          <w:b/>
          <w:sz w:val="22"/>
          <w:szCs w:val="22"/>
        </w:rPr>
      </w:pPr>
      <w:r w:rsidRPr="0CFEFBF2">
        <w:rPr>
          <w:b/>
          <w:sz w:val="22"/>
          <w:szCs w:val="22"/>
        </w:rPr>
        <w:t>Background</w:t>
      </w:r>
    </w:p>
    <w:p w14:paraId="740309EF" w14:textId="4227A7B5" w:rsidR="00DA2453" w:rsidRPr="00DA2453" w:rsidRDefault="00DA2453" w:rsidP="00DA2453">
      <w:pPr>
        <w:rPr>
          <w:sz w:val="22"/>
          <w:szCs w:val="22"/>
        </w:rPr>
      </w:pPr>
      <w:r w:rsidRPr="0CFEFBF2">
        <w:rPr>
          <w:i/>
          <w:sz w:val="22"/>
          <w:szCs w:val="22"/>
        </w:rPr>
        <w:t>Mycoplasma</w:t>
      </w:r>
      <w:r w:rsidRPr="0CFEFBF2">
        <w:rPr>
          <w:sz w:val="22"/>
          <w:szCs w:val="22"/>
        </w:rPr>
        <w:t xml:space="preserve"> pneumonia </w:t>
      </w:r>
      <w:r w:rsidR="0CFEFBF2" w:rsidRPr="0CFEFBF2">
        <w:rPr>
          <w:sz w:val="22"/>
          <w:szCs w:val="22"/>
        </w:rPr>
        <w:t>(</w:t>
      </w:r>
      <w:r w:rsidR="0CFEFBF2" w:rsidRPr="0CFEFBF2">
        <w:rPr>
          <w:i/>
          <w:iCs/>
          <w:sz w:val="22"/>
          <w:szCs w:val="22"/>
        </w:rPr>
        <w:t xml:space="preserve">M. pneumonia) </w:t>
      </w:r>
      <w:r w:rsidRPr="0CFEFBF2">
        <w:rPr>
          <w:i/>
          <w:sz w:val="22"/>
          <w:szCs w:val="22"/>
        </w:rPr>
        <w:t>is</w:t>
      </w:r>
      <w:r w:rsidRPr="0CFEFBF2">
        <w:rPr>
          <w:sz w:val="22"/>
          <w:szCs w:val="22"/>
        </w:rPr>
        <w:t xml:space="preserve"> a common infectious agent primarily transmitted through droplet transmission, affecting individuals of all ages, with a higher prevalence seen in children and adolescents</w:t>
      </w:r>
      <w:r w:rsidRPr="0CFEFBF2">
        <w:rPr>
          <w:sz w:val="22"/>
          <w:szCs w:val="22"/>
          <w:vertAlign w:val="superscript"/>
        </w:rPr>
        <w:t>1</w:t>
      </w:r>
      <w:r w:rsidR="0CFEFBF2" w:rsidRPr="0CFEFBF2">
        <w:rPr>
          <w:sz w:val="22"/>
          <w:szCs w:val="22"/>
          <w:vertAlign w:val="superscript"/>
        </w:rPr>
        <w:t>,2</w:t>
      </w:r>
      <w:r w:rsidRPr="0CFEFBF2">
        <w:rPr>
          <w:sz w:val="22"/>
          <w:szCs w:val="22"/>
        </w:rPr>
        <w:t xml:space="preserve">. A study in China revealed a 9.5% prevalence of </w:t>
      </w:r>
      <w:r w:rsidR="0CFEFBF2" w:rsidRPr="0CFEFBF2">
        <w:rPr>
          <w:i/>
          <w:iCs/>
          <w:sz w:val="22"/>
          <w:szCs w:val="22"/>
        </w:rPr>
        <w:t>M. pneumonia</w:t>
      </w:r>
      <w:r w:rsidR="0CFEFBF2" w:rsidRPr="0CFEFBF2">
        <w:rPr>
          <w:sz w:val="22"/>
          <w:szCs w:val="22"/>
        </w:rPr>
        <w:t xml:space="preserve"> </w:t>
      </w:r>
      <w:r w:rsidRPr="0CFEFBF2">
        <w:rPr>
          <w:sz w:val="22"/>
          <w:szCs w:val="22"/>
        </w:rPr>
        <w:t>among children under 5 years of age</w:t>
      </w:r>
      <w:r w:rsidRPr="0CFEFBF2">
        <w:rPr>
          <w:sz w:val="22"/>
          <w:szCs w:val="22"/>
          <w:vertAlign w:val="superscript"/>
        </w:rPr>
        <w:t>3</w:t>
      </w:r>
      <w:r w:rsidRPr="0CFEFBF2">
        <w:rPr>
          <w:sz w:val="22"/>
          <w:szCs w:val="22"/>
        </w:rPr>
        <w:t xml:space="preserve">. Notably, approximately 10% of children infected with </w:t>
      </w:r>
      <w:r w:rsidR="0CFEFBF2" w:rsidRPr="0CFEFBF2">
        <w:rPr>
          <w:i/>
          <w:iCs/>
          <w:sz w:val="22"/>
          <w:szCs w:val="22"/>
        </w:rPr>
        <w:t>M. pneumonia</w:t>
      </w:r>
      <w:r w:rsidRPr="0CFEFBF2">
        <w:rPr>
          <w:sz w:val="22"/>
          <w:szCs w:val="22"/>
        </w:rPr>
        <w:t xml:space="preserve"> may develop pneumonia</w:t>
      </w:r>
      <w:r w:rsidRPr="0CFEFBF2">
        <w:rPr>
          <w:sz w:val="22"/>
          <w:szCs w:val="22"/>
          <w:vertAlign w:val="superscript"/>
        </w:rPr>
        <w:t>4</w:t>
      </w:r>
      <w:r w:rsidRPr="0CFEFBF2">
        <w:rPr>
          <w:sz w:val="22"/>
          <w:szCs w:val="22"/>
        </w:rPr>
        <w:t xml:space="preserve">. Despite significant advances in prevention and treatment, morbidity and mortality rates associated with </w:t>
      </w:r>
      <w:r w:rsidR="0CFEFBF2" w:rsidRPr="0CFEFBF2">
        <w:rPr>
          <w:i/>
          <w:iCs/>
          <w:sz w:val="22"/>
          <w:szCs w:val="22"/>
        </w:rPr>
        <w:t>M. pneumonia</w:t>
      </w:r>
      <w:r w:rsidRPr="0CFEFBF2">
        <w:rPr>
          <w:sz w:val="22"/>
          <w:szCs w:val="22"/>
        </w:rPr>
        <w:t xml:space="preserve"> in school-aged children remain elevated</w:t>
      </w:r>
      <w:r w:rsidRPr="0CFEFBF2">
        <w:rPr>
          <w:sz w:val="22"/>
          <w:szCs w:val="22"/>
          <w:vertAlign w:val="superscript"/>
        </w:rPr>
        <w:t>5</w:t>
      </w:r>
      <w:r w:rsidRPr="0CFEFBF2">
        <w:rPr>
          <w:sz w:val="22"/>
          <w:szCs w:val="22"/>
        </w:rPr>
        <w:t xml:space="preserve">. Previous studies indicate </w:t>
      </w:r>
      <w:r w:rsidR="0CFEFBF2" w:rsidRPr="0CFEFBF2">
        <w:rPr>
          <w:i/>
          <w:iCs/>
          <w:sz w:val="22"/>
          <w:szCs w:val="22"/>
        </w:rPr>
        <w:t>M. pneumonia</w:t>
      </w:r>
      <w:r w:rsidRPr="0CFEFBF2">
        <w:rPr>
          <w:sz w:val="22"/>
          <w:szCs w:val="22"/>
        </w:rPr>
        <w:t xml:space="preserve"> is responsible for about 40% of community-acquired pneumonia cases in children over 5 years</w:t>
      </w:r>
      <w:r w:rsidRPr="0CFEFBF2">
        <w:rPr>
          <w:sz w:val="22"/>
          <w:szCs w:val="22"/>
          <w:vertAlign w:val="superscript"/>
        </w:rPr>
        <w:t>6</w:t>
      </w:r>
      <w:r w:rsidRPr="0CFEFBF2">
        <w:rPr>
          <w:sz w:val="22"/>
          <w:szCs w:val="22"/>
        </w:rPr>
        <w:t xml:space="preserve">. A recent systematic review conducted in China revealed that </w:t>
      </w:r>
      <w:r w:rsidR="0CFEFBF2" w:rsidRPr="0CFEFBF2">
        <w:rPr>
          <w:sz w:val="22"/>
          <w:szCs w:val="22"/>
        </w:rPr>
        <w:t>the</w:t>
      </w:r>
      <w:r w:rsidRPr="0CFEFBF2">
        <w:rPr>
          <w:sz w:val="22"/>
          <w:szCs w:val="22"/>
        </w:rPr>
        <w:t xml:space="preserve"> infection accounted for 19.16% of community-acquired pneumonia cases in Chinese children</w:t>
      </w:r>
      <w:r w:rsidRPr="0CFEFBF2">
        <w:rPr>
          <w:sz w:val="22"/>
          <w:szCs w:val="22"/>
          <w:vertAlign w:val="superscript"/>
        </w:rPr>
        <w:t>7</w:t>
      </w:r>
      <w:r w:rsidRPr="0CFEFBF2">
        <w:rPr>
          <w:sz w:val="22"/>
          <w:szCs w:val="22"/>
        </w:rPr>
        <w:t xml:space="preserve">. According to incomplete statistics, nearly 1 million children worldwide succumb to </w:t>
      </w:r>
      <w:r w:rsidR="0CFEFBF2" w:rsidRPr="0CFEFBF2">
        <w:rPr>
          <w:i/>
          <w:iCs/>
          <w:sz w:val="22"/>
          <w:szCs w:val="22"/>
        </w:rPr>
        <w:t>M. pneumonia</w:t>
      </w:r>
      <w:r w:rsidRPr="0CFEFBF2">
        <w:rPr>
          <w:sz w:val="22"/>
          <w:szCs w:val="22"/>
        </w:rPr>
        <w:t xml:space="preserve"> annually, with a higher mortality rate observed in those under 5 years</w:t>
      </w:r>
      <w:r w:rsidRPr="0CFEFBF2">
        <w:rPr>
          <w:sz w:val="22"/>
          <w:szCs w:val="22"/>
          <w:vertAlign w:val="superscript"/>
        </w:rPr>
        <w:t>4</w:t>
      </w:r>
      <w:r w:rsidRPr="0CFEFBF2">
        <w:rPr>
          <w:sz w:val="22"/>
          <w:szCs w:val="22"/>
        </w:rPr>
        <w:t>. Mycoplasma infection has become a major risk factor affecting the health of children.</w:t>
      </w:r>
    </w:p>
    <w:p w14:paraId="33A107DE" w14:textId="286E616D" w:rsidR="00DA2453" w:rsidRPr="00DA2453" w:rsidRDefault="00DA2453" w:rsidP="00DA2453">
      <w:pPr>
        <w:rPr>
          <w:sz w:val="22"/>
          <w:szCs w:val="22"/>
        </w:rPr>
      </w:pPr>
      <w:r w:rsidRPr="0CFEFBF2">
        <w:rPr>
          <w:sz w:val="22"/>
          <w:szCs w:val="22"/>
        </w:rPr>
        <w:t>The early symptoms of Mycoplasma infection are subtle, often presenting as asymptomatic or mild in the majority of children</w:t>
      </w:r>
      <w:r w:rsidRPr="0CFEFBF2">
        <w:rPr>
          <w:sz w:val="22"/>
          <w:szCs w:val="22"/>
          <w:vertAlign w:val="superscript"/>
        </w:rPr>
        <w:t>8</w:t>
      </w:r>
      <w:r w:rsidRPr="0CFEFBF2">
        <w:rPr>
          <w:sz w:val="22"/>
          <w:szCs w:val="22"/>
        </w:rPr>
        <w:t>. These clinical manifestations lack specificity, making them easily confused with common illnesses such as influenza and viral pneumonia</w:t>
      </w:r>
      <w:r w:rsidRPr="0CFEFBF2">
        <w:rPr>
          <w:sz w:val="22"/>
          <w:szCs w:val="22"/>
          <w:vertAlign w:val="superscript"/>
        </w:rPr>
        <w:t>8</w:t>
      </w:r>
      <w:r w:rsidRPr="0CFEFBF2">
        <w:rPr>
          <w:sz w:val="22"/>
          <w:szCs w:val="22"/>
        </w:rPr>
        <w:t xml:space="preserve">. Consequently, early detection is frequently overlooked. However, clinical underdiagnosis can lead to disease exacerbation, and some children may progress to severe </w:t>
      </w:r>
      <w:r w:rsidR="0CFEFBF2" w:rsidRPr="0CFEFBF2">
        <w:rPr>
          <w:sz w:val="22"/>
          <w:szCs w:val="22"/>
        </w:rPr>
        <w:t>infection.</w:t>
      </w:r>
      <w:r w:rsidRPr="0CFEFBF2">
        <w:rPr>
          <w:sz w:val="22"/>
          <w:szCs w:val="22"/>
        </w:rPr>
        <w:t xml:space="preserve"> Studies suggest that approximately 25% of children with severe cases require transfer to the intensive care unit for further treatment</w:t>
      </w:r>
      <w:r w:rsidRPr="0CFEFBF2">
        <w:rPr>
          <w:sz w:val="22"/>
          <w:szCs w:val="22"/>
          <w:vertAlign w:val="superscript"/>
        </w:rPr>
        <w:t>9</w:t>
      </w:r>
      <w:r w:rsidRPr="0CFEFBF2">
        <w:rPr>
          <w:sz w:val="22"/>
          <w:szCs w:val="22"/>
        </w:rPr>
        <w:t xml:space="preserve">. Severe </w:t>
      </w:r>
      <w:r w:rsidR="0CFEFBF2" w:rsidRPr="0CFEFBF2">
        <w:rPr>
          <w:sz w:val="22"/>
          <w:szCs w:val="22"/>
        </w:rPr>
        <w:t>infection</w:t>
      </w:r>
      <w:r w:rsidRPr="0CFEFBF2">
        <w:rPr>
          <w:sz w:val="22"/>
          <w:szCs w:val="22"/>
        </w:rPr>
        <w:t xml:space="preserve"> not only induces significant lung damage but also affects multiple systems beyond the lungs, including the central nervous, cardiovascular, digestive, genitourinary, and hematological systems</w:t>
      </w:r>
      <w:r w:rsidRPr="0CFEFBF2">
        <w:rPr>
          <w:sz w:val="22"/>
          <w:szCs w:val="22"/>
          <w:vertAlign w:val="superscript"/>
        </w:rPr>
        <w:t>10</w:t>
      </w:r>
      <w:r w:rsidRPr="0CFEFBF2">
        <w:rPr>
          <w:sz w:val="22"/>
          <w:szCs w:val="22"/>
        </w:rPr>
        <w:t>. This involvement may result in serious complications, posing a potential threat to the patient’s life. In recent years, there has been an increase in the number of severe Mycoplasma pneumonia cases, posing a substantial threat to children’s growth and development and adversely impacting the burden on families and society</w:t>
      </w:r>
      <w:r w:rsidRPr="0CFEFBF2">
        <w:rPr>
          <w:sz w:val="22"/>
          <w:szCs w:val="22"/>
          <w:vertAlign w:val="superscript"/>
        </w:rPr>
        <w:t>11</w:t>
      </w:r>
      <w:r w:rsidRPr="0CFEFBF2">
        <w:rPr>
          <w:sz w:val="22"/>
          <w:szCs w:val="22"/>
        </w:rPr>
        <w:t>.</w:t>
      </w:r>
    </w:p>
    <w:p w14:paraId="43B794CF" w14:textId="7F2F5726" w:rsidR="00DA2453" w:rsidRPr="00DA2453" w:rsidRDefault="00DA2453" w:rsidP="00DA2453">
      <w:pPr>
        <w:rPr>
          <w:sz w:val="22"/>
          <w:szCs w:val="22"/>
        </w:rPr>
      </w:pPr>
      <w:r w:rsidRPr="0CFEFBF2">
        <w:rPr>
          <w:sz w:val="22"/>
          <w:szCs w:val="22"/>
        </w:rPr>
        <w:lastRenderedPageBreak/>
        <w:t>Pay-it-forward, a social innovation approach, has demonstrated substantial efficacy in improving testing for sexually transmitted infections (STIs). This intervention provides individuals with the opportunity to undergo subsidized STI testing and subsequently encourages them to donate to promote STI testing among their peers</w:t>
      </w:r>
      <w:r w:rsidRPr="0CFEFBF2">
        <w:rPr>
          <w:sz w:val="22"/>
          <w:szCs w:val="22"/>
          <w:vertAlign w:val="superscript"/>
        </w:rPr>
        <w:t>12,13</w:t>
      </w:r>
      <w:r w:rsidR="0CFEFBF2" w:rsidRPr="0CFEFBF2">
        <w:rPr>
          <w:sz w:val="22"/>
          <w:szCs w:val="22"/>
        </w:rPr>
        <w:t>.</w:t>
      </w:r>
      <w:r w:rsidRPr="0CFEFBF2">
        <w:rPr>
          <w:sz w:val="22"/>
          <w:szCs w:val="22"/>
        </w:rPr>
        <w:t xml:space="preserve"> Previous studies have shown that pay-it-forward incentives can significantly enhance hepatitis B and hepatitis C testing uptake, particularly among men who have sex with men (MSM)</w:t>
      </w:r>
      <w:r w:rsidRPr="0CFEFBF2">
        <w:rPr>
          <w:sz w:val="22"/>
          <w:szCs w:val="22"/>
          <w:vertAlign w:val="superscript"/>
        </w:rPr>
        <w:t>14</w:t>
      </w:r>
      <w:r w:rsidRPr="0CFEFBF2">
        <w:rPr>
          <w:sz w:val="22"/>
          <w:szCs w:val="22"/>
        </w:rPr>
        <w:t>. In Beijing and Guangzhou, pay-it-forward incentives led to a 38.4% increase in gonorrhea and Chlamydia trachomatis testing uptake among MSM compared to traditional outpatient fee-based STI testing</w:t>
      </w:r>
      <w:r w:rsidRPr="0CFEFBF2">
        <w:rPr>
          <w:sz w:val="22"/>
          <w:szCs w:val="22"/>
          <w:vertAlign w:val="superscript"/>
        </w:rPr>
        <w:t>15</w:t>
      </w:r>
      <w:r w:rsidRPr="0CFEFBF2">
        <w:rPr>
          <w:sz w:val="22"/>
          <w:szCs w:val="22"/>
        </w:rPr>
        <w:t>. Additionally, in a study conducted in western China, HPV vaccination rates among adolescent girls aged 15-18 years were 16% higher in the pay-it-forward group than in the standard-of-care group</w:t>
      </w:r>
      <w:r w:rsidRPr="0CFEFBF2">
        <w:rPr>
          <w:sz w:val="22"/>
          <w:szCs w:val="22"/>
          <w:vertAlign w:val="superscript"/>
        </w:rPr>
        <w:t>16</w:t>
      </w:r>
      <w:r w:rsidRPr="0CFEFBF2">
        <w:rPr>
          <w:sz w:val="22"/>
          <w:szCs w:val="22"/>
        </w:rPr>
        <w:t xml:space="preserve">. Moreover, </w:t>
      </w:r>
      <w:r w:rsidR="0CFEFBF2" w:rsidRPr="0CFEFBF2">
        <w:rPr>
          <w:sz w:val="22"/>
          <w:szCs w:val="22"/>
        </w:rPr>
        <w:t>most</w:t>
      </w:r>
      <w:r w:rsidRPr="0CFEFBF2">
        <w:rPr>
          <w:sz w:val="22"/>
          <w:szCs w:val="22"/>
        </w:rPr>
        <w:t xml:space="preserve"> participants donated to the testing or vaccination of others, showcasing strong </w:t>
      </w:r>
      <w:r w:rsidR="001F665D" w:rsidRPr="0CFEFBF2">
        <w:rPr>
          <w:sz w:val="22"/>
          <w:szCs w:val="22"/>
        </w:rPr>
        <w:t>sustainability,</w:t>
      </w:r>
      <w:r w:rsidRPr="0CFEFBF2">
        <w:rPr>
          <w:sz w:val="22"/>
          <w:szCs w:val="22"/>
        </w:rPr>
        <w:t xml:space="preserve"> and increasing public trust in community health services</w:t>
      </w:r>
      <w:r w:rsidRPr="0CFEFBF2">
        <w:rPr>
          <w:sz w:val="22"/>
          <w:szCs w:val="22"/>
          <w:vertAlign w:val="superscript"/>
        </w:rPr>
        <w:t>17</w:t>
      </w:r>
      <w:r w:rsidRPr="0CFEFBF2">
        <w:rPr>
          <w:sz w:val="22"/>
          <w:szCs w:val="22"/>
        </w:rPr>
        <w:t>.</w:t>
      </w:r>
    </w:p>
    <w:p w14:paraId="74D495C6" w14:textId="77777777" w:rsidR="00DA2453" w:rsidRPr="00DA2453" w:rsidRDefault="00DA2453" w:rsidP="00DA2453">
      <w:pPr>
        <w:rPr>
          <w:b/>
          <w:sz w:val="22"/>
          <w:szCs w:val="22"/>
        </w:rPr>
      </w:pPr>
    </w:p>
    <w:p w14:paraId="1A82BF33" w14:textId="77777777" w:rsidR="00DA2453" w:rsidRPr="00DA2453" w:rsidRDefault="00DA2453" w:rsidP="00DA2453">
      <w:pPr>
        <w:rPr>
          <w:b/>
          <w:sz w:val="22"/>
          <w:szCs w:val="22"/>
        </w:rPr>
      </w:pPr>
      <w:r w:rsidRPr="0CFEFBF2">
        <w:rPr>
          <w:b/>
          <w:sz w:val="22"/>
          <w:szCs w:val="22"/>
        </w:rPr>
        <w:t>Study Purpose</w:t>
      </w:r>
    </w:p>
    <w:p w14:paraId="24EDBB28" w14:textId="77777777" w:rsidR="00DA2453" w:rsidRPr="00DA2453" w:rsidRDefault="00DA2453" w:rsidP="00DA2453">
      <w:pPr>
        <w:rPr>
          <w:sz w:val="22"/>
          <w:szCs w:val="22"/>
        </w:rPr>
      </w:pPr>
      <w:r w:rsidRPr="0CFEFBF2">
        <w:rPr>
          <w:sz w:val="22"/>
          <w:szCs w:val="22"/>
        </w:rPr>
        <w:t>This study aims to elevate the MP testing rate among children in Jiangsu Province through the implementation of pay-it-forward incentives. The specific objectives of the study are as follows: (1) to evaluate the feasibility of introducing pay-it-forward incentives to enhance the willingness of guardians to test their children for MP in Jiangsu Province; (2) to assess whether pay-forward incentives can stimulate increased parental participation in guiding their children for MP testing compared to a self-pay testing strategy; and (3) to analyze the donation rate and average donation amount of participants under pay-forward incentives.</w:t>
      </w:r>
    </w:p>
    <w:p w14:paraId="4F31A6C7" w14:textId="77777777" w:rsidR="00DA2453" w:rsidRPr="00DA2453" w:rsidRDefault="00DA2453" w:rsidP="00DA2453">
      <w:pPr>
        <w:rPr>
          <w:sz w:val="22"/>
          <w:szCs w:val="22"/>
        </w:rPr>
      </w:pPr>
    </w:p>
    <w:p w14:paraId="3ED7F171" w14:textId="77777777" w:rsidR="00DA2453" w:rsidRPr="00DA2453" w:rsidRDefault="00DA2453" w:rsidP="00DA2453">
      <w:pPr>
        <w:rPr>
          <w:b/>
          <w:sz w:val="22"/>
          <w:szCs w:val="22"/>
        </w:rPr>
      </w:pPr>
      <w:r w:rsidRPr="0CFEFBF2">
        <w:rPr>
          <w:b/>
          <w:sz w:val="22"/>
          <w:szCs w:val="22"/>
        </w:rPr>
        <w:t>Expected Results</w:t>
      </w:r>
    </w:p>
    <w:p w14:paraId="7D564B06" w14:textId="77777777" w:rsidR="00DA2453" w:rsidRPr="00DA2453" w:rsidRDefault="00DA2453" w:rsidP="00DA2453">
      <w:pPr>
        <w:rPr>
          <w:sz w:val="22"/>
          <w:szCs w:val="22"/>
        </w:rPr>
      </w:pPr>
      <w:r w:rsidRPr="0CFEFBF2">
        <w:rPr>
          <w:sz w:val="22"/>
          <w:szCs w:val="22"/>
        </w:rPr>
        <w:t>Drawing on the collective research expertise of our team, we anticipate that the pay-it-forward incentive group will yield the following outcomes: (1) a significant increase in the MP testing rate among Chinese children, with an estimated 20% higher rate than the standard-of-care group; (2) the donation rate of 50% or more among participants in the pay-it-forward incentive group; (3) donations generated through the pay-it-forward incentive program covering more than 30% of the costs associated with conducting MP testing.</w:t>
      </w:r>
    </w:p>
    <w:p w14:paraId="72891040" w14:textId="77777777" w:rsidR="00DA2453" w:rsidRPr="00DA2453" w:rsidRDefault="00DA2453" w:rsidP="00DA2453">
      <w:pPr>
        <w:rPr>
          <w:sz w:val="22"/>
          <w:szCs w:val="22"/>
        </w:rPr>
      </w:pPr>
    </w:p>
    <w:p w14:paraId="0F4156D2" w14:textId="77777777" w:rsidR="00DA2453" w:rsidRPr="00DA2453" w:rsidRDefault="00DA2453" w:rsidP="00DA2453">
      <w:pPr>
        <w:rPr>
          <w:b/>
          <w:sz w:val="22"/>
          <w:szCs w:val="22"/>
        </w:rPr>
      </w:pPr>
      <w:r w:rsidRPr="0CFEFBF2">
        <w:rPr>
          <w:b/>
          <w:sz w:val="22"/>
          <w:szCs w:val="22"/>
        </w:rPr>
        <w:t>Methods</w:t>
      </w:r>
    </w:p>
    <w:p w14:paraId="58AC7B99" w14:textId="77777777" w:rsidR="00DA2453" w:rsidRPr="00DA2453" w:rsidRDefault="00DA2453" w:rsidP="00DA2453">
      <w:pPr>
        <w:rPr>
          <w:i/>
          <w:sz w:val="22"/>
          <w:szCs w:val="22"/>
        </w:rPr>
      </w:pPr>
      <w:r w:rsidRPr="0CFEFBF2">
        <w:rPr>
          <w:i/>
          <w:sz w:val="22"/>
          <w:szCs w:val="22"/>
        </w:rPr>
        <w:t>Study site</w:t>
      </w:r>
    </w:p>
    <w:p w14:paraId="6C0E7718" w14:textId="77777777" w:rsidR="00DA2453" w:rsidRPr="00DA2453" w:rsidRDefault="00DA2453" w:rsidP="00DA2453">
      <w:pPr>
        <w:rPr>
          <w:sz w:val="22"/>
          <w:szCs w:val="22"/>
        </w:rPr>
      </w:pPr>
      <w:r w:rsidRPr="0CFEFBF2">
        <w:rPr>
          <w:sz w:val="22"/>
          <w:szCs w:val="22"/>
        </w:rPr>
        <w:t>The study will be conducted in the city of Wuxi, Jiangsu Province, China, at two purposively selected public hospitals.</w:t>
      </w:r>
    </w:p>
    <w:p w14:paraId="49F4C101" w14:textId="5B5533DF" w:rsidR="0CFEFBF2" w:rsidRDefault="0CFEFBF2" w:rsidP="0CFEFBF2">
      <w:pPr>
        <w:rPr>
          <w:sz w:val="22"/>
          <w:szCs w:val="22"/>
        </w:rPr>
      </w:pPr>
    </w:p>
    <w:p w14:paraId="01FBBDBF" w14:textId="77777777" w:rsidR="00DA2453" w:rsidRPr="00DA2453" w:rsidRDefault="00DA2453" w:rsidP="00DA2453">
      <w:pPr>
        <w:rPr>
          <w:i/>
          <w:sz w:val="22"/>
          <w:szCs w:val="22"/>
        </w:rPr>
      </w:pPr>
      <w:r w:rsidRPr="0CFEFBF2">
        <w:rPr>
          <w:i/>
          <w:sz w:val="22"/>
          <w:szCs w:val="22"/>
        </w:rPr>
        <w:t>Sample size calculation</w:t>
      </w:r>
    </w:p>
    <w:p w14:paraId="31AAFCC3" w14:textId="77777777" w:rsidR="00DA2453" w:rsidRPr="00DA2453" w:rsidRDefault="00DA2453" w:rsidP="00DA2453">
      <w:pPr>
        <w:rPr>
          <w:sz w:val="22"/>
          <w:szCs w:val="22"/>
        </w:rPr>
      </w:pPr>
      <w:r w:rsidRPr="0CFEFBF2">
        <w:rPr>
          <w:sz w:val="22"/>
          <w:szCs w:val="22"/>
        </w:rPr>
        <w:t xml:space="preserve">The sample size was calculated based on a non-inferiority cluster randomized trial design. We hypothesize that the pay-it-forward incentive model will not be less effective in improving testing rates compared to the standard-of-care model. We estimated the need for 160 participants per group, which was obtained by sampling 16 clusters with 10 participants each in the intervention group and 16 clusters with 10 participants each in the control group, achieving 80% power to detect a superiority margin difference between the group proportions of 0.20. The proportion of the intervention group is assumed to be 0.70 under the null </w:t>
      </w:r>
      <w:r w:rsidRPr="0CFEFBF2">
        <w:rPr>
          <w:sz w:val="22"/>
          <w:szCs w:val="22"/>
        </w:rPr>
        <w:lastRenderedPageBreak/>
        <w:t>hypothesis and 0.85 under the alternative hypothesis. The proportion of the control group is 0.50. The test statistic used is the one-sided Z-test (not pooled). The intra-group correlation was 0.02 and the significance level of the test was 0.025.</w:t>
      </w:r>
    </w:p>
    <w:p w14:paraId="02C53B13" w14:textId="26E144A0" w:rsidR="0CFEFBF2" w:rsidRDefault="0CFEFBF2" w:rsidP="0CFEFBF2">
      <w:pPr>
        <w:rPr>
          <w:i/>
          <w:iCs/>
          <w:sz w:val="22"/>
          <w:szCs w:val="22"/>
        </w:rPr>
      </w:pPr>
    </w:p>
    <w:p w14:paraId="07AF9D69" w14:textId="77777777" w:rsidR="00DA2453" w:rsidRPr="00DA2453" w:rsidRDefault="00DA2453" w:rsidP="00DA2453">
      <w:pPr>
        <w:rPr>
          <w:i/>
          <w:sz w:val="22"/>
          <w:szCs w:val="22"/>
        </w:rPr>
      </w:pPr>
      <w:r w:rsidRPr="0CFEFBF2">
        <w:rPr>
          <w:i/>
          <w:sz w:val="22"/>
          <w:szCs w:val="22"/>
        </w:rPr>
        <w:t>Study participants</w:t>
      </w:r>
    </w:p>
    <w:p w14:paraId="77368415" w14:textId="77777777" w:rsidR="00DA2453" w:rsidRPr="00DA2453" w:rsidRDefault="00DA2453" w:rsidP="00DA2453">
      <w:pPr>
        <w:rPr>
          <w:sz w:val="22"/>
          <w:szCs w:val="22"/>
        </w:rPr>
      </w:pPr>
      <w:r w:rsidRPr="0CFEFBF2">
        <w:rPr>
          <w:sz w:val="22"/>
          <w:szCs w:val="22"/>
        </w:rPr>
        <w:t>Eligible participants must meet the following criteria: (1) be no more than 14 years of age; (2) have symptoms of respiratory infection (e.g., fever, cough, sputum, runny nose, etc.); and (3) have informed guardians willing to sign an informed consent form. Children who are being treated for MP infection, have cardiac, hepatic, or renal dysfunction, are receiving antibiotics or glucocorticoids for two weeks, have combined congenital, hereditary, or immunodeficiency disorders, and who have previously participated in the pay-it-forward program were excluded.</w:t>
      </w:r>
    </w:p>
    <w:p w14:paraId="19EA62DA" w14:textId="1C6DD355" w:rsidR="0CFEFBF2" w:rsidRDefault="0CFEFBF2" w:rsidP="0CFEFBF2">
      <w:pPr>
        <w:rPr>
          <w:sz w:val="22"/>
          <w:szCs w:val="22"/>
        </w:rPr>
      </w:pPr>
    </w:p>
    <w:p w14:paraId="017609A7" w14:textId="77777777" w:rsidR="00DA2453" w:rsidRPr="00DA2453" w:rsidRDefault="00DA2453" w:rsidP="00DA2453">
      <w:pPr>
        <w:rPr>
          <w:i/>
          <w:sz w:val="22"/>
          <w:szCs w:val="22"/>
        </w:rPr>
      </w:pPr>
      <w:r w:rsidRPr="0CFEFBF2">
        <w:rPr>
          <w:i/>
          <w:sz w:val="22"/>
          <w:szCs w:val="22"/>
        </w:rPr>
        <w:t>Participant recruitment</w:t>
      </w:r>
    </w:p>
    <w:p w14:paraId="285CEE10" w14:textId="77777777" w:rsidR="00DA2453" w:rsidRPr="00DA2453" w:rsidRDefault="00DA2453" w:rsidP="00DA2453">
      <w:pPr>
        <w:rPr>
          <w:sz w:val="22"/>
          <w:szCs w:val="22"/>
        </w:rPr>
      </w:pPr>
      <w:r w:rsidRPr="0CFEFBF2">
        <w:rPr>
          <w:sz w:val="22"/>
          <w:szCs w:val="22"/>
        </w:rPr>
        <w:t>The study will be conducted in collaboration with two selected public hospitals. Physicians at both institutions will conduct on-site recruitment from guardians who bring their children to respiratory clinics based on participant inclusion and exclusion criteria. Only guardians of participants who have provided informed consent and completed a baseline survey will be considered recruited.</w:t>
      </w:r>
    </w:p>
    <w:p w14:paraId="189B4780" w14:textId="002EFFAF" w:rsidR="0CFEFBF2" w:rsidRDefault="0CFEFBF2" w:rsidP="0CFEFBF2">
      <w:pPr>
        <w:rPr>
          <w:i/>
          <w:iCs/>
          <w:sz w:val="22"/>
          <w:szCs w:val="22"/>
        </w:rPr>
      </w:pPr>
    </w:p>
    <w:p w14:paraId="10259D9B" w14:textId="77777777" w:rsidR="00DA2453" w:rsidRPr="00DA2453" w:rsidRDefault="00DA2453" w:rsidP="00DA2453">
      <w:pPr>
        <w:rPr>
          <w:i/>
          <w:sz w:val="22"/>
          <w:szCs w:val="22"/>
        </w:rPr>
      </w:pPr>
      <w:r w:rsidRPr="0CFEFBF2">
        <w:rPr>
          <w:i/>
          <w:sz w:val="22"/>
          <w:szCs w:val="22"/>
        </w:rPr>
        <w:t>Randomization and masking</w:t>
      </w:r>
    </w:p>
    <w:p w14:paraId="0E1BEE5C" w14:textId="77777777" w:rsidR="00DA2453" w:rsidRPr="00DA2453" w:rsidRDefault="00DA2453" w:rsidP="00DA2453">
      <w:pPr>
        <w:rPr>
          <w:sz w:val="22"/>
          <w:szCs w:val="22"/>
        </w:rPr>
      </w:pPr>
      <w:r w:rsidRPr="0CFEFBF2">
        <w:rPr>
          <w:sz w:val="22"/>
          <w:szCs w:val="22"/>
        </w:rPr>
        <w:t xml:space="preserve">This randomized controlled trial (RCT) was designed as a cluster RCT in which a group (cluster) of ten children was randomized into the pay-it-forward or control arms in a 1:1 ratio. We defined a cluster in this study as a group of ten eligible participants who arrived at the study site and agreed to participate. We implemented stratified randomization based on the study site, with 16 clusters randomly assigned within each site. The pre-determined allocation sequence was sealed in an envelope, and the study site only opened it when they recruited the first participant. This was a single-blinded cluster RCT, and only the study team member who performed the data analyses was blinded.  </w:t>
      </w:r>
    </w:p>
    <w:p w14:paraId="3856309E" w14:textId="4D669486" w:rsidR="0CFEFBF2" w:rsidRDefault="0CFEFBF2" w:rsidP="0CFEFBF2">
      <w:pPr>
        <w:rPr>
          <w:sz w:val="22"/>
          <w:szCs w:val="22"/>
        </w:rPr>
      </w:pPr>
    </w:p>
    <w:p w14:paraId="5360426F" w14:textId="7E9CE0D3" w:rsidR="00DA2453" w:rsidRDefault="00DA2453" w:rsidP="00DA2453">
      <w:pPr>
        <w:rPr>
          <w:i/>
          <w:sz w:val="22"/>
          <w:szCs w:val="22"/>
        </w:rPr>
      </w:pPr>
      <w:r w:rsidRPr="0CFEFBF2">
        <w:rPr>
          <w:i/>
          <w:sz w:val="22"/>
          <w:szCs w:val="22"/>
        </w:rPr>
        <w:t xml:space="preserve">Procedures </w:t>
      </w:r>
    </w:p>
    <w:p w14:paraId="26012CFE" w14:textId="77777777" w:rsidR="00DA2453" w:rsidRPr="00DA2453" w:rsidRDefault="00DA2453" w:rsidP="00DA2453">
      <w:pPr>
        <w:rPr>
          <w:sz w:val="22"/>
          <w:szCs w:val="22"/>
        </w:rPr>
      </w:pPr>
      <w:r w:rsidRPr="0CFEFBF2">
        <w:rPr>
          <w:sz w:val="22"/>
          <w:szCs w:val="22"/>
        </w:rPr>
        <w:t>In the intervention group, guardians of eligible participants will be informed about the importance of MP testing and MP transmission routes at enrollment. Trained physicians in the intervention group will introduce the concept of pay-it-forward. Subsequently, through the generous donations of previous participants, MP testing will be provided to participants, a service that typically costs 100 RMB (~ $14) or more at hospitals in China. At the end of the introduction session, each participating parent (regardless of whether their child accepted or rejected testing) can choose to donate any amount of money to support other children receiving the same MP testing. All donations were voluntary, with no fixed amounts required. In the control group, guardians of children will receive similar information about MP testing, but they need to cover the cost of their child's testing ($14), as is standard at the hospital.</w:t>
      </w:r>
    </w:p>
    <w:p w14:paraId="01C9E6AE" w14:textId="449D6F7E" w:rsidR="0CFEFBF2" w:rsidRDefault="0CFEFBF2" w:rsidP="0CFEFBF2">
      <w:pPr>
        <w:rPr>
          <w:sz w:val="22"/>
          <w:szCs w:val="22"/>
        </w:rPr>
      </w:pPr>
    </w:p>
    <w:p w14:paraId="1627D6C1" w14:textId="77777777" w:rsidR="00DA2453" w:rsidRPr="00DA2453" w:rsidRDefault="00DA2453" w:rsidP="00DA2453">
      <w:pPr>
        <w:rPr>
          <w:i/>
          <w:sz w:val="22"/>
          <w:szCs w:val="22"/>
        </w:rPr>
      </w:pPr>
      <w:r w:rsidRPr="0CFEFBF2">
        <w:rPr>
          <w:i/>
          <w:sz w:val="22"/>
          <w:szCs w:val="22"/>
        </w:rPr>
        <w:t>Data Collection</w:t>
      </w:r>
    </w:p>
    <w:p w14:paraId="116672B9" w14:textId="1A7B3F6A" w:rsidR="00DA2453" w:rsidRPr="00DA2453" w:rsidRDefault="00DA2453" w:rsidP="00DA2453">
      <w:pPr>
        <w:rPr>
          <w:sz w:val="22"/>
          <w:szCs w:val="22"/>
        </w:rPr>
      </w:pPr>
      <w:r w:rsidRPr="0CFEFBF2">
        <w:rPr>
          <w:sz w:val="22"/>
          <w:szCs w:val="22"/>
        </w:rPr>
        <w:lastRenderedPageBreak/>
        <w:t xml:space="preserve">In both groups, participants completed a brief, self-administered questionnaire based on the </w:t>
      </w:r>
      <w:proofErr w:type="spellStart"/>
      <w:r w:rsidRPr="0CFEFBF2">
        <w:rPr>
          <w:sz w:val="22"/>
          <w:szCs w:val="22"/>
        </w:rPr>
        <w:t>Wenjuanxing</w:t>
      </w:r>
      <w:proofErr w:type="spellEnd"/>
      <w:r w:rsidRPr="0CFEFBF2">
        <w:rPr>
          <w:sz w:val="22"/>
          <w:szCs w:val="22"/>
        </w:rPr>
        <w:t xml:space="preserve"> platform covering </w:t>
      </w:r>
      <w:r w:rsidR="00F1569E" w:rsidRPr="0CFEFBF2">
        <w:rPr>
          <w:sz w:val="22"/>
          <w:szCs w:val="22"/>
        </w:rPr>
        <w:t>sociodemographic</w:t>
      </w:r>
      <w:r w:rsidRPr="0CFEFBF2">
        <w:rPr>
          <w:sz w:val="22"/>
          <w:szCs w:val="22"/>
        </w:rPr>
        <w:t xml:space="preserve">, health status, clinical symptoms, testing history for MP, previous history of pneumonia vaccination, and a gratitude scale for participant’s guardians. Physicians at each study site were responsible for the daily reporting of data gathered in a standard administration log, which included the number of participants who gave consent to recruitment, the number of participants who completed MP testing, the number of participants in the pay-it-forward group who donated, and the amount of money donated by participants. </w:t>
      </w:r>
    </w:p>
    <w:p w14:paraId="2A55828E" w14:textId="58338AC2" w:rsidR="0CFEFBF2" w:rsidRDefault="0CFEFBF2" w:rsidP="0CFEFBF2">
      <w:pPr>
        <w:rPr>
          <w:i/>
          <w:iCs/>
          <w:sz w:val="22"/>
          <w:szCs w:val="22"/>
        </w:rPr>
      </w:pPr>
    </w:p>
    <w:p w14:paraId="224BD70F" w14:textId="77777777" w:rsidR="00DA2453" w:rsidRPr="00DA2453" w:rsidRDefault="00DA2453" w:rsidP="00DA2453">
      <w:pPr>
        <w:rPr>
          <w:i/>
          <w:sz w:val="22"/>
          <w:szCs w:val="22"/>
        </w:rPr>
      </w:pPr>
      <w:r w:rsidRPr="0CFEFBF2">
        <w:rPr>
          <w:i/>
          <w:sz w:val="22"/>
          <w:szCs w:val="22"/>
        </w:rPr>
        <w:t xml:space="preserve">Laboratory Testing </w:t>
      </w:r>
    </w:p>
    <w:p w14:paraId="52862899" w14:textId="77777777" w:rsidR="00DA2453" w:rsidRPr="00DA2453" w:rsidRDefault="00DA2453" w:rsidP="00DA2453">
      <w:pPr>
        <w:rPr>
          <w:sz w:val="22"/>
          <w:szCs w:val="22"/>
        </w:rPr>
      </w:pPr>
      <w:r w:rsidRPr="0CFEFBF2">
        <w:rPr>
          <w:sz w:val="22"/>
          <w:szCs w:val="22"/>
        </w:rPr>
        <w:t xml:space="preserve">MP samples will be collected in the respiratory outpatient department. The doctor will collect a sample of the participant’s throat swab using a sterile procedure, place it in a sterile saline solution, shake it well, seal it, and store it at -20°C for testing. MP testing will be performed using real-time fluorescent quantitative polymerase chain reaction (PCR) in the laboratory of the Wuxi Center for Disease Control and Prevention (CDC). MP DNA will be extracted and amplified by PCR in strict accordance with the provided instructions. The threshold cycle number (Ct) value will be determined based on the standard curve of the amplification response, where a Ct value &gt;40 will be considered negative, and a Ct value </w:t>
      </w:r>
      <w:r w:rsidRPr="0CFEFBF2">
        <w:rPr>
          <w:rFonts w:hint="eastAsia"/>
          <w:sz w:val="22"/>
          <w:szCs w:val="22"/>
        </w:rPr>
        <w:t>≤</w:t>
      </w:r>
      <w:r w:rsidRPr="0CFEFBF2">
        <w:rPr>
          <w:sz w:val="22"/>
          <w:szCs w:val="22"/>
        </w:rPr>
        <w:t>38 will be considered positive. If the Ct value falls between 38 and 40, a re-examination will be performed, and if the Ct value remains between 38 and 40 after the re-examination, it will be reported as negative18. Positive and negative controls will be set for each trial.</w:t>
      </w:r>
    </w:p>
    <w:p w14:paraId="3AAC2979" w14:textId="11D610DB" w:rsidR="0CFEFBF2" w:rsidRDefault="0CFEFBF2" w:rsidP="0CFEFBF2">
      <w:pPr>
        <w:rPr>
          <w:i/>
          <w:iCs/>
          <w:sz w:val="22"/>
          <w:szCs w:val="22"/>
        </w:rPr>
      </w:pPr>
    </w:p>
    <w:p w14:paraId="7FD060BA" w14:textId="77777777" w:rsidR="00DA2453" w:rsidRPr="00DA2453" w:rsidRDefault="00DA2453" w:rsidP="00DA2453">
      <w:pPr>
        <w:rPr>
          <w:i/>
          <w:sz w:val="22"/>
          <w:szCs w:val="22"/>
        </w:rPr>
      </w:pPr>
      <w:r w:rsidRPr="0CFEFBF2">
        <w:rPr>
          <w:i/>
          <w:sz w:val="22"/>
          <w:szCs w:val="22"/>
        </w:rPr>
        <w:t>Outcomes</w:t>
      </w:r>
    </w:p>
    <w:p w14:paraId="781BB607" w14:textId="6E8D8433" w:rsidR="00DA2453" w:rsidRPr="00DA2453" w:rsidRDefault="00DA2453" w:rsidP="00DA2453">
      <w:pPr>
        <w:rPr>
          <w:sz w:val="22"/>
          <w:szCs w:val="22"/>
        </w:rPr>
      </w:pPr>
      <w:r w:rsidRPr="0CFEFBF2">
        <w:rPr>
          <w:sz w:val="22"/>
          <w:szCs w:val="22"/>
        </w:rPr>
        <w:t xml:space="preserve">The primary outcome of this trial is the proportion of children in each group who tested for MP. The secondary outcome is determined by MP test uptake verified by the on-site physicians. The secondary outcomes </w:t>
      </w:r>
      <w:r w:rsidR="001F665D" w:rsidRPr="0CFEFBF2">
        <w:rPr>
          <w:sz w:val="22"/>
          <w:szCs w:val="22"/>
        </w:rPr>
        <w:t>are</w:t>
      </w:r>
      <w:r w:rsidRPr="0CFEFBF2">
        <w:rPr>
          <w:sz w:val="22"/>
          <w:szCs w:val="22"/>
        </w:rPr>
        <w:t xml:space="preserve"> (1) the proportion of MP testing uptake across each subgroup is compared to determine the heterogeneity in the intervention effect, (2) the proportion of participants who donated to others for MP testing and the total amount donated (3) the cost-effectiveness of the pay-it-forward model to the standard-of-care group. The exploratory outcome is the proportion of children who tested positive for MP. </w:t>
      </w:r>
    </w:p>
    <w:p w14:paraId="5BC3BB60" w14:textId="0A994AAE" w:rsidR="0CFEFBF2" w:rsidRDefault="0CFEFBF2" w:rsidP="0CFEFBF2">
      <w:pPr>
        <w:rPr>
          <w:i/>
          <w:iCs/>
          <w:sz w:val="22"/>
          <w:szCs w:val="22"/>
        </w:rPr>
      </w:pPr>
    </w:p>
    <w:p w14:paraId="5A23317D" w14:textId="77777777" w:rsidR="00DA2453" w:rsidRPr="00DA2453" w:rsidRDefault="00DA2453" w:rsidP="00DA2453">
      <w:pPr>
        <w:rPr>
          <w:i/>
          <w:sz w:val="22"/>
          <w:szCs w:val="22"/>
        </w:rPr>
      </w:pPr>
      <w:r w:rsidRPr="0CFEFBF2">
        <w:rPr>
          <w:i/>
          <w:sz w:val="22"/>
          <w:szCs w:val="22"/>
        </w:rPr>
        <w:t xml:space="preserve">Statistical analysis </w:t>
      </w:r>
    </w:p>
    <w:p w14:paraId="132E677F" w14:textId="347A04CC" w:rsidR="00DA2453" w:rsidRPr="00DA2453" w:rsidRDefault="00DA2453" w:rsidP="00DA2453">
      <w:pPr>
        <w:rPr>
          <w:sz w:val="22"/>
          <w:szCs w:val="22"/>
        </w:rPr>
      </w:pPr>
      <w:r w:rsidRPr="0CFEFBF2">
        <w:rPr>
          <w:sz w:val="22"/>
          <w:szCs w:val="22"/>
        </w:rPr>
        <w:t xml:space="preserve">We use descriptive analyses to summarize the sociodemographic and sexual behaviors of participants, the donation amount, and the proportion of donation of participants. We use a generalized estimating equation model (GEE) with a binomial distribution and an identity link function to estimate the absolute proportion difference as a measure of effect. We will adjust for intraclass confounding factors, including study sites and baseline individual-level covariates. Subgroup analyses are performed to investigate the potential effect modification using a relatively simpler model to avoid the problems of collinearity and convergence across the subgroup variable and adjustments. Subgroup analyses were based on </w:t>
      </w:r>
      <w:r w:rsidR="00DD0800">
        <w:rPr>
          <w:sz w:val="22"/>
          <w:szCs w:val="22"/>
        </w:rPr>
        <w:t xml:space="preserve">caregiver’s education and income level, </w:t>
      </w:r>
      <w:r w:rsidRPr="0CFEFBF2">
        <w:rPr>
          <w:sz w:val="22"/>
          <w:szCs w:val="22"/>
        </w:rPr>
        <w:t xml:space="preserve">study site, </w:t>
      </w:r>
      <w:r w:rsidR="0CFEFBF2" w:rsidRPr="0CFEFBF2">
        <w:rPr>
          <w:sz w:val="22"/>
          <w:szCs w:val="22"/>
        </w:rPr>
        <w:t>childbirth</w:t>
      </w:r>
      <w:r w:rsidRPr="0CFEFBF2">
        <w:rPr>
          <w:sz w:val="22"/>
          <w:szCs w:val="22"/>
        </w:rPr>
        <w:t xml:space="preserve"> sex, and presented clinical symptoms. Adjusted absolute proportion differences and corresponding 95% confidence intervals (CIs) are estimated with a GEE model adjusted for age, education, marital status, income, and recruited cities. All P-values reported are, and P &lt; 0.05 is deemed statistically significant. </w:t>
      </w:r>
      <w:r w:rsidRPr="0CFEFBF2">
        <w:rPr>
          <w:sz w:val="22"/>
          <w:szCs w:val="22"/>
        </w:rPr>
        <w:lastRenderedPageBreak/>
        <w:t>Statistical analyses were performed with STATA software version 14.1 (</w:t>
      </w:r>
      <w:proofErr w:type="spellStart"/>
      <w:r w:rsidRPr="0CFEFBF2">
        <w:rPr>
          <w:sz w:val="22"/>
          <w:szCs w:val="22"/>
        </w:rPr>
        <w:t>StataCorp</w:t>
      </w:r>
      <w:proofErr w:type="spellEnd"/>
      <w:r w:rsidRPr="0CFEFBF2">
        <w:rPr>
          <w:sz w:val="22"/>
          <w:szCs w:val="22"/>
        </w:rPr>
        <w:t xml:space="preserve"> LP, TX, USA).</w:t>
      </w:r>
    </w:p>
    <w:p w14:paraId="67B25D69" w14:textId="1A45E451" w:rsidR="0CFEFBF2" w:rsidRDefault="0CFEFBF2" w:rsidP="0CFEFBF2">
      <w:pPr>
        <w:rPr>
          <w:i/>
          <w:iCs/>
          <w:sz w:val="22"/>
          <w:szCs w:val="22"/>
        </w:rPr>
      </w:pPr>
    </w:p>
    <w:p w14:paraId="764539DE" w14:textId="77777777" w:rsidR="00DA2453" w:rsidRPr="00DA2453" w:rsidRDefault="00DA2453" w:rsidP="00DA2453">
      <w:pPr>
        <w:rPr>
          <w:i/>
          <w:sz w:val="22"/>
          <w:szCs w:val="22"/>
        </w:rPr>
      </w:pPr>
      <w:r w:rsidRPr="0CFEFBF2">
        <w:rPr>
          <w:i/>
          <w:sz w:val="22"/>
          <w:szCs w:val="22"/>
        </w:rPr>
        <w:t>Economic evaluation</w:t>
      </w:r>
    </w:p>
    <w:p w14:paraId="58C9E578" w14:textId="7CD20732" w:rsidR="00DA2453" w:rsidRPr="00DA2453" w:rsidRDefault="00DA2453" w:rsidP="00DA2453">
      <w:pPr>
        <w:rPr>
          <w:sz w:val="22"/>
          <w:szCs w:val="22"/>
        </w:rPr>
      </w:pPr>
      <w:r w:rsidRPr="0CFEFBF2">
        <w:rPr>
          <w:sz w:val="22"/>
          <w:szCs w:val="22"/>
        </w:rPr>
        <w:t>We will use a micro-costing approach to evaluate the financial and economic costs, encompassing all resources required for implementing the testing models, from the perspective of the healthcare provider. We will record the trial's resource utilization comprehensively through on-site observation and invoices. Fixed and variable costs will be distinguished among the cost items. Start-up (training) and equipment fees will be classified as fixed costs, independent of the number of tests conducted. The cost of supplies used for MP testing will be considered variable, contingent on the number of tests performed. All expenses will be presented in USD, utilizing OANDA currency conversion rates from 2023 (1 USD = 7.00 Yuan). The cost analysis will be conducted using Excel 2019 (Microsoft, USA).</w:t>
      </w:r>
    </w:p>
    <w:p w14:paraId="05912D27" w14:textId="55002539" w:rsidR="0CFEFBF2" w:rsidRDefault="0CFEFBF2" w:rsidP="0CFEFBF2">
      <w:pPr>
        <w:rPr>
          <w:i/>
          <w:iCs/>
          <w:sz w:val="22"/>
          <w:szCs w:val="22"/>
        </w:rPr>
      </w:pPr>
    </w:p>
    <w:p w14:paraId="5475151E" w14:textId="77777777" w:rsidR="00DA2453" w:rsidRPr="00DA2453" w:rsidRDefault="00DA2453" w:rsidP="00DA2453">
      <w:pPr>
        <w:rPr>
          <w:i/>
          <w:sz w:val="22"/>
          <w:szCs w:val="22"/>
        </w:rPr>
      </w:pPr>
      <w:r w:rsidRPr="0CFEFBF2">
        <w:rPr>
          <w:i/>
          <w:sz w:val="22"/>
          <w:szCs w:val="22"/>
        </w:rPr>
        <w:t>Safety and adverse events</w:t>
      </w:r>
    </w:p>
    <w:p w14:paraId="2AB808A6" w14:textId="77777777" w:rsidR="00DA2453" w:rsidRPr="00DA2453" w:rsidRDefault="00DA2453" w:rsidP="00DA2453">
      <w:pPr>
        <w:rPr>
          <w:sz w:val="22"/>
          <w:szCs w:val="22"/>
        </w:rPr>
      </w:pPr>
      <w:r w:rsidRPr="0CFEFBF2">
        <w:rPr>
          <w:sz w:val="22"/>
          <w:szCs w:val="22"/>
        </w:rPr>
        <w:t xml:space="preserve">The safety monitoring of this study focuses on capturing adverse events resulting from interventions, including emotional concerns such as anxiety and depression. Additionally, attention is given to negative events associated with throat swab specimen collection, such as physical discomfort, illness, and overall well-being. </w:t>
      </w:r>
    </w:p>
    <w:p w14:paraId="71309F98" w14:textId="77777777" w:rsidR="00DA2453" w:rsidRPr="00DA2453" w:rsidRDefault="00DA2453" w:rsidP="00DA2453">
      <w:pPr>
        <w:rPr>
          <w:sz w:val="22"/>
          <w:szCs w:val="22"/>
        </w:rPr>
      </w:pPr>
      <w:r w:rsidRPr="0CFEFBF2">
        <w:rPr>
          <w:sz w:val="22"/>
          <w:szCs w:val="22"/>
        </w:rPr>
        <w:t xml:space="preserve">Per the protocol, no data monitoring was not established for this cluster RCT due to the potential for harm to participants in minimal. Participants who tested positive during the study were referred to regular medical institutions for formal treatment. Any participants who feel they have experienced adverse events or unwanted effects during their involvement in the cluster RCT can withdraw at any time. </w:t>
      </w:r>
    </w:p>
    <w:p w14:paraId="4C3CB2BC" w14:textId="329CE1E7" w:rsidR="0CFEFBF2" w:rsidRDefault="0CFEFBF2" w:rsidP="0CFEFBF2">
      <w:pPr>
        <w:rPr>
          <w:i/>
          <w:iCs/>
          <w:sz w:val="22"/>
          <w:szCs w:val="22"/>
        </w:rPr>
      </w:pPr>
    </w:p>
    <w:p w14:paraId="71677B82" w14:textId="77777777" w:rsidR="00DA2453" w:rsidRPr="00DA2453" w:rsidRDefault="00DA2453" w:rsidP="00DA2453">
      <w:pPr>
        <w:rPr>
          <w:i/>
          <w:sz w:val="22"/>
          <w:szCs w:val="22"/>
        </w:rPr>
      </w:pPr>
      <w:r w:rsidRPr="0CFEFBF2">
        <w:rPr>
          <w:i/>
          <w:sz w:val="22"/>
          <w:szCs w:val="22"/>
        </w:rPr>
        <w:t>Ethical Measures</w:t>
      </w:r>
    </w:p>
    <w:p w14:paraId="29FA1CA5" w14:textId="77777777" w:rsidR="00DA2453" w:rsidRPr="00DA2453" w:rsidRDefault="00DA2453" w:rsidP="00DA2453">
      <w:pPr>
        <w:rPr>
          <w:sz w:val="22"/>
          <w:szCs w:val="22"/>
        </w:rPr>
      </w:pPr>
      <w:r w:rsidRPr="0CFEFBF2">
        <w:rPr>
          <w:sz w:val="22"/>
          <w:szCs w:val="22"/>
        </w:rPr>
        <w:t>To protect the rights and interests of study participants, our research team comprises seasoned professionals specializing in public health intervention and social innovation. Strict adherence to confidentiality regulations of affiliated institutions ensures that information about study subjects remains secure and is not disclosed to unrelated parties.</w:t>
      </w:r>
    </w:p>
    <w:p w14:paraId="7B29A780" w14:textId="77777777" w:rsidR="00DA2453" w:rsidRPr="00DA2453" w:rsidRDefault="00DA2453" w:rsidP="00DA2453">
      <w:pPr>
        <w:rPr>
          <w:sz w:val="22"/>
          <w:szCs w:val="22"/>
        </w:rPr>
      </w:pPr>
      <w:r w:rsidRPr="0CFEFBF2">
        <w:rPr>
          <w:sz w:val="22"/>
          <w:szCs w:val="22"/>
        </w:rPr>
        <w:t>Ethical measures are implemented through a comprehensive survey manual, establishing standardized procedures for surveys, follow-up questionnaire handling, and guidelines promoting authentic and objective data collection. These measures aim to prevent discrimination, protect personal information, and minimize participant discomfort during the survey and follow-up processes.</w:t>
      </w:r>
    </w:p>
    <w:p w14:paraId="080BD73C" w14:textId="77777777" w:rsidR="00DA2453" w:rsidRPr="00DA2453" w:rsidRDefault="00DA2453" w:rsidP="00DA2453">
      <w:pPr>
        <w:rPr>
          <w:sz w:val="22"/>
          <w:szCs w:val="22"/>
        </w:rPr>
      </w:pPr>
      <w:r w:rsidRPr="0CFEFBF2">
        <w:rPr>
          <w:sz w:val="22"/>
          <w:szCs w:val="22"/>
        </w:rPr>
        <w:t>During recruitment, prospective participants receive detailed information about the research's purpose, content, potential risks and benefits, and any incentives involved. Only after ensuring participants fully comprehend and willingly agree to participate do they sign the informed consent form, with the explicit right to withdraw from the study at any point.</w:t>
      </w:r>
    </w:p>
    <w:p w14:paraId="494CC47B" w14:textId="77777777" w:rsidR="00DA2453" w:rsidRPr="00DA2453" w:rsidRDefault="00DA2453" w:rsidP="00DA2453">
      <w:pPr>
        <w:rPr>
          <w:sz w:val="22"/>
          <w:szCs w:val="22"/>
        </w:rPr>
      </w:pPr>
      <w:r w:rsidRPr="0CFEFBF2">
        <w:rPr>
          <w:sz w:val="22"/>
          <w:szCs w:val="22"/>
        </w:rPr>
        <w:t xml:space="preserve">Electronic questionnaire data is securely stored on the </w:t>
      </w:r>
      <w:proofErr w:type="spellStart"/>
      <w:r w:rsidRPr="0CFEFBF2">
        <w:rPr>
          <w:sz w:val="22"/>
          <w:szCs w:val="22"/>
        </w:rPr>
        <w:t>Wenjuanxing</w:t>
      </w:r>
      <w:proofErr w:type="spellEnd"/>
      <w:r w:rsidRPr="0CFEFBF2">
        <w:rPr>
          <w:sz w:val="22"/>
          <w:szCs w:val="22"/>
        </w:rPr>
        <w:t xml:space="preserve"> survey platform, with additional encrypted disk backups. Access is limited to authorized researchers, ensuring confidentiality and data security.</w:t>
      </w:r>
    </w:p>
    <w:p w14:paraId="211A788E" w14:textId="77777777" w:rsidR="00DA2453" w:rsidRPr="00DA2453" w:rsidRDefault="00DA2453" w:rsidP="00DA2453">
      <w:pPr>
        <w:rPr>
          <w:sz w:val="22"/>
          <w:szCs w:val="22"/>
        </w:rPr>
      </w:pPr>
    </w:p>
    <w:p w14:paraId="0F8F9936" w14:textId="77777777" w:rsidR="00DA2453" w:rsidRPr="00DA2453" w:rsidRDefault="00DA2453" w:rsidP="00DA2453">
      <w:pPr>
        <w:rPr>
          <w:b/>
          <w:sz w:val="22"/>
          <w:szCs w:val="22"/>
        </w:rPr>
      </w:pPr>
      <w:r w:rsidRPr="0CFEFBF2">
        <w:rPr>
          <w:b/>
          <w:sz w:val="22"/>
          <w:szCs w:val="22"/>
        </w:rPr>
        <w:t>References</w:t>
      </w:r>
    </w:p>
    <w:p w14:paraId="12F553E2" w14:textId="77777777" w:rsidR="00DA2453" w:rsidRPr="00DA2453" w:rsidRDefault="00DA2453" w:rsidP="00DA2453">
      <w:pPr>
        <w:rPr>
          <w:sz w:val="22"/>
          <w:szCs w:val="22"/>
        </w:rPr>
      </w:pPr>
      <w:r w:rsidRPr="0CFEFBF2">
        <w:rPr>
          <w:sz w:val="22"/>
          <w:szCs w:val="22"/>
        </w:rPr>
        <w:lastRenderedPageBreak/>
        <w:t>1.</w:t>
      </w:r>
      <w:r>
        <w:tab/>
      </w:r>
      <w:r w:rsidRPr="0CFEFBF2">
        <w:rPr>
          <w:sz w:val="22"/>
          <w:szCs w:val="22"/>
        </w:rPr>
        <w:t xml:space="preserve">Tsai TA, Tsai CK, </w:t>
      </w:r>
      <w:proofErr w:type="spellStart"/>
      <w:r w:rsidRPr="0CFEFBF2">
        <w:rPr>
          <w:sz w:val="22"/>
          <w:szCs w:val="22"/>
        </w:rPr>
        <w:t>Kuo</w:t>
      </w:r>
      <w:proofErr w:type="spellEnd"/>
      <w:r w:rsidRPr="0CFEFBF2">
        <w:rPr>
          <w:sz w:val="22"/>
          <w:szCs w:val="22"/>
        </w:rPr>
        <w:t xml:space="preserve"> KC, Yu HR. Rational stepwise approach for Mycoplasma pneumoniae pneumonia in children. J </w:t>
      </w:r>
      <w:proofErr w:type="spellStart"/>
      <w:r w:rsidRPr="0CFEFBF2">
        <w:rPr>
          <w:sz w:val="22"/>
          <w:szCs w:val="22"/>
        </w:rPr>
        <w:t>Microbiol</w:t>
      </w:r>
      <w:proofErr w:type="spellEnd"/>
      <w:r w:rsidRPr="0CFEFBF2">
        <w:rPr>
          <w:sz w:val="22"/>
          <w:szCs w:val="22"/>
        </w:rPr>
        <w:t xml:space="preserve"> Immunol Infect 2021; 54(4): 557-65. https://doi.org/10.1016/j.jmii.2020.10.002.</w:t>
      </w:r>
    </w:p>
    <w:p w14:paraId="689FBF78" w14:textId="77777777" w:rsidR="00DA2453" w:rsidRPr="00DA2453" w:rsidRDefault="00DA2453" w:rsidP="00DA2453">
      <w:pPr>
        <w:rPr>
          <w:sz w:val="22"/>
          <w:szCs w:val="22"/>
        </w:rPr>
      </w:pPr>
      <w:r w:rsidRPr="0CFEFBF2">
        <w:rPr>
          <w:sz w:val="22"/>
          <w:szCs w:val="22"/>
        </w:rPr>
        <w:t>2.</w:t>
      </w:r>
      <w:r>
        <w:tab/>
      </w:r>
      <w:r w:rsidRPr="0CFEFBF2">
        <w:rPr>
          <w:sz w:val="22"/>
          <w:szCs w:val="22"/>
        </w:rPr>
        <w:t xml:space="preserve">Gan T, Yu J, He J. miRNA, lncRNA and </w:t>
      </w:r>
      <w:proofErr w:type="spellStart"/>
      <w:r w:rsidRPr="0CFEFBF2">
        <w:rPr>
          <w:sz w:val="22"/>
          <w:szCs w:val="22"/>
        </w:rPr>
        <w:t>circRNA</w:t>
      </w:r>
      <w:proofErr w:type="spellEnd"/>
      <w:r w:rsidRPr="0CFEFBF2">
        <w:rPr>
          <w:sz w:val="22"/>
          <w:szCs w:val="22"/>
        </w:rPr>
        <w:t xml:space="preserve">: targeted molecules with therapeutic promises in Mycoplasma pneumoniae infection. Arch </w:t>
      </w:r>
      <w:proofErr w:type="spellStart"/>
      <w:r w:rsidRPr="0CFEFBF2">
        <w:rPr>
          <w:sz w:val="22"/>
          <w:szCs w:val="22"/>
        </w:rPr>
        <w:t>Microbiol</w:t>
      </w:r>
      <w:proofErr w:type="spellEnd"/>
      <w:r w:rsidRPr="0CFEFBF2">
        <w:rPr>
          <w:sz w:val="22"/>
          <w:szCs w:val="22"/>
        </w:rPr>
        <w:t xml:space="preserve"> 2023; 205(8): 293. https://doi.org/10.1007/s00203-023-03636-3.</w:t>
      </w:r>
    </w:p>
    <w:p w14:paraId="223BCB05" w14:textId="26558E7F" w:rsidR="00DA2453" w:rsidRPr="00DA2453" w:rsidRDefault="00DA2453" w:rsidP="00DA2453">
      <w:pPr>
        <w:rPr>
          <w:sz w:val="22"/>
          <w:szCs w:val="22"/>
        </w:rPr>
      </w:pPr>
      <w:r w:rsidRPr="0CFEFBF2">
        <w:rPr>
          <w:sz w:val="22"/>
          <w:szCs w:val="22"/>
        </w:rPr>
        <w:t>3.</w:t>
      </w:r>
      <w:r>
        <w:tab/>
      </w:r>
      <w:r w:rsidRPr="0CFEFBF2">
        <w:rPr>
          <w:sz w:val="22"/>
          <w:szCs w:val="22"/>
        </w:rPr>
        <w:t xml:space="preserve">Ning G, Wang X, Wu D, et al. The etiology of community-acquired pneumonia among children under 5 years of age in mainland China, 2001-2015: A systematic review. Hum </w:t>
      </w:r>
      <w:proofErr w:type="spellStart"/>
      <w:r w:rsidRPr="0CFEFBF2">
        <w:rPr>
          <w:sz w:val="22"/>
          <w:szCs w:val="22"/>
        </w:rPr>
        <w:t>Vaccin</w:t>
      </w:r>
      <w:proofErr w:type="spellEnd"/>
      <w:r w:rsidRPr="0CFEFBF2">
        <w:rPr>
          <w:sz w:val="22"/>
          <w:szCs w:val="22"/>
        </w:rPr>
        <w:t xml:space="preserve"> </w:t>
      </w:r>
      <w:proofErr w:type="spellStart"/>
      <w:r w:rsidRPr="0CFEFBF2">
        <w:rPr>
          <w:sz w:val="22"/>
          <w:szCs w:val="22"/>
        </w:rPr>
        <w:t>Immunother</w:t>
      </w:r>
      <w:proofErr w:type="spellEnd"/>
      <w:r w:rsidRPr="0CFEFBF2">
        <w:rPr>
          <w:sz w:val="22"/>
          <w:szCs w:val="22"/>
        </w:rPr>
        <w:t xml:space="preserve"> 2017; 13(11): 2742-50. https://doi.org/10.1080/21645515.2017.1371381.</w:t>
      </w:r>
    </w:p>
    <w:p w14:paraId="6AE84925" w14:textId="77777777" w:rsidR="00DA2453" w:rsidRPr="00DA2453" w:rsidRDefault="00DA2453" w:rsidP="00DA2453">
      <w:pPr>
        <w:rPr>
          <w:sz w:val="22"/>
          <w:szCs w:val="22"/>
        </w:rPr>
      </w:pPr>
      <w:r w:rsidRPr="0CFEFBF2">
        <w:rPr>
          <w:sz w:val="22"/>
          <w:szCs w:val="22"/>
        </w:rPr>
        <w:t>4.</w:t>
      </w:r>
      <w:r>
        <w:tab/>
      </w:r>
      <w:r w:rsidRPr="0CFEFBF2">
        <w:rPr>
          <w:sz w:val="22"/>
          <w:szCs w:val="22"/>
        </w:rPr>
        <w:t>Zhou XH. Comparison of the clinical value of low-dose CT scans and X-rays in the diagnosis of Mycoplasma pneumoniae pneumonia in children. The Medical Forum 2023; 27(19): 101-2.</w:t>
      </w:r>
    </w:p>
    <w:p w14:paraId="6C4AF179" w14:textId="77777777" w:rsidR="00DA2453" w:rsidRPr="00DA2453" w:rsidRDefault="00DA2453" w:rsidP="00DA2453">
      <w:pPr>
        <w:rPr>
          <w:sz w:val="22"/>
          <w:szCs w:val="22"/>
        </w:rPr>
      </w:pPr>
      <w:r w:rsidRPr="0CFEFBF2">
        <w:rPr>
          <w:sz w:val="22"/>
          <w:szCs w:val="22"/>
        </w:rPr>
        <w:t>5.</w:t>
      </w:r>
      <w:r>
        <w:tab/>
      </w:r>
      <w:proofErr w:type="spellStart"/>
      <w:r w:rsidRPr="0CFEFBF2">
        <w:rPr>
          <w:sz w:val="22"/>
          <w:szCs w:val="22"/>
        </w:rPr>
        <w:t>Krafft</w:t>
      </w:r>
      <w:proofErr w:type="spellEnd"/>
      <w:r w:rsidRPr="0CFEFBF2">
        <w:rPr>
          <w:sz w:val="22"/>
          <w:szCs w:val="22"/>
        </w:rPr>
        <w:t xml:space="preserve"> C, Christy C. Mycoplasma Pneumonia in Children and Adolescents. </w:t>
      </w:r>
      <w:proofErr w:type="spellStart"/>
      <w:r w:rsidRPr="0CFEFBF2">
        <w:rPr>
          <w:sz w:val="22"/>
          <w:szCs w:val="22"/>
        </w:rPr>
        <w:t>Pediatr</w:t>
      </w:r>
      <w:proofErr w:type="spellEnd"/>
      <w:r w:rsidRPr="0CFEFBF2">
        <w:rPr>
          <w:sz w:val="22"/>
          <w:szCs w:val="22"/>
        </w:rPr>
        <w:t xml:space="preserve"> Rev 2020; 41(1): 12-9. https://doi.org/10.1542/pir.2018-0016.</w:t>
      </w:r>
    </w:p>
    <w:p w14:paraId="121E917E" w14:textId="77777777" w:rsidR="00DA2453" w:rsidRPr="00DA2453" w:rsidRDefault="00DA2453" w:rsidP="00DA2453">
      <w:pPr>
        <w:rPr>
          <w:sz w:val="22"/>
          <w:szCs w:val="22"/>
        </w:rPr>
      </w:pPr>
      <w:r w:rsidRPr="0CFEFBF2">
        <w:rPr>
          <w:sz w:val="22"/>
          <w:szCs w:val="22"/>
        </w:rPr>
        <w:t>6.</w:t>
      </w:r>
      <w:r>
        <w:tab/>
      </w:r>
      <w:r w:rsidRPr="0CFEFBF2">
        <w:rPr>
          <w:sz w:val="22"/>
          <w:szCs w:val="22"/>
        </w:rPr>
        <w:t xml:space="preserve">Atkinson TP, Waites KB. Mycoplasma pneumoniae Infections in Childhood. </w:t>
      </w:r>
      <w:proofErr w:type="spellStart"/>
      <w:r w:rsidRPr="0CFEFBF2">
        <w:rPr>
          <w:sz w:val="22"/>
          <w:szCs w:val="22"/>
        </w:rPr>
        <w:t>Pediatr</w:t>
      </w:r>
      <w:proofErr w:type="spellEnd"/>
      <w:r w:rsidRPr="0CFEFBF2">
        <w:rPr>
          <w:sz w:val="22"/>
          <w:szCs w:val="22"/>
        </w:rPr>
        <w:t xml:space="preserve"> Infect Dis J 2014; 33(1): 92-4. https://doi.org/10.1097/inf.0000000000000171.</w:t>
      </w:r>
    </w:p>
    <w:p w14:paraId="39C03CDB" w14:textId="77777777" w:rsidR="00DA2453" w:rsidRPr="00DA2453" w:rsidRDefault="00DA2453" w:rsidP="00DA2453">
      <w:pPr>
        <w:rPr>
          <w:sz w:val="22"/>
          <w:szCs w:val="22"/>
        </w:rPr>
      </w:pPr>
      <w:r w:rsidRPr="0CFEFBF2">
        <w:rPr>
          <w:sz w:val="22"/>
          <w:szCs w:val="22"/>
        </w:rPr>
        <w:t>7.</w:t>
      </w:r>
      <w:r>
        <w:tab/>
      </w:r>
      <w:r w:rsidRPr="0CFEFBF2">
        <w:rPr>
          <w:sz w:val="22"/>
          <w:szCs w:val="22"/>
        </w:rPr>
        <w:t xml:space="preserve">Zhu YG, Tang XD, Lu YT, Zhang J, Qu JM. Contemporary Situation of Community-acquired Pneumonia in China: A Systematic Review. J </w:t>
      </w:r>
      <w:proofErr w:type="spellStart"/>
      <w:r w:rsidRPr="0CFEFBF2">
        <w:rPr>
          <w:sz w:val="22"/>
          <w:szCs w:val="22"/>
        </w:rPr>
        <w:t>Transl</w:t>
      </w:r>
      <w:proofErr w:type="spellEnd"/>
      <w:r w:rsidRPr="0CFEFBF2">
        <w:rPr>
          <w:sz w:val="22"/>
          <w:szCs w:val="22"/>
        </w:rPr>
        <w:t xml:space="preserve"> Int Med 2018; 6(1): 26-31. https://doi.org/10.2478/jtim-2018-0006.</w:t>
      </w:r>
    </w:p>
    <w:p w14:paraId="1EEB6C3C" w14:textId="77777777" w:rsidR="00DA2453" w:rsidRPr="00DA2453" w:rsidRDefault="00DA2453" w:rsidP="00DA2453">
      <w:pPr>
        <w:rPr>
          <w:sz w:val="22"/>
          <w:szCs w:val="22"/>
        </w:rPr>
      </w:pPr>
      <w:r w:rsidRPr="0CFEFBF2">
        <w:rPr>
          <w:sz w:val="22"/>
          <w:szCs w:val="22"/>
        </w:rPr>
        <w:t>8.</w:t>
      </w:r>
      <w:r>
        <w:tab/>
      </w:r>
      <w:r w:rsidRPr="0CFEFBF2">
        <w:rPr>
          <w:sz w:val="22"/>
          <w:szCs w:val="22"/>
        </w:rPr>
        <w:t>Li ZY, Wang WJ. Analysis of the Clinical Value of Microbial Culture Testing in Pediatric Mycoplasma Pneumoniae Infection. Heilongjiang Medical Journal 2023; 47(10): 1224-6.</w:t>
      </w:r>
    </w:p>
    <w:p w14:paraId="48A408FF" w14:textId="77777777" w:rsidR="00DA2453" w:rsidRPr="00DA2453" w:rsidRDefault="00DA2453" w:rsidP="00DA2453">
      <w:pPr>
        <w:rPr>
          <w:sz w:val="22"/>
          <w:szCs w:val="22"/>
        </w:rPr>
      </w:pPr>
      <w:r w:rsidRPr="0CFEFBF2">
        <w:rPr>
          <w:sz w:val="22"/>
          <w:szCs w:val="22"/>
        </w:rPr>
        <w:t>9.</w:t>
      </w:r>
      <w:r>
        <w:tab/>
      </w:r>
      <w:r w:rsidRPr="0CFEFBF2">
        <w:rPr>
          <w:sz w:val="22"/>
          <w:szCs w:val="22"/>
        </w:rPr>
        <w:t xml:space="preserve">Chen D, Wu P, Liu D, et al. Clinical role of M. pneumoniae typing antibody detected by chemiluminescent immunoassay in the diagnosis of Mycoplasma pneumoniae pneumonia in children. Int </w:t>
      </w:r>
      <w:proofErr w:type="spellStart"/>
      <w:r w:rsidRPr="0CFEFBF2">
        <w:rPr>
          <w:sz w:val="22"/>
          <w:szCs w:val="22"/>
        </w:rPr>
        <w:t>Immunopharmacol</w:t>
      </w:r>
      <w:proofErr w:type="spellEnd"/>
      <w:r w:rsidRPr="0CFEFBF2">
        <w:rPr>
          <w:sz w:val="22"/>
          <w:szCs w:val="22"/>
        </w:rPr>
        <w:t xml:space="preserve"> 2022; 112: 109196. https://doi.org/10.1016/j.intimp.2022.109196.</w:t>
      </w:r>
    </w:p>
    <w:p w14:paraId="57F9F840" w14:textId="77777777" w:rsidR="00DA2453" w:rsidRPr="00DA2453" w:rsidRDefault="00DA2453" w:rsidP="00DA2453">
      <w:pPr>
        <w:rPr>
          <w:sz w:val="22"/>
          <w:szCs w:val="22"/>
        </w:rPr>
      </w:pPr>
      <w:r w:rsidRPr="0CFEFBF2">
        <w:rPr>
          <w:sz w:val="22"/>
          <w:szCs w:val="22"/>
        </w:rPr>
        <w:t>10.</w:t>
      </w:r>
      <w:r>
        <w:tab/>
      </w:r>
      <w:r w:rsidRPr="0CFEFBF2">
        <w:rPr>
          <w:sz w:val="22"/>
          <w:szCs w:val="22"/>
        </w:rPr>
        <w:t xml:space="preserve">Cai LL, Zhong S. </w:t>
      </w:r>
      <w:r w:rsidRPr="0CFEFBF2">
        <w:rPr>
          <w:rFonts w:eastAsia="宋体" w:hint="eastAsia"/>
          <w:sz w:val="22"/>
          <w:szCs w:val="22"/>
        </w:rPr>
        <w:t>Ｒ</w:t>
      </w:r>
      <w:proofErr w:type="spellStart"/>
      <w:r w:rsidRPr="0CFEFBF2">
        <w:rPr>
          <w:sz w:val="22"/>
          <w:szCs w:val="22"/>
        </w:rPr>
        <w:t>esearch</w:t>
      </w:r>
      <w:proofErr w:type="spellEnd"/>
      <w:r w:rsidRPr="0CFEFBF2">
        <w:rPr>
          <w:sz w:val="22"/>
          <w:szCs w:val="22"/>
        </w:rPr>
        <w:t xml:space="preserve"> progress on mycoplasma pneumoniae pneumonia. Hebei Medical Journal 2022; 44(11): 1726-31.</w:t>
      </w:r>
    </w:p>
    <w:p w14:paraId="2BB59262" w14:textId="77777777" w:rsidR="00DA2453" w:rsidRPr="00DA2453" w:rsidRDefault="00DA2453" w:rsidP="00DA2453">
      <w:pPr>
        <w:rPr>
          <w:sz w:val="22"/>
          <w:szCs w:val="22"/>
        </w:rPr>
      </w:pPr>
      <w:r w:rsidRPr="0CFEFBF2">
        <w:rPr>
          <w:sz w:val="22"/>
          <w:szCs w:val="22"/>
        </w:rPr>
        <w:t>11.</w:t>
      </w:r>
      <w:r>
        <w:tab/>
      </w:r>
      <w:r w:rsidRPr="0CFEFBF2">
        <w:rPr>
          <w:sz w:val="22"/>
          <w:szCs w:val="22"/>
        </w:rPr>
        <w:t>Ran J, Zhang RL, Feng N. Application of hemorheology in judging the condition of mycoplasma pneumoniae pneumonia in children. Jilin Medical Journal 2023; 44(10): 2706-10.</w:t>
      </w:r>
    </w:p>
    <w:p w14:paraId="6FBD78FD" w14:textId="77777777" w:rsidR="00DA2453" w:rsidRPr="00DA2453" w:rsidRDefault="00DA2453" w:rsidP="00DA2453">
      <w:pPr>
        <w:rPr>
          <w:sz w:val="22"/>
          <w:szCs w:val="22"/>
        </w:rPr>
      </w:pPr>
      <w:r w:rsidRPr="0CFEFBF2">
        <w:rPr>
          <w:sz w:val="22"/>
          <w:szCs w:val="22"/>
        </w:rPr>
        <w:t>12.</w:t>
      </w:r>
      <w:r>
        <w:tab/>
      </w:r>
      <w:r w:rsidRPr="0CFEFBF2">
        <w:rPr>
          <w:sz w:val="22"/>
          <w:szCs w:val="22"/>
        </w:rPr>
        <w:t>Gray K, Ward AF, Norton MI. Paying it forward: generalized reciprocity and the limits of generosity. J Exp Psychol Gen 2014; 143(1): 247-54. https://doi.org/10.1037/a0031047.</w:t>
      </w:r>
    </w:p>
    <w:p w14:paraId="52D77560" w14:textId="77777777" w:rsidR="00DA2453" w:rsidRPr="00DA2453" w:rsidRDefault="00DA2453" w:rsidP="00DA2453">
      <w:pPr>
        <w:rPr>
          <w:sz w:val="22"/>
          <w:szCs w:val="22"/>
        </w:rPr>
      </w:pPr>
      <w:r w:rsidRPr="0CFEFBF2">
        <w:rPr>
          <w:sz w:val="22"/>
          <w:szCs w:val="22"/>
        </w:rPr>
        <w:t>13.</w:t>
      </w:r>
      <w:r>
        <w:tab/>
      </w:r>
      <w:r w:rsidRPr="0CFEFBF2">
        <w:rPr>
          <w:sz w:val="22"/>
          <w:szCs w:val="22"/>
        </w:rPr>
        <w:t>Jung MH, Nelson LD, Gneezy A, Gneezy U. Paying more when paying for others. J Pers Soc Psychol 2014; 107(3): 414-31. https://doi.org/10.1037/a0037345.</w:t>
      </w:r>
    </w:p>
    <w:p w14:paraId="2EBEBA45" w14:textId="77777777" w:rsidR="00DA2453" w:rsidRPr="00DA2453" w:rsidRDefault="00DA2453" w:rsidP="00DA2453">
      <w:pPr>
        <w:rPr>
          <w:sz w:val="22"/>
          <w:szCs w:val="22"/>
        </w:rPr>
      </w:pPr>
      <w:r w:rsidRPr="0CFEFBF2">
        <w:rPr>
          <w:sz w:val="22"/>
          <w:szCs w:val="22"/>
        </w:rPr>
        <w:t>14.</w:t>
      </w:r>
      <w:r>
        <w:tab/>
      </w:r>
      <w:r w:rsidRPr="0CFEFBF2">
        <w:rPr>
          <w:sz w:val="22"/>
          <w:szCs w:val="22"/>
        </w:rPr>
        <w:t>Zhang Y, Li J, Xie Y, et al. Pay-it-forward incentives for hepatitis virus testing in men who have sex with men: a cluster randomized trial. Nat Med 2023; 29(9): 2241-7. https://doi.org/10.1038/s41591-023-02519-w.</w:t>
      </w:r>
    </w:p>
    <w:p w14:paraId="65FCAD19" w14:textId="77777777" w:rsidR="00DA2453" w:rsidRPr="00DA2453" w:rsidRDefault="00DA2453" w:rsidP="00DA2453">
      <w:pPr>
        <w:rPr>
          <w:sz w:val="22"/>
          <w:szCs w:val="22"/>
        </w:rPr>
      </w:pPr>
      <w:r w:rsidRPr="0CFEFBF2">
        <w:rPr>
          <w:sz w:val="22"/>
          <w:szCs w:val="22"/>
        </w:rPr>
        <w:t>15.</w:t>
      </w:r>
      <w:r>
        <w:tab/>
      </w:r>
      <w:r w:rsidRPr="0CFEFBF2">
        <w:rPr>
          <w:sz w:val="22"/>
          <w:szCs w:val="22"/>
        </w:rPr>
        <w:t xml:space="preserve">Yang F, Zhang TP, Tang W, et al. Pay-it-forward </w:t>
      </w:r>
      <w:proofErr w:type="spellStart"/>
      <w:r w:rsidRPr="0CFEFBF2">
        <w:rPr>
          <w:sz w:val="22"/>
          <w:szCs w:val="22"/>
        </w:rPr>
        <w:t>gonorrhoea</w:t>
      </w:r>
      <w:proofErr w:type="spellEnd"/>
      <w:r w:rsidRPr="0CFEFBF2">
        <w:rPr>
          <w:sz w:val="22"/>
          <w:szCs w:val="22"/>
        </w:rPr>
        <w:t xml:space="preserve"> and chlamydia testing among men who have sex with men in China: a </w:t>
      </w:r>
      <w:proofErr w:type="spellStart"/>
      <w:r w:rsidRPr="0CFEFBF2">
        <w:rPr>
          <w:sz w:val="22"/>
          <w:szCs w:val="22"/>
        </w:rPr>
        <w:t>randomised</w:t>
      </w:r>
      <w:proofErr w:type="spellEnd"/>
      <w:r w:rsidRPr="0CFEFBF2">
        <w:rPr>
          <w:sz w:val="22"/>
          <w:szCs w:val="22"/>
        </w:rPr>
        <w:t xml:space="preserve"> controlled trial. Lancet Infect Dis 2020; 20(8): 976-82. https://doi.org/10.1016/s1473-3099(20)30172-9.</w:t>
      </w:r>
    </w:p>
    <w:p w14:paraId="29899597" w14:textId="77777777" w:rsidR="00DA2453" w:rsidRPr="00DA2453" w:rsidRDefault="00DA2453" w:rsidP="00DA2453">
      <w:pPr>
        <w:rPr>
          <w:sz w:val="22"/>
          <w:szCs w:val="22"/>
        </w:rPr>
      </w:pPr>
      <w:r w:rsidRPr="0CFEFBF2">
        <w:rPr>
          <w:sz w:val="22"/>
          <w:szCs w:val="22"/>
        </w:rPr>
        <w:t>16.</w:t>
      </w:r>
      <w:r>
        <w:tab/>
      </w:r>
      <w:r w:rsidRPr="0CFEFBF2">
        <w:rPr>
          <w:sz w:val="22"/>
          <w:szCs w:val="22"/>
        </w:rPr>
        <w:t xml:space="preserve">Qin C, Li Y, </w:t>
      </w:r>
      <w:proofErr w:type="spellStart"/>
      <w:r w:rsidRPr="0CFEFBF2">
        <w:rPr>
          <w:sz w:val="22"/>
          <w:szCs w:val="22"/>
        </w:rPr>
        <w:t>Qiu</w:t>
      </w:r>
      <w:proofErr w:type="spellEnd"/>
      <w:r w:rsidRPr="0CFEFBF2">
        <w:rPr>
          <w:sz w:val="22"/>
          <w:szCs w:val="22"/>
        </w:rPr>
        <w:t xml:space="preserve"> S, et al. Pay-it-forward to increase uptake among 15-18-year-old adolescent girls compared with user-paid vaccination: The pilot results of a two-arm </w:t>
      </w:r>
      <w:r w:rsidRPr="0CFEFBF2">
        <w:rPr>
          <w:sz w:val="22"/>
          <w:szCs w:val="22"/>
        </w:rPr>
        <w:lastRenderedPageBreak/>
        <w:t>randomized controlled trial in China. Res Sq 2023. https://doi.org/10.21203/rs.3.rs-2903998/v1.</w:t>
      </w:r>
    </w:p>
    <w:p w14:paraId="1E3C7ED9" w14:textId="77777777" w:rsidR="00DA2453" w:rsidRPr="00DA2453" w:rsidRDefault="00DA2453" w:rsidP="00DA2453">
      <w:pPr>
        <w:rPr>
          <w:sz w:val="22"/>
          <w:szCs w:val="22"/>
        </w:rPr>
      </w:pPr>
      <w:r w:rsidRPr="0CFEFBF2">
        <w:rPr>
          <w:sz w:val="22"/>
          <w:szCs w:val="22"/>
        </w:rPr>
        <w:t>17.</w:t>
      </w:r>
      <w:r>
        <w:tab/>
      </w:r>
      <w:r w:rsidRPr="0CFEFBF2">
        <w:rPr>
          <w:sz w:val="22"/>
          <w:szCs w:val="22"/>
        </w:rPr>
        <w:t>Li KT, Tang W, Wu D, et al. Pay-it-forward strategy to enhance uptake of dual gonorrhea and chlamydia testing among men who have sex with men in China: a pragmatic, quasi-experimental study. Lancet Infect Dis 2019; 19(1): 76-82. https://doi.org/10.1016/s1473-3099(18)30556-5.</w:t>
      </w:r>
    </w:p>
    <w:p w14:paraId="11DB1F21" w14:textId="77777777" w:rsidR="00DA2453" w:rsidRPr="00DA2453" w:rsidRDefault="00DA2453" w:rsidP="00DA2453">
      <w:pPr>
        <w:rPr>
          <w:sz w:val="22"/>
          <w:szCs w:val="22"/>
        </w:rPr>
      </w:pPr>
      <w:r w:rsidRPr="0CFEFBF2">
        <w:rPr>
          <w:sz w:val="22"/>
          <w:szCs w:val="22"/>
        </w:rPr>
        <w:t>18.</w:t>
      </w:r>
      <w:r>
        <w:tab/>
      </w:r>
      <w:r w:rsidRPr="0CFEFBF2">
        <w:rPr>
          <w:sz w:val="22"/>
          <w:szCs w:val="22"/>
        </w:rPr>
        <w:t xml:space="preserve">Zheng Q, Li Y, Wang DL, Tan YH, Tan XY, Wang HY. Comparative analysis of two different methods in the detection of </w:t>
      </w:r>
      <w:proofErr w:type="spellStart"/>
      <w:r w:rsidRPr="0CFEFBF2">
        <w:rPr>
          <w:sz w:val="22"/>
          <w:szCs w:val="22"/>
        </w:rPr>
        <w:t>Mymycoplasma</w:t>
      </w:r>
      <w:proofErr w:type="spellEnd"/>
      <w:r w:rsidRPr="0CFEFBF2">
        <w:rPr>
          <w:sz w:val="22"/>
          <w:szCs w:val="22"/>
        </w:rPr>
        <w:t xml:space="preserve"> pneumoniae infection in children. China Modern Medicine 2018; 25(36): 140-2.</w:t>
      </w:r>
    </w:p>
    <w:p w14:paraId="1E45F5BB" w14:textId="77777777" w:rsidR="00DA2453" w:rsidRPr="00DA2453" w:rsidRDefault="00DA2453" w:rsidP="00DA2453">
      <w:pPr>
        <w:rPr>
          <w:sz w:val="22"/>
          <w:szCs w:val="22"/>
        </w:rPr>
      </w:pPr>
    </w:p>
    <w:p w14:paraId="7CF0B802" w14:textId="77777777" w:rsidR="00DA2453" w:rsidRPr="00DA2453" w:rsidRDefault="00DA2453" w:rsidP="00DA2453">
      <w:pPr>
        <w:rPr>
          <w:sz w:val="22"/>
          <w:szCs w:val="22"/>
        </w:rPr>
      </w:pPr>
    </w:p>
    <w:p w14:paraId="39D023F5" w14:textId="77777777" w:rsidR="00DA2453" w:rsidRPr="00DA2453" w:rsidRDefault="00DA2453" w:rsidP="00DA2453">
      <w:pPr>
        <w:rPr>
          <w:sz w:val="22"/>
          <w:szCs w:val="22"/>
        </w:rPr>
      </w:pPr>
    </w:p>
    <w:p w14:paraId="4DD925FB" w14:textId="3882EF6B" w:rsidR="005D2F71" w:rsidRPr="00197710" w:rsidRDefault="005D2F71" w:rsidP="00197710">
      <w:pPr>
        <w:rPr>
          <w:sz w:val="22"/>
          <w:szCs w:val="22"/>
        </w:rPr>
      </w:pPr>
    </w:p>
    <w:p w14:paraId="0862973F" w14:textId="77777777" w:rsidR="005D2F71" w:rsidRPr="00197710" w:rsidRDefault="005D2F71" w:rsidP="00197710">
      <w:pPr>
        <w:rPr>
          <w:sz w:val="22"/>
          <w:szCs w:val="22"/>
        </w:rPr>
      </w:pPr>
    </w:p>
    <w:sectPr w:rsidR="005D2F71" w:rsidRPr="0019771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2E3MmZmYmJlMzE2MTBhMDc4MTIwMjA5MDhmNDI4ZGIifQ=="/>
  </w:docVars>
  <w:rsids>
    <w:rsidRoot w:val="7117651D"/>
    <w:rsid w:val="00053646"/>
    <w:rsid w:val="000B2B42"/>
    <w:rsid w:val="00197710"/>
    <w:rsid w:val="001F665D"/>
    <w:rsid w:val="002224A6"/>
    <w:rsid w:val="00267E40"/>
    <w:rsid w:val="003113AF"/>
    <w:rsid w:val="00322D49"/>
    <w:rsid w:val="004D4D27"/>
    <w:rsid w:val="00514AE8"/>
    <w:rsid w:val="00597683"/>
    <w:rsid w:val="005B5641"/>
    <w:rsid w:val="005D2F71"/>
    <w:rsid w:val="006025E7"/>
    <w:rsid w:val="00610257"/>
    <w:rsid w:val="00626543"/>
    <w:rsid w:val="007E6C61"/>
    <w:rsid w:val="00812D31"/>
    <w:rsid w:val="00905902"/>
    <w:rsid w:val="00A03B24"/>
    <w:rsid w:val="00A21EF9"/>
    <w:rsid w:val="00A24432"/>
    <w:rsid w:val="00AC6FB4"/>
    <w:rsid w:val="00B22F42"/>
    <w:rsid w:val="00B2352B"/>
    <w:rsid w:val="00B56DC0"/>
    <w:rsid w:val="00CB6F6B"/>
    <w:rsid w:val="00D52E45"/>
    <w:rsid w:val="00DA2453"/>
    <w:rsid w:val="00DB5EB0"/>
    <w:rsid w:val="00DD0800"/>
    <w:rsid w:val="00DF1717"/>
    <w:rsid w:val="00E1102A"/>
    <w:rsid w:val="00E2362E"/>
    <w:rsid w:val="00F1569E"/>
    <w:rsid w:val="00F810C0"/>
    <w:rsid w:val="00FE4224"/>
    <w:rsid w:val="0CFEFBF2"/>
    <w:rsid w:val="7117651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CF55883"/>
  <w15:docId w15:val="{2511DF8A-0355-A245-A925-B020DB19F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Default Paragraph Font" w:semiHidden="1"/>
    <w:lsdException w:name="Subtitle" w:uiPriority="11"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24432"/>
    <w:rPr>
      <w:rFonts w:eastAsia="Times New Roman"/>
      <w:sz w:val="24"/>
      <w:szCs w:val="24"/>
    </w:rPr>
  </w:style>
  <w:style w:type="paragraph" w:styleId="1">
    <w:name w:val="heading 1"/>
    <w:basedOn w:val="a"/>
    <w:next w:val="a"/>
    <w:link w:val="10"/>
    <w:qFormat/>
    <w:rsid w:val="0005364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1102A"/>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rsid w:val="00053646"/>
    <w:rPr>
      <w:rFonts w:eastAsia="Times New Roman"/>
      <w:b/>
      <w:bCs/>
      <w:kern w:val="44"/>
      <w:sz w:val="44"/>
      <w:szCs w:val="44"/>
    </w:rPr>
  </w:style>
  <w:style w:type="paragraph" w:styleId="TOC">
    <w:name w:val="TOC Heading"/>
    <w:basedOn w:val="1"/>
    <w:next w:val="a"/>
    <w:uiPriority w:val="39"/>
    <w:unhideWhenUsed/>
    <w:qFormat/>
    <w:rsid w:val="00053646"/>
    <w:pPr>
      <w:spacing w:before="480" w:after="0" w:line="276" w:lineRule="auto"/>
      <w:outlineLvl w:val="9"/>
    </w:pPr>
    <w:rPr>
      <w:rFonts w:asciiTheme="majorHAnsi" w:eastAsiaTheme="majorEastAsia" w:hAnsiTheme="majorHAnsi" w:cstheme="majorBidi"/>
      <w:color w:val="2D53A0" w:themeColor="accent1" w:themeShade="BF"/>
      <w:kern w:val="0"/>
      <w:sz w:val="28"/>
      <w:szCs w:val="28"/>
    </w:rPr>
  </w:style>
  <w:style w:type="paragraph" w:styleId="TOC2">
    <w:name w:val="toc 2"/>
    <w:basedOn w:val="a"/>
    <w:next w:val="a"/>
    <w:autoRedefine/>
    <w:uiPriority w:val="39"/>
    <w:unhideWhenUsed/>
    <w:rsid w:val="00053646"/>
    <w:pPr>
      <w:spacing w:before="120"/>
      <w:ind w:left="240"/>
    </w:pPr>
    <w:rPr>
      <w:rFonts w:asciiTheme="minorHAnsi" w:hAnsiTheme="minorHAnsi" w:cstheme="minorHAnsi"/>
      <w:b/>
      <w:bCs/>
      <w:sz w:val="22"/>
      <w:szCs w:val="22"/>
    </w:rPr>
  </w:style>
  <w:style w:type="paragraph" w:styleId="TOC1">
    <w:name w:val="toc 1"/>
    <w:basedOn w:val="a"/>
    <w:next w:val="a"/>
    <w:autoRedefine/>
    <w:uiPriority w:val="39"/>
    <w:unhideWhenUsed/>
    <w:rsid w:val="00053646"/>
    <w:pPr>
      <w:spacing w:before="120"/>
    </w:pPr>
    <w:rPr>
      <w:rFonts w:asciiTheme="minorHAnsi" w:hAnsiTheme="minorHAnsi" w:cstheme="minorHAnsi"/>
      <w:b/>
      <w:bCs/>
      <w:i/>
      <w:iCs/>
    </w:rPr>
  </w:style>
  <w:style w:type="paragraph" w:styleId="TOC3">
    <w:name w:val="toc 3"/>
    <w:basedOn w:val="a"/>
    <w:next w:val="a"/>
    <w:autoRedefine/>
    <w:uiPriority w:val="39"/>
    <w:unhideWhenUsed/>
    <w:rsid w:val="00053646"/>
    <w:pPr>
      <w:ind w:left="480"/>
    </w:pPr>
    <w:rPr>
      <w:rFonts w:asciiTheme="minorHAnsi" w:hAnsiTheme="minorHAnsi" w:cstheme="minorHAnsi"/>
      <w:sz w:val="20"/>
      <w:szCs w:val="20"/>
    </w:rPr>
  </w:style>
  <w:style w:type="paragraph" w:styleId="TOC4">
    <w:name w:val="toc 4"/>
    <w:basedOn w:val="a"/>
    <w:next w:val="a"/>
    <w:autoRedefine/>
    <w:rsid w:val="00053646"/>
    <w:pPr>
      <w:ind w:left="720"/>
    </w:pPr>
    <w:rPr>
      <w:rFonts w:asciiTheme="minorHAnsi" w:hAnsiTheme="minorHAnsi" w:cstheme="minorHAnsi"/>
      <w:sz w:val="20"/>
      <w:szCs w:val="20"/>
    </w:rPr>
  </w:style>
  <w:style w:type="paragraph" w:styleId="TOC5">
    <w:name w:val="toc 5"/>
    <w:basedOn w:val="a"/>
    <w:next w:val="a"/>
    <w:autoRedefine/>
    <w:rsid w:val="00053646"/>
    <w:pPr>
      <w:ind w:left="960"/>
    </w:pPr>
    <w:rPr>
      <w:rFonts w:asciiTheme="minorHAnsi" w:hAnsiTheme="minorHAnsi" w:cstheme="minorHAnsi"/>
      <w:sz w:val="20"/>
      <w:szCs w:val="20"/>
    </w:rPr>
  </w:style>
  <w:style w:type="paragraph" w:styleId="TOC6">
    <w:name w:val="toc 6"/>
    <w:basedOn w:val="a"/>
    <w:next w:val="a"/>
    <w:autoRedefine/>
    <w:rsid w:val="00053646"/>
    <w:pPr>
      <w:ind w:left="1200"/>
    </w:pPr>
    <w:rPr>
      <w:rFonts w:asciiTheme="minorHAnsi" w:hAnsiTheme="minorHAnsi" w:cstheme="minorHAnsi"/>
      <w:sz w:val="20"/>
      <w:szCs w:val="20"/>
    </w:rPr>
  </w:style>
  <w:style w:type="paragraph" w:styleId="TOC7">
    <w:name w:val="toc 7"/>
    <w:basedOn w:val="a"/>
    <w:next w:val="a"/>
    <w:autoRedefine/>
    <w:rsid w:val="00053646"/>
    <w:pPr>
      <w:ind w:left="1440"/>
    </w:pPr>
    <w:rPr>
      <w:rFonts w:asciiTheme="minorHAnsi" w:hAnsiTheme="minorHAnsi" w:cstheme="minorHAnsi"/>
      <w:sz w:val="20"/>
      <w:szCs w:val="20"/>
    </w:rPr>
  </w:style>
  <w:style w:type="paragraph" w:styleId="TOC8">
    <w:name w:val="toc 8"/>
    <w:basedOn w:val="a"/>
    <w:next w:val="a"/>
    <w:autoRedefine/>
    <w:rsid w:val="00053646"/>
    <w:pPr>
      <w:ind w:left="1680"/>
    </w:pPr>
    <w:rPr>
      <w:rFonts w:asciiTheme="minorHAnsi" w:hAnsiTheme="minorHAnsi" w:cstheme="minorHAnsi"/>
      <w:sz w:val="20"/>
      <w:szCs w:val="20"/>
    </w:rPr>
  </w:style>
  <w:style w:type="paragraph" w:styleId="TOC9">
    <w:name w:val="toc 9"/>
    <w:basedOn w:val="a"/>
    <w:next w:val="a"/>
    <w:autoRedefine/>
    <w:rsid w:val="00053646"/>
    <w:pPr>
      <w:ind w:left="1920"/>
    </w:pPr>
    <w:rPr>
      <w:rFonts w:asciiTheme="minorHAnsi" w:hAnsiTheme="minorHAnsi" w:cstheme="minorHAnsi"/>
      <w:sz w:val="20"/>
      <w:szCs w:val="20"/>
    </w:rPr>
  </w:style>
  <w:style w:type="character" w:customStyle="1" w:styleId="a4">
    <w:name w:val="副标题 字符"/>
    <w:basedOn w:val="a0"/>
    <w:link w:val="a5"/>
    <w:uiPriority w:val="11"/>
    <w:rsid w:val="00DB5EB0"/>
    <w:rPr>
      <w:rFonts w:eastAsiaTheme="minorEastAsia"/>
      <w:color w:val="5A5A5A" w:themeColor="text1" w:themeTint="A5"/>
      <w:spacing w:val="15"/>
    </w:rPr>
  </w:style>
  <w:style w:type="paragraph" w:styleId="a5">
    <w:name w:val="Subtitle"/>
    <w:basedOn w:val="a"/>
    <w:next w:val="a"/>
    <w:link w:val="a4"/>
    <w:uiPriority w:val="11"/>
    <w:qFormat/>
    <w:rsid w:val="00DB5EB0"/>
    <w:pPr>
      <w:numPr>
        <w:ilvl w:val="1"/>
      </w:numPr>
    </w:pPr>
    <w:rPr>
      <w:rFonts w:eastAsiaTheme="minorEastAsia"/>
      <w:color w:val="5A5A5A" w:themeColor="text1" w:themeTint="A5"/>
      <w:spacing w:val="15"/>
      <w:sz w:val="20"/>
      <w:szCs w:val="20"/>
    </w:rPr>
  </w:style>
  <w:style w:type="character" w:customStyle="1" w:styleId="11">
    <w:name w:val="副标题 字符1"/>
    <w:basedOn w:val="a0"/>
    <w:rsid w:val="00DB5EB0"/>
    <w:rPr>
      <w:rFonts w:asciiTheme="minorHAnsi" w:eastAsiaTheme="minorEastAsia" w:hAnsiTheme="minorHAnsi" w:cstheme="minorBidi"/>
      <w:b/>
      <w:bCs/>
      <w:kern w:val="28"/>
      <w:sz w:val="32"/>
      <w:szCs w:val="32"/>
    </w:rPr>
  </w:style>
  <w:style w:type="character" w:styleId="a6">
    <w:name w:val="Hyperlink"/>
    <w:basedOn w:val="a0"/>
    <w:uiPriority w:val="99"/>
    <w:unhideWhenUsed/>
    <w:rsid w:val="00DB5EB0"/>
    <w:rPr>
      <w:color w:val="0026E5"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6078373">
      <w:bodyDiv w:val="1"/>
      <w:marLeft w:val="0"/>
      <w:marRight w:val="0"/>
      <w:marTop w:val="0"/>
      <w:marBottom w:val="0"/>
      <w:divBdr>
        <w:top w:val="none" w:sz="0" w:space="0" w:color="auto"/>
        <w:left w:val="none" w:sz="0" w:space="0" w:color="auto"/>
        <w:bottom w:val="none" w:sz="0" w:space="0" w:color="auto"/>
        <w:right w:val="none" w:sz="0" w:space="0" w:color="auto"/>
      </w:divBdr>
    </w:div>
    <w:div w:id="1029255915">
      <w:bodyDiv w:val="1"/>
      <w:marLeft w:val="0"/>
      <w:marRight w:val="0"/>
      <w:marTop w:val="0"/>
      <w:marBottom w:val="0"/>
      <w:divBdr>
        <w:top w:val="none" w:sz="0" w:space="0" w:color="auto"/>
        <w:left w:val="none" w:sz="0" w:space="0" w:color="auto"/>
        <w:bottom w:val="none" w:sz="0" w:space="0" w:color="auto"/>
        <w:right w:val="none" w:sz="0" w:space="0" w:color="auto"/>
      </w:divBdr>
    </w:div>
    <w:div w:id="18449724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64C380-5C85-494E-8FEC-5614DFDED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10</Pages>
  <Words>3364</Words>
  <Characters>19180</Characters>
  <Application>Microsoft Office Word</Application>
  <DocSecurity>0</DocSecurity>
  <Lines>159</Lines>
  <Paragraphs>44</Paragraphs>
  <ScaleCrop>false</ScaleCrop>
  <Company/>
  <LinksUpToDate>false</LinksUpToDate>
  <CharactersWithSpaces>22500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Aiwei</dc:creator>
  <cp:keywords/>
  <cp:lastModifiedBy>Yewei Xie</cp:lastModifiedBy>
  <cp:revision>17</cp:revision>
  <dcterms:created xsi:type="dcterms:W3CDTF">2024-05-01T14:22:00Z</dcterms:created>
  <dcterms:modified xsi:type="dcterms:W3CDTF">2024-09-08T15:18:00Z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5E17B60E062742E98AA1F99F0A0AF2CC_11</vt:lpwstr>
  </property>
</Properties>
</file>