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ED6CB1C" w14:textId="77777777" w:rsidR="001512BD" w:rsidRPr="004B40B1" w:rsidRDefault="002E61AC" w:rsidP="00841499">
      <w:pPr>
        <w:jc w:val="both"/>
        <w:rPr>
          <w:b/>
          <w:lang w:val="en-US"/>
        </w:rPr>
      </w:pPr>
      <w:r w:rsidRPr="004B40B1">
        <w:rPr>
          <w:b/>
          <w:lang w:val="en-US"/>
        </w:rPr>
        <w:t xml:space="preserve">Supplemental Material 1 </w:t>
      </w:r>
    </w:p>
    <w:p w14:paraId="613A99EE" w14:textId="77777777" w:rsidR="001512BD" w:rsidRPr="004B40B1" w:rsidRDefault="002E61AC" w:rsidP="00841499">
      <w:pPr>
        <w:jc w:val="both"/>
        <w:rPr>
          <w:rStyle w:val="Fett"/>
          <w:lang w:val="en-GB"/>
        </w:rPr>
      </w:pPr>
      <w:r w:rsidRPr="004B40B1">
        <w:rPr>
          <w:rStyle w:val="Fett"/>
          <w:lang w:val="en-US"/>
        </w:rPr>
        <w:t xml:space="preserve">Morphogenesis of the dehiscence zone in </w:t>
      </w:r>
      <w:r w:rsidRPr="004B40B1">
        <w:rPr>
          <w:rStyle w:val="Fett"/>
          <w:i/>
          <w:lang w:val="en-US"/>
        </w:rPr>
        <w:t>Eschscholzia californica</w:t>
      </w:r>
      <w:r w:rsidRPr="004B40B1">
        <w:rPr>
          <w:rStyle w:val="Fett"/>
          <w:lang w:val="en-US"/>
        </w:rPr>
        <w:t xml:space="preserve"> fruits</w:t>
      </w:r>
    </w:p>
    <w:p w14:paraId="20303879" w14:textId="77777777" w:rsidR="001512BD" w:rsidRPr="004B40B1" w:rsidRDefault="002E61AC" w:rsidP="00841499">
      <w:pPr>
        <w:jc w:val="both"/>
        <w:rPr>
          <w:lang w:val="en-US"/>
        </w:rPr>
      </w:pPr>
      <w:r w:rsidRPr="004B40B1">
        <w:rPr>
          <w:lang w:val="en-US"/>
        </w:rPr>
        <w:t>To broaden our knowledge of the dz formation in California poppy, we analyzed the successive lignification events in WT capsules by establishing a time series from 2 to 32 dap with 2-day-intervals of sample collections. Based on our observations, we distinguished six key lignification events starting from xylem lignification in vascular bundles (vb), until a closed lignified tissue ring through the entire fruit was observed in cross sections (see table 1).</w:t>
      </w:r>
    </w:p>
    <w:tbl>
      <w:tblPr>
        <w:tblStyle w:val="Tabellenraster"/>
        <w:tblW w:w="9175" w:type="dxa"/>
        <w:tblLook w:val="04A0" w:firstRow="1" w:lastRow="0" w:firstColumn="1" w:lastColumn="0" w:noHBand="0" w:noVBand="1"/>
      </w:tblPr>
      <w:tblGrid>
        <w:gridCol w:w="833"/>
        <w:gridCol w:w="981"/>
        <w:gridCol w:w="7361"/>
      </w:tblGrid>
      <w:tr w:rsidR="001512BD" w:rsidRPr="004B40B1" w14:paraId="0F47CAF0" w14:textId="77777777">
        <w:tc>
          <w:tcPr>
            <w:tcW w:w="833" w:type="dxa"/>
          </w:tcPr>
          <w:p w14:paraId="74F33AD8" w14:textId="77777777" w:rsidR="001512BD" w:rsidRPr="004B40B1" w:rsidRDefault="002E61AC" w:rsidP="00841499">
            <w:pPr>
              <w:jc w:val="both"/>
              <w:rPr>
                <w:b/>
                <w:bCs/>
                <w:lang w:val="en-US"/>
              </w:rPr>
            </w:pPr>
            <w:r w:rsidRPr="004B40B1">
              <w:rPr>
                <w:b/>
                <w:bCs/>
                <w:lang w:val="en-US"/>
              </w:rPr>
              <w:t>Event</w:t>
            </w:r>
          </w:p>
        </w:tc>
        <w:tc>
          <w:tcPr>
            <w:tcW w:w="981" w:type="dxa"/>
          </w:tcPr>
          <w:p w14:paraId="322555D9" w14:textId="77777777" w:rsidR="001512BD" w:rsidRPr="004B40B1" w:rsidRDefault="002E61AC" w:rsidP="00841499">
            <w:pPr>
              <w:jc w:val="both"/>
              <w:rPr>
                <w:b/>
                <w:bCs/>
                <w:lang w:val="en-US"/>
              </w:rPr>
            </w:pPr>
            <w:r w:rsidRPr="004B40B1">
              <w:rPr>
                <w:b/>
                <w:bCs/>
                <w:lang w:val="en-US"/>
              </w:rPr>
              <w:t>dap</w:t>
            </w:r>
          </w:p>
        </w:tc>
        <w:tc>
          <w:tcPr>
            <w:tcW w:w="7361" w:type="dxa"/>
          </w:tcPr>
          <w:p w14:paraId="5D5B3687" w14:textId="77777777" w:rsidR="001512BD" w:rsidRPr="004B40B1" w:rsidRDefault="002E61AC" w:rsidP="00841499">
            <w:pPr>
              <w:jc w:val="both"/>
              <w:rPr>
                <w:b/>
                <w:bCs/>
                <w:lang w:val="en-US"/>
              </w:rPr>
            </w:pPr>
            <w:r w:rsidRPr="004B40B1">
              <w:rPr>
                <w:b/>
                <w:bCs/>
                <w:lang w:val="en-US"/>
              </w:rPr>
              <w:t>Description</w:t>
            </w:r>
          </w:p>
        </w:tc>
      </w:tr>
      <w:tr w:rsidR="001512BD" w:rsidRPr="004B40B1" w14:paraId="3FC454BA" w14:textId="77777777">
        <w:tc>
          <w:tcPr>
            <w:tcW w:w="833" w:type="dxa"/>
          </w:tcPr>
          <w:p w14:paraId="50411042" w14:textId="77777777" w:rsidR="001512BD" w:rsidRPr="004B40B1" w:rsidRDefault="002E61AC" w:rsidP="00841499">
            <w:pPr>
              <w:jc w:val="both"/>
              <w:rPr>
                <w:lang w:val="en-US"/>
              </w:rPr>
            </w:pPr>
            <w:r w:rsidRPr="004B40B1">
              <w:rPr>
                <w:lang w:val="en-US"/>
              </w:rPr>
              <w:t>I</w:t>
            </w:r>
          </w:p>
        </w:tc>
        <w:tc>
          <w:tcPr>
            <w:tcW w:w="981" w:type="dxa"/>
          </w:tcPr>
          <w:p w14:paraId="6B19A138" w14:textId="77777777" w:rsidR="001512BD" w:rsidRPr="004B40B1" w:rsidRDefault="002E61AC" w:rsidP="00841499">
            <w:pPr>
              <w:jc w:val="both"/>
              <w:rPr>
                <w:lang w:val="en-US"/>
              </w:rPr>
            </w:pPr>
            <w:r w:rsidRPr="004B40B1">
              <w:rPr>
                <w:lang w:val="en-US"/>
              </w:rPr>
              <w:t>2 – 10</w:t>
            </w:r>
          </w:p>
        </w:tc>
        <w:tc>
          <w:tcPr>
            <w:tcW w:w="7361" w:type="dxa"/>
          </w:tcPr>
          <w:p w14:paraId="514ADB1A" w14:textId="77777777" w:rsidR="001512BD" w:rsidRPr="004B40B1" w:rsidRDefault="002E61AC" w:rsidP="00841499">
            <w:pPr>
              <w:jc w:val="both"/>
              <w:rPr>
                <w:lang w:val="en-US"/>
              </w:rPr>
            </w:pPr>
            <w:r w:rsidRPr="004B40B1">
              <w:rPr>
                <w:lang w:val="en-US"/>
              </w:rPr>
              <w:t>Xylem of the vascular bundles is lignified</w:t>
            </w:r>
          </w:p>
        </w:tc>
      </w:tr>
      <w:tr w:rsidR="001512BD" w:rsidRPr="004B40B1" w14:paraId="2ABFF108" w14:textId="77777777">
        <w:tc>
          <w:tcPr>
            <w:tcW w:w="833" w:type="dxa"/>
          </w:tcPr>
          <w:p w14:paraId="69F34D11" w14:textId="77777777" w:rsidR="001512BD" w:rsidRPr="004B40B1" w:rsidRDefault="002E61AC" w:rsidP="00841499">
            <w:pPr>
              <w:jc w:val="both"/>
              <w:rPr>
                <w:lang w:val="en-US"/>
              </w:rPr>
            </w:pPr>
            <w:r w:rsidRPr="004B40B1">
              <w:rPr>
                <w:lang w:val="en-US"/>
              </w:rPr>
              <w:t>II</w:t>
            </w:r>
          </w:p>
        </w:tc>
        <w:tc>
          <w:tcPr>
            <w:tcW w:w="981" w:type="dxa"/>
          </w:tcPr>
          <w:p w14:paraId="35E07BCA" w14:textId="77777777" w:rsidR="001512BD" w:rsidRPr="004B40B1" w:rsidRDefault="002E61AC" w:rsidP="00841499">
            <w:pPr>
              <w:jc w:val="both"/>
              <w:rPr>
                <w:lang w:val="en-US"/>
              </w:rPr>
            </w:pPr>
            <w:r w:rsidRPr="004B40B1">
              <w:rPr>
                <w:lang w:val="en-US"/>
              </w:rPr>
              <w:t>11 – 14</w:t>
            </w:r>
          </w:p>
        </w:tc>
        <w:tc>
          <w:tcPr>
            <w:tcW w:w="7361" w:type="dxa"/>
          </w:tcPr>
          <w:p w14:paraId="7FF9BC76" w14:textId="77777777" w:rsidR="001512BD" w:rsidRPr="004B40B1" w:rsidRDefault="002E61AC" w:rsidP="00841499">
            <w:pPr>
              <w:jc w:val="both"/>
              <w:rPr>
                <w:lang w:val="en-US"/>
              </w:rPr>
            </w:pPr>
            <w:r w:rsidRPr="004B40B1">
              <w:rPr>
                <w:lang w:val="en-US"/>
              </w:rPr>
              <w:t>Start of lignification of cap-like sclerenchyma covering the vascular bundles in replum and valves</w:t>
            </w:r>
          </w:p>
        </w:tc>
      </w:tr>
      <w:tr w:rsidR="001512BD" w:rsidRPr="004B40B1" w14:paraId="6B701B26" w14:textId="77777777">
        <w:tc>
          <w:tcPr>
            <w:tcW w:w="833" w:type="dxa"/>
          </w:tcPr>
          <w:p w14:paraId="208E849E" w14:textId="77777777" w:rsidR="001512BD" w:rsidRPr="004B40B1" w:rsidRDefault="002E61AC" w:rsidP="00841499">
            <w:pPr>
              <w:jc w:val="both"/>
              <w:rPr>
                <w:lang w:val="en-US"/>
              </w:rPr>
            </w:pPr>
            <w:r w:rsidRPr="004B40B1">
              <w:rPr>
                <w:lang w:val="en-US"/>
              </w:rPr>
              <w:t>III</w:t>
            </w:r>
          </w:p>
        </w:tc>
        <w:tc>
          <w:tcPr>
            <w:tcW w:w="981" w:type="dxa"/>
          </w:tcPr>
          <w:p w14:paraId="16826A88" w14:textId="77777777" w:rsidR="001512BD" w:rsidRPr="004B40B1" w:rsidRDefault="002E61AC" w:rsidP="00841499">
            <w:pPr>
              <w:jc w:val="both"/>
              <w:rPr>
                <w:lang w:val="en-US"/>
              </w:rPr>
            </w:pPr>
            <w:r w:rsidRPr="004B40B1">
              <w:rPr>
                <w:lang w:val="en-US"/>
              </w:rPr>
              <w:t>15 – 20</w:t>
            </w:r>
          </w:p>
        </w:tc>
        <w:tc>
          <w:tcPr>
            <w:tcW w:w="7361" w:type="dxa"/>
          </w:tcPr>
          <w:p w14:paraId="243DA1AC" w14:textId="77777777" w:rsidR="001512BD" w:rsidRPr="004B40B1" w:rsidRDefault="002E61AC" w:rsidP="00841499">
            <w:pPr>
              <w:jc w:val="both"/>
              <w:rPr>
                <w:lang w:val="en-US"/>
              </w:rPr>
            </w:pPr>
            <w:r w:rsidRPr="004B40B1">
              <w:t>Increment of sclerenchyma lignification</w:t>
            </w:r>
          </w:p>
        </w:tc>
      </w:tr>
      <w:tr w:rsidR="001512BD" w:rsidRPr="004B40B1" w14:paraId="3C96A8A6" w14:textId="77777777">
        <w:tc>
          <w:tcPr>
            <w:tcW w:w="833" w:type="dxa"/>
          </w:tcPr>
          <w:p w14:paraId="46CE6E93" w14:textId="77777777" w:rsidR="001512BD" w:rsidRPr="004B40B1" w:rsidRDefault="002E61AC" w:rsidP="00841499">
            <w:pPr>
              <w:jc w:val="both"/>
              <w:rPr>
                <w:lang w:val="en-US"/>
              </w:rPr>
            </w:pPr>
            <w:r w:rsidRPr="004B40B1">
              <w:rPr>
                <w:lang w:val="en-US"/>
              </w:rPr>
              <w:t>IV</w:t>
            </w:r>
          </w:p>
        </w:tc>
        <w:tc>
          <w:tcPr>
            <w:tcW w:w="981" w:type="dxa"/>
          </w:tcPr>
          <w:p w14:paraId="7874DB49" w14:textId="77777777" w:rsidR="001512BD" w:rsidRPr="004B40B1" w:rsidRDefault="002E61AC" w:rsidP="00841499">
            <w:pPr>
              <w:jc w:val="both"/>
              <w:rPr>
                <w:lang w:val="en-US"/>
              </w:rPr>
            </w:pPr>
            <w:r w:rsidRPr="004B40B1">
              <w:rPr>
                <w:lang w:val="en-US"/>
              </w:rPr>
              <w:t>18+</w:t>
            </w:r>
          </w:p>
        </w:tc>
        <w:tc>
          <w:tcPr>
            <w:tcW w:w="7361" w:type="dxa"/>
          </w:tcPr>
          <w:p w14:paraId="360D7036" w14:textId="77777777" w:rsidR="001512BD" w:rsidRPr="004B40B1" w:rsidRDefault="002E61AC" w:rsidP="00841499">
            <w:pPr>
              <w:jc w:val="both"/>
              <w:rPr>
                <w:lang w:val="en-US"/>
              </w:rPr>
            </w:pPr>
            <w:r w:rsidRPr="004B40B1">
              <w:rPr>
                <w:lang w:val="en-US"/>
              </w:rPr>
              <w:t>Formation of lignified sclereids from intervening parenchyma between the sclerenchyma caps starting at the replum/valve interface</w:t>
            </w:r>
          </w:p>
        </w:tc>
      </w:tr>
      <w:tr w:rsidR="001512BD" w:rsidRPr="004B40B1" w14:paraId="0FB7D584" w14:textId="77777777">
        <w:tc>
          <w:tcPr>
            <w:tcW w:w="833" w:type="dxa"/>
          </w:tcPr>
          <w:p w14:paraId="7AD0CAC2" w14:textId="77777777" w:rsidR="001512BD" w:rsidRPr="004B40B1" w:rsidRDefault="002E61AC" w:rsidP="00841499">
            <w:pPr>
              <w:jc w:val="both"/>
              <w:rPr>
                <w:lang w:val="en-US"/>
              </w:rPr>
            </w:pPr>
            <w:r w:rsidRPr="004B40B1">
              <w:rPr>
                <w:lang w:val="en-US"/>
              </w:rPr>
              <w:t>V</w:t>
            </w:r>
          </w:p>
        </w:tc>
        <w:tc>
          <w:tcPr>
            <w:tcW w:w="981" w:type="dxa"/>
          </w:tcPr>
          <w:p w14:paraId="36FF683E" w14:textId="77777777" w:rsidR="001512BD" w:rsidRPr="004B40B1" w:rsidRDefault="002E61AC" w:rsidP="00841499">
            <w:pPr>
              <w:jc w:val="both"/>
              <w:rPr>
                <w:lang w:val="en-US"/>
              </w:rPr>
            </w:pPr>
            <w:r w:rsidRPr="004B40B1">
              <w:rPr>
                <w:lang w:val="en-US"/>
              </w:rPr>
              <w:t>26</w:t>
            </w:r>
          </w:p>
        </w:tc>
        <w:tc>
          <w:tcPr>
            <w:tcW w:w="7361" w:type="dxa"/>
          </w:tcPr>
          <w:p w14:paraId="7F4EDE6C" w14:textId="77777777" w:rsidR="001512BD" w:rsidRPr="004B40B1" w:rsidRDefault="002E61AC" w:rsidP="00841499">
            <w:pPr>
              <w:jc w:val="both"/>
              <w:rPr>
                <w:lang w:val="en-US"/>
              </w:rPr>
            </w:pPr>
            <w:r w:rsidRPr="004B40B1">
              <w:rPr>
                <w:lang w:val="en-US"/>
              </w:rPr>
              <w:t>Complete conjunction of lignified tissues in the valves, connecting lateral and median ridges with the intervening small sclerenchyma caps via sclereids</w:t>
            </w:r>
          </w:p>
        </w:tc>
      </w:tr>
      <w:tr w:rsidR="001512BD" w:rsidRPr="004B40B1" w14:paraId="58EA7681" w14:textId="77777777">
        <w:tc>
          <w:tcPr>
            <w:tcW w:w="833" w:type="dxa"/>
          </w:tcPr>
          <w:p w14:paraId="1A86DB3C" w14:textId="77777777" w:rsidR="001512BD" w:rsidRPr="004B40B1" w:rsidRDefault="002E61AC" w:rsidP="00841499">
            <w:pPr>
              <w:jc w:val="both"/>
              <w:rPr>
                <w:lang w:val="en-US"/>
              </w:rPr>
            </w:pPr>
            <w:r w:rsidRPr="004B40B1">
              <w:rPr>
                <w:lang w:val="en-US"/>
              </w:rPr>
              <w:t>VI</w:t>
            </w:r>
          </w:p>
        </w:tc>
        <w:tc>
          <w:tcPr>
            <w:tcW w:w="981" w:type="dxa"/>
          </w:tcPr>
          <w:p w14:paraId="42953BB4" w14:textId="77777777" w:rsidR="001512BD" w:rsidRPr="004B40B1" w:rsidRDefault="002E61AC" w:rsidP="00841499">
            <w:pPr>
              <w:jc w:val="both"/>
              <w:rPr>
                <w:lang w:val="en-US"/>
              </w:rPr>
            </w:pPr>
            <w:r w:rsidRPr="004B40B1">
              <w:rPr>
                <w:lang w:val="en-US"/>
              </w:rPr>
              <w:t>28+</w:t>
            </w:r>
          </w:p>
        </w:tc>
        <w:tc>
          <w:tcPr>
            <w:tcW w:w="7361" w:type="dxa"/>
          </w:tcPr>
          <w:p w14:paraId="722036FD" w14:textId="77777777" w:rsidR="001512BD" w:rsidRPr="004B40B1" w:rsidRDefault="002E61AC" w:rsidP="00841499">
            <w:pPr>
              <w:keepNext/>
              <w:jc w:val="both"/>
              <w:rPr>
                <w:lang w:val="en-US"/>
              </w:rPr>
            </w:pPr>
            <w:r w:rsidRPr="004B40B1">
              <w:rPr>
                <w:lang w:val="en-US"/>
              </w:rPr>
              <w:t>Lignification of the separation layers at the dz and closure of the ring of lignified tissue</w:t>
            </w:r>
          </w:p>
        </w:tc>
      </w:tr>
    </w:tbl>
    <w:p w14:paraId="35D11099" w14:textId="3ED47291" w:rsidR="001512BD" w:rsidRPr="004B40B1" w:rsidRDefault="002E61AC" w:rsidP="00841499">
      <w:pPr>
        <w:pStyle w:val="Beschriftung"/>
        <w:jc w:val="both"/>
        <w:rPr>
          <w:lang w:val="en-US"/>
        </w:rPr>
      </w:pPr>
      <w:r w:rsidRPr="004B40B1">
        <w:rPr>
          <w:lang w:val="en-US"/>
        </w:rPr>
        <w:t xml:space="preserve">Table </w:t>
      </w:r>
      <w:r w:rsidRPr="004B40B1">
        <w:fldChar w:fldCharType="begin"/>
      </w:r>
      <w:r w:rsidRPr="004B40B1">
        <w:rPr>
          <w:lang w:val="en-US"/>
        </w:rPr>
        <w:instrText xml:space="preserve"> SEQ Table \* ARABIC </w:instrText>
      </w:r>
      <w:r w:rsidRPr="004B40B1">
        <w:fldChar w:fldCharType="separate"/>
      </w:r>
      <w:r w:rsidR="00841499" w:rsidRPr="004B40B1">
        <w:rPr>
          <w:noProof/>
          <w:lang w:val="en-US"/>
        </w:rPr>
        <w:t>1</w:t>
      </w:r>
      <w:r w:rsidRPr="004B40B1">
        <w:fldChar w:fldCharType="end"/>
      </w:r>
      <w:r w:rsidRPr="004B40B1">
        <w:rPr>
          <w:lang w:val="en-US"/>
        </w:rPr>
        <w:t xml:space="preserve"> Summary of six lignification events during fruit development in E. californica</w:t>
      </w:r>
    </w:p>
    <w:p w14:paraId="3076A057" w14:textId="77777777" w:rsidR="001512BD" w:rsidRPr="004B40B1" w:rsidRDefault="002E61AC" w:rsidP="00841499">
      <w:pPr>
        <w:jc w:val="both"/>
        <w:rPr>
          <w:lang w:val="en-US"/>
        </w:rPr>
      </w:pPr>
      <w:r w:rsidRPr="004B40B1">
        <w:rPr>
          <w:lang w:val="en-US"/>
        </w:rPr>
        <w:t xml:space="preserve">During the early time frame (2-10 dap), lignification was only observed in the adaxial xylem tissue of the vascular bundles in the fruit wall, which were circularly arranged and radially separated by parenchyma. Adjacent to each vascular bundle in abaxial direction, a cap-shaped cluster of future sclerenchyma fibers became visible at 2 dap (Suppl. Fig. 2 A and B). These cells later maturated to form the stabilizing lateral and median valve ridges (lvr and mvr, respectively) alternating with smaller sclerenchyma caps (sc) in the valve region, and also the replum sclerenchyma (rs) in the dz (Fig. 2 A). At 6 dap, the sclerenchyma had further differentiated - particularly in the dz - and could be more clearly identified, but no progression of lignification was observed in the valve or dz regions (Suppl. Fig. 2 C and D). In the replum (r), thick-walled cells with a small lumen also start to differentiate on the adaxial side of the vb (Suppl. Fig. 2 D arrow) which, however, remained unlignified throughout fruit development (cf. Fig. 2 A). </w:t>
      </w:r>
    </w:p>
    <w:p w14:paraId="51F1EC84" w14:textId="162E867A" w:rsidR="001512BD" w:rsidRPr="004B40B1" w:rsidRDefault="002E61AC" w:rsidP="00841499">
      <w:pPr>
        <w:jc w:val="both"/>
        <w:rPr>
          <w:lang w:val="en-US"/>
        </w:rPr>
      </w:pPr>
      <w:r w:rsidRPr="004B40B1">
        <w:rPr>
          <w:lang w:val="en-US"/>
        </w:rPr>
        <w:t>As fruit maturation continued, observation of paraplast sections was hindered by rupture of only the dz sclerenchyma, which occurred already at 10 dap and preceded the onset of detectable lignification of all sclerenchyma caps in the fruit. This lignification event was detected by phloroglucinol staining only after 11 dap and proceeded evenly (Suppl. Fig. 2 E-G for 16 dap) until the maximum intensity of staining was reached at 20 dap (Suppl. Fig. 2 H-J for 20 dap and K-M for 30 dap). Particularly in the rs, sclerenchyma cells differentiated successively in centrifugal direction (Suppl. Fig. 2 F, G</w:t>
      </w:r>
      <w:r w:rsidR="007B6978" w:rsidRPr="004B40B1">
        <w:rPr>
          <w:lang w:val="en-US"/>
        </w:rPr>
        <w:t>, and I, J</w:t>
      </w:r>
      <w:r w:rsidRPr="004B40B1">
        <w:rPr>
          <w:lang w:val="en-US"/>
        </w:rPr>
        <w:t xml:space="preserve">). </w:t>
      </w:r>
    </w:p>
    <w:p w14:paraId="110ACD8D" w14:textId="7360C64F" w:rsidR="00841499" w:rsidRPr="004B40B1" w:rsidRDefault="002E61AC" w:rsidP="00841499">
      <w:pPr>
        <w:jc w:val="both"/>
        <w:rPr>
          <w:lang w:val="en-US"/>
        </w:rPr>
      </w:pPr>
      <w:r w:rsidRPr="004B40B1">
        <w:rPr>
          <w:lang w:val="en-US"/>
        </w:rPr>
        <w:t xml:space="preserve">Up to and including 16 dap, however, radially arranged parenchyma cells between the bundles and caps in the valves (Suppl. Fig. 2 E, black arrows) stayed unstained, and also the separation layers (sl) between the lvr and the rs in the dz remained non-lignified (Suppl. Fig. 2 F and G, black arrows). Thereafter, few tangential layers of the radial parenchyma cells became enlarged and developed into lignified sclereids (Suppl. Fig. 2 H, black arrow) starting synchronously at all lvr and proceeding towards the centers of both valves. At 26 dap, these sclereids had successively interconnected lvr, mvr and the intervening sc to complete lignified tissue conjunctions in the valves (Fig. 2 A and Suppl. Fig. 2 K). Adjacent to lvr, some sclereids were also formed towards the sl in the dz, mainly on the abaxial side where the rs is located </w:t>
      </w:r>
      <w:r w:rsidR="0043632A" w:rsidRPr="004B40B1">
        <w:rPr>
          <w:lang w:val="en-US"/>
        </w:rPr>
        <w:t>Suppl. Fig. 2 I,</w:t>
      </w:r>
      <w:r w:rsidR="007B6978" w:rsidRPr="004B40B1">
        <w:rPr>
          <w:lang w:val="en-US"/>
        </w:rPr>
        <w:t xml:space="preserve"> J).</w:t>
      </w:r>
      <w:r w:rsidRPr="004B40B1">
        <w:rPr>
          <w:lang w:val="en-US"/>
        </w:rPr>
        <w:t xml:space="preserve"> However, the proper sl remained parenchymatous until 30 </w:t>
      </w:r>
      <w:r w:rsidRPr="004B40B1">
        <w:rPr>
          <w:lang w:val="en-US"/>
        </w:rPr>
        <w:lastRenderedPageBreak/>
        <w:t>dap (Suppl. Fig. 2 L and M, white arrows) and was the last tissue to become lignified, so that finally a closed lignified tissue ring through the entire matur</w:t>
      </w:r>
      <w:r w:rsidR="00841499" w:rsidRPr="004B40B1">
        <w:rPr>
          <w:lang w:val="en-US"/>
        </w:rPr>
        <w:t>e fruit was observed (Fig. 2 A).</w:t>
      </w:r>
    </w:p>
    <w:p w14:paraId="490B65A9" w14:textId="1E8AD555" w:rsidR="001512BD" w:rsidRPr="004B40B1" w:rsidRDefault="002E61AC" w:rsidP="00841499">
      <w:pPr>
        <w:jc w:val="both"/>
        <w:rPr>
          <w:lang w:val="en-US"/>
        </w:rPr>
      </w:pPr>
      <w:r w:rsidRPr="004B40B1">
        <w:rPr>
          <w:lang w:val="en-US"/>
        </w:rPr>
        <w:br/>
        <w:t>Since lignification events in the endocarp layer were reported to play an important role in fruit s</w:t>
      </w:r>
      <w:r w:rsidR="004646A1" w:rsidRPr="004B40B1">
        <w:rPr>
          <w:lang w:val="en-US"/>
        </w:rPr>
        <w:t>cattering e.g. in Brassicaceae (Hofhuis et al., 2016)</w:t>
      </w:r>
      <w:r w:rsidR="000F0230" w:rsidRPr="004B40B1">
        <w:rPr>
          <w:lang w:val="en-US"/>
        </w:rPr>
        <w:t>,</w:t>
      </w:r>
      <w:r w:rsidR="004646A1" w:rsidRPr="004B40B1">
        <w:rPr>
          <w:lang w:val="en-US"/>
        </w:rPr>
        <w:t xml:space="preserve"> </w:t>
      </w:r>
      <w:r w:rsidRPr="004B40B1">
        <w:rPr>
          <w:lang w:val="en-US"/>
        </w:rPr>
        <w:t xml:space="preserve">we also focused on the development of the innermost cell layer in </w:t>
      </w:r>
      <w:r w:rsidRPr="004B40B1">
        <w:rPr>
          <w:i/>
          <w:iCs/>
          <w:lang w:val="en-US"/>
        </w:rPr>
        <w:t>E. californica</w:t>
      </w:r>
      <w:r w:rsidRPr="004B40B1">
        <w:rPr>
          <w:lang w:val="en-US"/>
        </w:rPr>
        <w:t xml:space="preserve"> WT capsule walls (Suppl. Fig. 2 N-P). The endocarp layer possessed stomata (arrowheads in Suppl. Fig. 2 N) and was composed of large cells with thick, but non</w:t>
      </w:r>
      <w:r w:rsidR="000F2503" w:rsidRPr="004B40B1">
        <w:rPr>
          <w:lang w:val="en-US"/>
        </w:rPr>
        <w:t>-</w:t>
      </w:r>
      <w:r w:rsidRPr="004B40B1">
        <w:rPr>
          <w:lang w:val="en-US"/>
        </w:rPr>
        <w:t xml:space="preserve">lignified, tangential walls at 16 dap. At the valve margins, also the inner layer(s) of the 4-6 parenchyma layers adaxial of the vascular bundles became slightly enlarged (asterisks in Suppl. Fig. 2 O for 20 dap). During fruit maturation, endodermal cells and adjacent parenchyma layers collapsed successively starting at the median regions of the valves (Suppl. Fig. 2 O, 20 dap) and proceeding towards the valve margins (Suppl. Fig. 2 P, 22 dap). Lignification of the inner tissues of the capsule wall was never observed at any developmental stage (cf. also Fig. 2 A). In contrast to the development of the closed lignified tissue ring in the </w:t>
      </w:r>
      <w:r w:rsidRPr="004B40B1">
        <w:rPr>
          <w:i/>
          <w:lang w:val="en-US"/>
        </w:rPr>
        <w:t xml:space="preserve">E. californica </w:t>
      </w:r>
      <w:r w:rsidRPr="004B40B1">
        <w:rPr>
          <w:lang w:val="en-US"/>
        </w:rPr>
        <w:t>capsules described above, chronology of the development of the inner fruit-wall tissues was not strictly synchronized or correlated to the dap. It might rather be influenced by mechanical effects caused by the progress of seed growth.</w:t>
      </w:r>
    </w:p>
    <w:p w14:paraId="31FFB231" w14:textId="3963C8C2" w:rsidR="004646A1" w:rsidRPr="004B40B1" w:rsidRDefault="004646A1" w:rsidP="00841499">
      <w:pPr>
        <w:jc w:val="both"/>
        <w:rPr>
          <w:lang w:val="en-US"/>
        </w:rPr>
      </w:pPr>
    </w:p>
    <w:p w14:paraId="441994D7" w14:textId="6F7C2A5F" w:rsidR="004646A1" w:rsidRPr="004B40B1" w:rsidRDefault="004646A1" w:rsidP="00841499">
      <w:pPr>
        <w:jc w:val="both"/>
        <w:rPr>
          <w:lang w:val="en-US"/>
        </w:rPr>
      </w:pPr>
      <w:r w:rsidRPr="004B40B1">
        <w:rPr>
          <w:lang w:val="en-US"/>
        </w:rPr>
        <w:t>References</w:t>
      </w:r>
    </w:p>
    <w:p w14:paraId="09727E31" w14:textId="76B42790" w:rsidR="004646A1" w:rsidRDefault="004646A1" w:rsidP="00841499">
      <w:pPr>
        <w:jc w:val="both"/>
        <w:rPr>
          <w:lang w:val="en-US"/>
        </w:rPr>
      </w:pPr>
      <w:r w:rsidRPr="004B40B1">
        <w:rPr>
          <w:lang w:val="en-US"/>
        </w:rPr>
        <w:t>Hofhuis et al., 2016 (https://doi.org/10.1016/j.cell.2016.05.002)</w:t>
      </w:r>
      <w:bookmarkStart w:id="0" w:name="_GoBack"/>
      <w:bookmarkEnd w:id="0"/>
    </w:p>
    <w:sectPr w:rsidR="004646A1" w:rsidSect="00841499">
      <w:pgSz w:w="11906" w:h="16838" w:code="9"/>
      <w:pgMar w:top="1417" w:right="1417" w:bottom="1134" w:left="1417" w:header="708" w:footer="708" w:gutter="0"/>
      <w:cols w:space="708"/>
      <w:docGrid w:linePitch="299"/>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6D3DDEEE" w16cex:dateUtc="2024-08-19T05:23:06Z"/>
  <w16cex:commentExtensible w16cex:durableId="6A3FDCB5" w16cex:dateUtc="2024-08-19T05:22:42Z"/>
</w16cex:commentsExtensible>
</file>

<file path=word/commentsIds.xml><?xml version="1.0" encoding="utf-8"?>
<w16cid:commentsIds xmlns:mc="http://schemas.openxmlformats.org/markup-compatibility/2006" xmlns:w16cid="http://schemas.microsoft.com/office/word/2016/wordml/cid" mc:Ignorable="w16cid">
  <w16cid:commentId w16cid:paraId="00000001" w16cid:durableId="6D3DDEEE"/>
  <w16cid:commentId w16cid:paraId="00000003" w16cid:durableId="6A3FDCB5"/>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0DB2FCF" w14:textId="77777777" w:rsidR="00031C33" w:rsidRDefault="00031C33">
      <w:pPr>
        <w:spacing w:after="0" w:line="240" w:lineRule="auto"/>
      </w:pPr>
      <w:r>
        <w:separator/>
      </w:r>
    </w:p>
  </w:endnote>
  <w:endnote w:type="continuationSeparator" w:id="0">
    <w:p w14:paraId="03E49764" w14:textId="77777777" w:rsidR="00031C33" w:rsidRDefault="00031C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9D4084B" w14:textId="77777777" w:rsidR="00031C33" w:rsidRDefault="00031C33">
      <w:pPr>
        <w:spacing w:after="0" w:line="240" w:lineRule="auto"/>
      </w:pPr>
      <w:r>
        <w:separator/>
      </w:r>
    </w:p>
  </w:footnote>
  <w:footnote w:type="continuationSeparator" w:id="0">
    <w:p w14:paraId="39028CB5" w14:textId="77777777" w:rsidR="00031C33" w:rsidRDefault="00031C3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12BD"/>
    <w:rsid w:val="00031C33"/>
    <w:rsid w:val="000F0230"/>
    <w:rsid w:val="000F2503"/>
    <w:rsid w:val="001512BD"/>
    <w:rsid w:val="002E61AC"/>
    <w:rsid w:val="0043632A"/>
    <w:rsid w:val="004646A1"/>
    <w:rsid w:val="004B40B1"/>
    <w:rsid w:val="006221FC"/>
    <w:rsid w:val="007B6978"/>
    <w:rsid w:val="008414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5F15B1"/>
  <w15:docId w15:val="{5060481B-CE77-43C3-BD61-6599AF92FF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480" w:after="200"/>
      <w:outlineLvl w:val="0"/>
    </w:pPr>
    <w:rPr>
      <w:rFonts w:ascii="Arial" w:eastAsia="Arial" w:hAnsi="Arial" w:cs="Arial"/>
      <w:sz w:val="40"/>
      <w:szCs w:val="40"/>
    </w:rPr>
  </w:style>
  <w:style w:type="paragraph" w:styleId="berschrift2">
    <w:name w:val="heading 2"/>
    <w:basedOn w:val="Standard"/>
    <w:next w:val="Standard"/>
    <w:link w:val="berschrift2Zchn"/>
    <w:uiPriority w:val="9"/>
    <w:unhideWhenUsed/>
    <w:qFormat/>
    <w:pPr>
      <w:keepNext/>
      <w:keepLines/>
      <w:spacing w:before="360" w:after="200"/>
      <w:outlineLvl w:val="1"/>
    </w:pPr>
    <w:rPr>
      <w:rFonts w:ascii="Arial" w:eastAsia="Arial" w:hAnsi="Arial" w:cs="Arial"/>
      <w:sz w:val="34"/>
    </w:rPr>
  </w:style>
  <w:style w:type="paragraph" w:styleId="berschrift3">
    <w:name w:val="heading 3"/>
    <w:basedOn w:val="Standard"/>
    <w:next w:val="Standard"/>
    <w:link w:val="berschrift3Zchn"/>
    <w:uiPriority w:val="9"/>
    <w:unhideWhenUsed/>
    <w:qFormat/>
    <w:pPr>
      <w:keepNext/>
      <w:keepLines/>
      <w:spacing w:before="320" w:after="200"/>
      <w:outlineLvl w:val="2"/>
    </w:pPr>
    <w:rPr>
      <w:rFonts w:ascii="Arial" w:eastAsia="Arial" w:hAnsi="Arial" w:cs="Arial"/>
      <w:sz w:val="30"/>
      <w:szCs w:val="30"/>
    </w:rPr>
  </w:style>
  <w:style w:type="paragraph" w:styleId="berschrift4">
    <w:name w:val="heading 4"/>
    <w:basedOn w:val="Standard"/>
    <w:next w:val="Standard"/>
    <w:link w:val="berschrift4Zchn"/>
    <w:uiPriority w:val="9"/>
    <w:unhideWhenUsed/>
    <w:qFormat/>
    <w:pPr>
      <w:keepNext/>
      <w:keepLines/>
      <w:spacing w:before="320" w:after="200"/>
      <w:outlineLvl w:val="3"/>
    </w:pPr>
    <w:rPr>
      <w:rFonts w:ascii="Arial" w:eastAsia="Arial" w:hAnsi="Arial" w:cs="Arial"/>
      <w:b/>
      <w:bCs/>
      <w:sz w:val="26"/>
      <w:szCs w:val="26"/>
    </w:rPr>
  </w:style>
  <w:style w:type="paragraph" w:styleId="berschrift5">
    <w:name w:val="heading 5"/>
    <w:basedOn w:val="Standard"/>
    <w:next w:val="Standard"/>
    <w:link w:val="berschrift5Zchn"/>
    <w:uiPriority w:val="9"/>
    <w:unhideWhenUsed/>
    <w:qFormat/>
    <w:pPr>
      <w:keepNext/>
      <w:keepLines/>
      <w:spacing w:before="320" w:after="200"/>
      <w:outlineLvl w:val="4"/>
    </w:pPr>
    <w:rPr>
      <w:rFonts w:ascii="Arial" w:eastAsia="Arial" w:hAnsi="Arial" w:cs="Arial"/>
      <w:b/>
      <w:bCs/>
      <w:sz w:val="24"/>
      <w:szCs w:val="24"/>
    </w:rPr>
  </w:style>
  <w:style w:type="paragraph" w:styleId="berschrift6">
    <w:name w:val="heading 6"/>
    <w:basedOn w:val="Standard"/>
    <w:next w:val="Standard"/>
    <w:link w:val="berschrift6Zchn"/>
    <w:uiPriority w:val="9"/>
    <w:unhideWhenUsed/>
    <w:qFormat/>
    <w:pPr>
      <w:keepNext/>
      <w:keepLines/>
      <w:spacing w:before="320" w:after="200"/>
      <w:outlineLvl w:val="5"/>
    </w:pPr>
    <w:rPr>
      <w:rFonts w:ascii="Arial" w:eastAsia="Arial" w:hAnsi="Arial" w:cs="Arial"/>
      <w:b/>
      <w:bCs/>
    </w:rPr>
  </w:style>
  <w:style w:type="paragraph" w:styleId="berschrift7">
    <w:name w:val="heading 7"/>
    <w:basedOn w:val="Standard"/>
    <w:next w:val="Standard"/>
    <w:link w:val="berschrift7Zchn"/>
    <w:uiPriority w:val="9"/>
    <w:unhideWhenUsed/>
    <w:qFormat/>
    <w:pPr>
      <w:keepNext/>
      <w:keepLines/>
      <w:spacing w:before="320" w:after="200"/>
      <w:outlineLvl w:val="6"/>
    </w:pPr>
    <w:rPr>
      <w:rFonts w:ascii="Arial" w:eastAsia="Arial" w:hAnsi="Arial" w:cs="Arial"/>
      <w:b/>
      <w:bCs/>
      <w:i/>
      <w:iCs/>
    </w:rPr>
  </w:style>
  <w:style w:type="paragraph" w:styleId="berschrift8">
    <w:name w:val="heading 8"/>
    <w:basedOn w:val="Standard"/>
    <w:next w:val="Standard"/>
    <w:link w:val="berschrift8Zchn"/>
    <w:uiPriority w:val="9"/>
    <w:unhideWhenUsed/>
    <w:qFormat/>
    <w:pPr>
      <w:keepNext/>
      <w:keepLines/>
      <w:spacing w:before="320" w:after="200"/>
      <w:outlineLvl w:val="7"/>
    </w:pPr>
    <w:rPr>
      <w:rFonts w:ascii="Arial" w:eastAsia="Arial" w:hAnsi="Arial" w:cs="Arial"/>
      <w:i/>
      <w:iCs/>
    </w:rPr>
  </w:style>
  <w:style w:type="paragraph" w:styleId="berschrift9">
    <w:name w:val="heading 9"/>
    <w:basedOn w:val="Standard"/>
    <w:next w:val="Standard"/>
    <w:link w:val="berschrift9Zchn"/>
    <w:uiPriority w:val="9"/>
    <w:unhideWhenUsed/>
    <w:qFormat/>
    <w:pPr>
      <w:keepNext/>
      <w:keepLines/>
      <w:spacing w:before="320" w:after="200"/>
      <w:outlineLvl w:val="8"/>
    </w:pPr>
    <w:rPr>
      <w:rFonts w:ascii="Arial" w:eastAsia="Arial" w:hAnsi="Arial" w:cs="Arial"/>
      <w:i/>
      <w:iCs/>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Pr>
      <w:rFonts w:ascii="Arial" w:eastAsia="Arial" w:hAnsi="Arial" w:cs="Arial"/>
      <w:sz w:val="40"/>
      <w:szCs w:val="40"/>
    </w:rPr>
  </w:style>
  <w:style w:type="character" w:customStyle="1" w:styleId="berschrift2Zchn">
    <w:name w:val="Überschrift 2 Zchn"/>
    <w:basedOn w:val="Absatz-Standardschriftart"/>
    <w:link w:val="berschrift2"/>
    <w:uiPriority w:val="9"/>
    <w:rPr>
      <w:rFonts w:ascii="Arial" w:eastAsia="Arial" w:hAnsi="Arial" w:cs="Arial"/>
      <w:sz w:val="34"/>
    </w:rPr>
  </w:style>
  <w:style w:type="character" w:customStyle="1" w:styleId="berschrift3Zchn">
    <w:name w:val="Überschrift 3 Zchn"/>
    <w:basedOn w:val="Absatz-Standardschriftart"/>
    <w:link w:val="berschrift3"/>
    <w:uiPriority w:val="9"/>
    <w:rPr>
      <w:rFonts w:ascii="Arial" w:eastAsia="Arial" w:hAnsi="Arial" w:cs="Arial"/>
      <w:sz w:val="30"/>
      <w:szCs w:val="30"/>
    </w:rPr>
  </w:style>
  <w:style w:type="character" w:customStyle="1" w:styleId="berschrift4Zchn">
    <w:name w:val="Überschrift 4 Zchn"/>
    <w:basedOn w:val="Absatz-Standardschriftart"/>
    <w:link w:val="berschrift4"/>
    <w:uiPriority w:val="9"/>
    <w:rPr>
      <w:rFonts w:ascii="Arial" w:eastAsia="Arial" w:hAnsi="Arial" w:cs="Arial"/>
      <w:b/>
      <w:bCs/>
      <w:sz w:val="26"/>
      <w:szCs w:val="26"/>
    </w:rPr>
  </w:style>
  <w:style w:type="character" w:customStyle="1" w:styleId="berschrift5Zchn">
    <w:name w:val="Überschrift 5 Zchn"/>
    <w:basedOn w:val="Absatz-Standardschriftart"/>
    <w:link w:val="berschrift5"/>
    <w:uiPriority w:val="9"/>
    <w:rPr>
      <w:rFonts w:ascii="Arial" w:eastAsia="Arial" w:hAnsi="Arial" w:cs="Arial"/>
      <w:b/>
      <w:bCs/>
      <w:sz w:val="24"/>
      <w:szCs w:val="24"/>
    </w:rPr>
  </w:style>
  <w:style w:type="character" w:customStyle="1" w:styleId="berschrift6Zchn">
    <w:name w:val="Überschrift 6 Zchn"/>
    <w:basedOn w:val="Absatz-Standardschriftart"/>
    <w:link w:val="berschrift6"/>
    <w:uiPriority w:val="9"/>
    <w:rPr>
      <w:rFonts w:ascii="Arial" w:eastAsia="Arial" w:hAnsi="Arial" w:cs="Arial"/>
      <w:b/>
      <w:bCs/>
      <w:sz w:val="22"/>
      <w:szCs w:val="22"/>
    </w:rPr>
  </w:style>
  <w:style w:type="character" w:customStyle="1" w:styleId="berschrift7Zchn">
    <w:name w:val="Überschrift 7 Zchn"/>
    <w:basedOn w:val="Absatz-Standardschriftart"/>
    <w:link w:val="berschrift7"/>
    <w:uiPriority w:val="9"/>
    <w:rPr>
      <w:rFonts w:ascii="Arial" w:eastAsia="Arial" w:hAnsi="Arial" w:cs="Arial"/>
      <w:b/>
      <w:bCs/>
      <w:i/>
      <w:iCs/>
      <w:sz w:val="22"/>
      <w:szCs w:val="22"/>
    </w:rPr>
  </w:style>
  <w:style w:type="character" w:customStyle="1" w:styleId="berschrift8Zchn">
    <w:name w:val="Überschrift 8 Zchn"/>
    <w:basedOn w:val="Absatz-Standardschriftart"/>
    <w:link w:val="berschrift8"/>
    <w:uiPriority w:val="9"/>
    <w:rPr>
      <w:rFonts w:ascii="Arial" w:eastAsia="Arial" w:hAnsi="Arial" w:cs="Arial"/>
      <w:i/>
      <w:iCs/>
      <w:sz w:val="22"/>
      <w:szCs w:val="22"/>
    </w:rPr>
  </w:style>
  <w:style w:type="character" w:customStyle="1" w:styleId="berschrift9Zchn">
    <w:name w:val="Überschrift 9 Zchn"/>
    <w:basedOn w:val="Absatz-Standardschriftart"/>
    <w:link w:val="berschrift9"/>
    <w:uiPriority w:val="9"/>
    <w:rPr>
      <w:rFonts w:ascii="Arial" w:eastAsia="Arial" w:hAnsi="Arial" w:cs="Arial"/>
      <w:i/>
      <w:iCs/>
      <w:sz w:val="21"/>
      <w:szCs w:val="21"/>
    </w:rPr>
  </w:style>
  <w:style w:type="paragraph" w:styleId="Listenabsatz">
    <w:name w:val="List Paragraph"/>
    <w:basedOn w:val="Standard"/>
    <w:uiPriority w:val="34"/>
    <w:qFormat/>
    <w:pPr>
      <w:ind w:left="720"/>
      <w:contextualSpacing/>
    </w:pPr>
  </w:style>
  <w:style w:type="paragraph" w:styleId="KeinLeerraum">
    <w:name w:val="No Spacing"/>
    <w:uiPriority w:val="1"/>
    <w:qFormat/>
    <w:pPr>
      <w:spacing w:after="0" w:line="240" w:lineRule="auto"/>
    </w:pPr>
  </w:style>
  <w:style w:type="paragraph" w:styleId="Titel">
    <w:name w:val="Title"/>
    <w:basedOn w:val="Standard"/>
    <w:next w:val="Standard"/>
    <w:link w:val="TitelZchn"/>
    <w:uiPriority w:val="10"/>
    <w:qFormat/>
    <w:pPr>
      <w:spacing w:before="300" w:after="200"/>
      <w:contextualSpacing/>
    </w:pPr>
    <w:rPr>
      <w:sz w:val="48"/>
      <w:szCs w:val="48"/>
    </w:rPr>
  </w:style>
  <w:style w:type="character" w:customStyle="1" w:styleId="TitelZchn">
    <w:name w:val="Titel Zchn"/>
    <w:basedOn w:val="Absatz-Standardschriftart"/>
    <w:link w:val="Titel"/>
    <w:uiPriority w:val="10"/>
    <w:rPr>
      <w:sz w:val="48"/>
      <w:szCs w:val="48"/>
    </w:rPr>
  </w:style>
  <w:style w:type="paragraph" w:styleId="Untertitel">
    <w:name w:val="Subtitle"/>
    <w:basedOn w:val="Standard"/>
    <w:next w:val="Standard"/>
    <w:link w:val="UntertitelZchn"/>
    <w:uiPriority w:val="11"/>
    <w:qFormat/>
    <w:pPr>
      <w:spacing w:before="200" w:after="200"/>
    </w:pPr>
    <w:rPr>
      <w:sz w:val="24"/>
      <w:szCs w:val="24"/>
    </w:rPr>
  </w:style>
  <w:style w:type="character" w:customStyle="1" w:styleId="UntertitelZchn">
    <w:name w:val="Untertitel Zchn"/>
    <w:basedOn w:val="Absatz-Standardschriftart"/>
    <w:link w:val="Untertitel"/>
    <w:uiPriority w:val="11"/>
    <w:rPr>
      <w:sz w:val="24"/>
      <w:szCs w:val="24"/>
    </w:rPr>
  </w:style>
  <w:style w:type="paragraph" w:styleId="Zitat">
    <w:name w:val="Quote"/>
    <w:basedOn w:val="Standard"/>
    <w:next w:val="Standard"/>
    <w:link w:val="ZitatZchn"/>
    <w:uiPriority w:val="29"/>
    <w:qFormat/>
    <w:pPr>
      <w:ind w:left="720" w:right="720"/>
    </w:pPr>
    <w:rPr>
      <w:i/>
    </w:rPr>
  </w:style>
  <w:style w:type="character" w:customStyle="1" w:styleId="ZitatZchn">
    <w:name w:val="Zitat Zchn"/>
    <w:link w:val="Zitat"/>
    <w:uiPriority w:val="29"/>
    <w:rPr>
      <w:i/>
    </w:rPr>
  </w:style>
  <w:style w:type="paragraph" w:styleId="IntensivesZitat">
    <w:name w:val="Intense Quote"/>
    <w:basedOn w:val="Standard"/>
    <w:next w:val="Standard"/>
    <w:link w:val="IntensivesZitatZchn"/>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IntensivesZitatZchn">
    <w:name w:val="Intensives Zitat Zchn"/>
    <w:link w:val="IntensivesZitat"/>
    <w:uiPriority w:val="30"/>
    <w:rPr>
      <w:i/>
    </w:rPr>
  </w:style>
  <w:style w:type="paragraph" w:styleId="Kopfzeile">
    <w:name w:val="header"/>
    <w:basedOn w:val="Standard"/>
    <w:link w:val="KopfzeileZchn"/>
    <w:uiPriority w:val="99"/>
    <w:unhideWhenUsed/>
    <w:pPr>
      <w:tabs>
        <w:tab w:val="center" w:pos="7143"/>
        <w:tab w:val="right" w:pos="14287"/>
      </w:tabs>
      <w:spacing w:after="0" w:line="240" w:lineRule="auto"/>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7143"/>
        <w:tab w:val="right" w:pos="14287"/>
      </w:tabs>
      <w:spacing w:after="0" w:line="240" w:lineRule="auto"/>
    </w:pPr>
  </w:style>
  <w:style w:type="character" w:customStyle="1" w:styleId="FooterChar">
    <w:name w:val="Footer Char"/>
    <w:basedOn w:val="Absatz-Standardschriftart"/>
    <w:uiPriority w:val="99"/>
  </w:style>
  <w:style w:type="character" w:customStyle="1" w:styleId="FuzeileZchn">
    <w:name w:val="Fußzeile Zchn"/>
    <w:link w:val="Fuzeile"/>
    <w:uiPriority w:val="99"/>
  </w:style>
  <w:style w:type="table" w:customStyle="1" w:styleId="TableGridLight">
    <w:name w:val="Table Grid Light"/>
    <w:basedOn w:val="NormaleTabelle"/>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EinfacheTabelle1">
    <w:name w:val="Plain Table 1"/>
    <w:basedOn w:val="NormaleTabelle"/>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EinfacheTabelle2">
    <w:name w:val="Plain Table 2"/>
    <w:basedOn w:val="NormaleTabelle"/>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EinfacheTabelle3">
    <w:name w:val="Plain Table 3"/>
    <w:basedOn w:val="NormaleTabelle"/>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EinfacheTabelle4">
    <w:name w:val="Plain Table 4"/>
    <w:basedOn w:val="NormaleTabelle"/>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EinfacheTabelle5">
    <w:name w:val="Plain Table 5"/>
    <w:basedOn w:val="NormaleTabelle"/>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Gitternetztabelle1hell">
    <w:name w:val="Grid Table 1 Light"/>
    <w:basedOn w:val="NormaleTabelle"/>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NormaleTabelle"/>
    <w:uiPriority w:val="99"/>
    <w:pPr>
      <w:spacing w:after="0" w:line="240" w:lineRule="auto"/>
    </w:pPr>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b/>
        <w:color w:val="404040"/>
      </w:rPr>
      <w:tblPr/>
      <w:tcPr>
        <w:tcBorders>
          <w:bottom w:val="single" w:sz="12" w:space="0" w:color="91ACDC"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GridTable1Light-Accent2">
    <w:name w:val="Grid Table 1 Light - Accent 2"/>
    <w:basedOn w:val="NormaleTabelle"/>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NormaleTabelle"/>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NormaleTabelle"/>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NormaleTabelle"/>
    <w:uiPriority w:val="99"/>
    <w:pPr>
      <w:spacing w:after="0" w:line="240" w:lineRule="auto"/>
    </w:pPr>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b/>
        <w:color w:val="404040"/>
      </w:rPr>
      <w:tblPr/>
      <w:tcPr>
        <w:tcBorders>
          <w:bottom w:val="single" w:sz="12" w:space="0" w:color="9EC4E6"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GridTable1Light-Accent6">
    <w:name w:val="Grid Table 1 Light - Accent 6"/>
    <w:basedOn w:val="NormaleTabelle"/>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styleId="Gitternetztabelle2">
    <w:name w:val="Grid Table 2"/>
    <w:basedOn w:val="NormaleTabelle"/>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NormaleTabelle"/>
    <w:uiPriority w:val="99"/>
    <w:pPr>
      <w:spacing w:after="0" w:line="240" w:lineRule="auto"/>
    </w:pPr>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single" w:sz="12" w:space="0" w:color="537DC8" w:themeColor="accent1" w:themeTint="EA"/>
          <w:right w:val="none" w:sz="4" w:space="0" w:color="000000"/>
        </w:tcBorders>
        <w:shd w:val="clear" w:color="FFFFFF" w:fill="auto"/>
      </w:tcPr>
    </w:tblStylePr>
    <w:tblStylePr w:type="lastRow">
      <w:rPr>
        <w:b/>
        <w:color w:val="404040"/>
      </w:rPr>
      <w:tblPr/>
      <w:tcPr>
        <w:tcBorders>
          <w:top w:val="single" w:sz="4" w:space="0" w:color="537DC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2-Accent2">
    <w:name w:val="Grid Table 2 - Accent 2"/>
    <w:basedOn w:val="NormaleTabelle"/>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NormaleTabelle"/>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NormaleTabelle"/>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NormaleTabelle"/>
    <w:uiPriority w:val="99"/>
    <w:pPr>
      <w:spacing w:after="0" w:line="240" w:lineRule="auto"/>
    </w:pPr>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single" w:sz="12" w:space="0" w:color="5B9BD5" w:themeColor="accent5"/>
          <w:right w:val="none" w:sz="4" w:space="0" w:color="000000"/>
        </w:tcBorders>
        <w:shd w:val="clear" w:color="FFFFFF" w:fill="auto"/>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2-Accent6">
    <w:name w:val="Grid Table 2 - Accent 6"/>
    <w:basedOn w:val="NormaleTabelle"/>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Gitternetztabelle3">
    <w:name w:val="Grid Table 3"/>
    <w:basedOn w:val="NormaleTabelle"/>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NormaleTabelle"/>
    <w:uiPriority w:val="99"/>
    <w:pPr>
      <w:spacing w:after="0" w:line="240" w:lineRule="auto"/>
    </w:pPr>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3-Accent2">
    <w:name w:val="Grid Table 3 - Accent 2"/>
    <w:basedOn w:val="NormaleTabelle"/>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NormaleTabelle"/>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NormaleTabelle"/>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NormaleTabelle"/>
    <w:uiPriority w:val="99"/>
    <w:pPr>
      <w:spacing w:after="0" w:line="240" w:lineRule="auto"/>
    </w:pPr>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3-Accent6">
    <w:name w:val="Grid Table 3 - Accent 6"/>
    <w:basedOn w:val="NormaleTabelle"/>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Gitternetztabelle4">
    <w:name w:val="Grid Table 4"/>
    <w:basedOn w:val="NormaleTabelle"/>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NormaleTabelle"/>
    <w:uiPriority w:val="59"/>
    <w:pPr>
      <w:spacing w:after="0" w:line="240" w:lineRule="auto"/>
    </w:pPr>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insideV w:val="single" w:sz="4" w:space="0" w:color="95AFDD" w:themeColor="accent1" w:themeTint="90"/>
      </w:tblBorders>
    </w:tblPr>
    <w:tblStylePr w:type="firstRow">
      <w:rPr>
        <w:rFonts w:ascii="Arial" w:hAnsi="Arial"/>
        <w:b/>
        <w:color w:val="FFFFFF"/>
        <w:sz w:val="22"/>
      </w:rPr>
      <w:tblPr/>
      <w:tcPr>
        <w:tcBorders>
          <w:top w:val="single" w:sz="4" w:space="0" w:color="537DC8" w:themeColor="accent1" w:themeTint="EA"/>
          <w:left w:val="single" w:sz="4" w:space="0" w:color="537DC8" w:themeColor="accent1" w:themeTint="EA"/>
          <w:bottom w:val="single" w:sz="4" w:space="0" w:color="537DC8" w:themeColor="accent1" w:themeTint="EA"/>
          <w:right w:val="single" w:sz="4" w:space="0" w:color="537DC8" w:themeColor="accent1" w:themeTint="EA"/>
        </w:tcBorders>
        <w:shd w:val="clear" w:color="537DC8" w:themeColor="accent1" w:themeTint="EA" w:fill="537DC8" w:themeFill="accent1" w:themeFillTint="EA"/>
      </w:tcPr>
    </w:tblStylePr>
    <w:tblStylePr w:type="lastRow">
      <w:rPr>
        <w:b/>
        <w:color w:val="404040"/>
      </w:rPr>
      <w:tblPr/>
      <w:tcPr>
        <w:tcBorders>
          <w:top w:val="single" w:sz="4" w:space="0" w:color="537DC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3F3" w:themeColor="accent1" w:themeTint="32" w:fill="DAE3F3" w:themeFill="accent1" w:themeFillTint="32"/>
      </w:tcPr>
    </w:tblStylePr>
    <w:tblStylePr w:type="band1Horz">
      <w:rPr>
        <w:rFonts w:ascii="Arial" w:hAnsi="Arial"/>
        <w:color w:val="404040"/>
        <w:sz w:val="22"/>
      </w:rPr>
      <w:tblPr/>
      <w:tcPr>
        <w:shd w:val="clear" w:color="DAE3F3" w:themeColor="accent1" w:themeTint="32" w:fill="DAE3F3" w:themeFill="accent1" w:themeFillTint="32"/>
      </w:tcPr>
    </w:tblStylePr>
  </w:style>
  <w:style w:type="table" w:customStyle="1" w:styleId="GridTable4-Accent2">
    <w:name w:val="Grid Table 4 - Accent 2"/>
    <w:basedOn w:val="NormaleTabelle"/>
    <w:uiPriority w:val="5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NormaleTabelle"/>
    <w:uiPriority w:val="5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NormaleTabelle"/>
    <w:uiPriority w:val="5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NormaleTabelle"/>
    <w:uiPriority w:val="59"/>
    <w:pPr>
      <w:spacing w:after="0" w:line="240" w:lineRule="auto"/>
    </w:pPr>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FFFFFF"/>
        <w:sz w:val="22"/>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tcBorders>
        <w:shd w:val="clear" w:color="5B9BD5" w:themeColor="accent5" w:fill="5B9BD5" w:themeFill="accent5"/>
      </w:tcPr>
    </w:tblStylePr>
    <w:tblStylePr w:type="lastRow">
      <w:rPr>
        <w:b/>
        <w:color w:val="404040"/>
      </w:rPr>
      <w:tblPr/>
      <w:tcPr>
        <w:tcBorders>
          <w:top w:val="single" w:sz="4" w:space="0" w:color="5B9BD5"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4-Accent6">
    <w:name w:val="Grid Table 4 - Accent 6"/>
    <w:basedOn w:val="NormaleTabelle"/>
    <w:uiPriority w:val="5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Gitternetztabelle5dunkel">
    <w:name w:val="Grid Table 5 Dark"/>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1" w:themeTint="34" w:fill="D8E2F3" w:themeFill="accent1" w:themeFillTint="34"/>
    </w:tblPr>
    <w:tblStylePr w:type="firstRow">
      <w:rPr>
        <w:rFonts w:ascii="Arial" w:hAnsi="Arial"/>
        <w:b/>
        <w:color w:val="FFFFFF"/>
        <w:sz w:val="22"/>
      </w:rPr>
      <w:tblPr/>
      <w:tcPr>
        <w:shd w:val="clear" w:color="4472C4" w:themeColor="accent1" w:fill="4472C4" w:themeFill="accent1"/>
      </w:tcPr>
    </w:tblStylePr>
    <w:tblStylePr w:type="lastRow">
      <w:rPr>
        <w:rFonts w:ascii="Arial" w:hAnsi="Arial"/>
        <w:b/>
        <w:color w:val="FFFFFF"/>
        <w:sz w:val="22"/>
      </w:rPr>
      <w:tblPr/>
      <w:tcPr>
        <w:tcBorders>
          <w:top w:val="single" w:sz="4" w:space="0" w:color="FFFFFF" w:themeColor="light1"/>
        </w:tcBorders>
        <w:shd w:val="clear" w:color="4472C4" w:themeColor="accent1" w:fill="4472C4" w:themeFill="accent1"/>
      </w:tcPr>
    </w:tblStylePr>
    <w:tblStylePr w:type="firstCol">
      <w:rPr>
        <w:rFonts w:ascii="Arial" w:hAnsi="Arial"/>
        <w:b/>
        <w:color w:val="FFFFFF"/>
        <w:sz w:val="22"/>
      </w:rPr>
      <w:tblPr/>
      <w:tcPr>
        <w:shd w:val="clear" w:color="4472C4" w:themeColor="accent1" w:fill="4472C4" w:themeFill="accent1"/>
      </w:tcPr>
    </w:tblStylePr>
    <w:tblStylePr w:type="lastCol">
      <w:rPr>
        <w:rFonts w:ascii="Arial" w:hAnsi="Arial"/>
        <w:b/>
        <w:color w:val="FFFFFF"/>
        <w:sz w:val="22"/>
      </w:rPr>
      <w:tblPr/>
      <w:tcPr>
        <w:shd w:val="clear" w:color="4472C4" w:themeColor="accent1" w:fill="4472C4" w:themeFill="accent1"/>
      </w:tcPr>
    </w:tblStylePr>
    <w:tblStylePr w:type="band1Vert">
      <w:tblPr/>
      <w:tcPr>
        <w:shd w:val="clear" w:color="A9BEE4" w:themeColor="accent1" w:themeTint="75" w:fill="A9BEE4" w:themeFill="accent1" w:themeFillTint="75"/>
      </w:tcPr>
    </w:tblStylePr>
    <w:tblStylePr w:type="band1Horz">
      <w:tblPr/>
      <w:tcPr>
        <w:shd w:val="clear" w:color="A9BEE4" w:themeColor="accent1" w:themeTint="75" w:fill="A9BEE4" w:themeFill="accent1" w:themeFillTint="75"/>
      </w:tcPr>
    </w:tblStylePr>
  </w:style>
  <w:style w:type="table" w:customStyle="1" w:styleId="GridTable5Dark-Accent2">
    <w:name w:val="Grid Table 5 Dark - Accent 2"/>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5" w:themeTint="34" w:fill="DDEAF6" w:themeFill="accent5" w:themeFillTint="34"/>
    </w:tblPr>
    <w:tblStylePr w:type="firstRow">
      <w:rPr>
        <w:rFonts w:ascii="Arial" w:hAnsi="Arial"/>
        <w:b/>
        <w:color w:val="FFFFFF"/>
        <w:sz w:val="22"/>
      </w:rPr>
      <w:tblPr/>
      <w:tcPr>
        <w:shd w:val="clear" w:color="5B9BD5" w:themeColor="accent5" w:fill="5B9BD5" w:themeFill="accent5"/>
      </w:tcPr>
    </w:tblStylePr>
    <w:tblStylePr w:type="lastRow">
      <w:rPr>
        <w:rFonts w:ascii="Arial" w:hAnsi="Arial"/>
        <w:b/>
        <w:color w:val="FFFFFF"/>
        <w:sz w:val="22"/>
      </w:rPr>
      <w:tblPr/>
      <w:tcPr>
        <w:tcBorders>
          <w:top w:val="single" w:sz="4" w:space="0" w:color="FFFFFF" w:themeColor="light1"/>
        </w:tcBorders>
        <w:shd w:val="clear" w:color="5B9BD5" w:themeColor="accent5" w:fill="5B9BD5" w:themeFill="accent5"/>
      </w:tcPr>
    </w:tblStylePr>
    <w:tblStylePr w:type="firstCol">
      <w:rPr>
        <w:rFonts w:ascii="Arial" w:hAnsi="Arial"/>
        <w:b/>
        <w:color w:val="FFFFFF"/>
        <w:sz w:val="22"/>
      </w:rPr>
      <w:tblPr/>
      <w:tcPr>
        <w:shd w:val="clear" w:color="5B9BD5" w:themeColor="accent5" w:fill="5B9BD5" w:themeFill="accent5"/>
      </w:tcPr>
    </w:tblStylePr>
    <w:tblStylePr w:type="lastCol">
      <w:rPr>
        <w:rFonts w:ascii="Arial" w:hAnsi="Arial"/>
        <w:b/>
        <w:color w:val="FFFFFF"/>
        <w:sz w:val="22"/>
      </w:rPr>
      <w:tblPr/>
      <w:tcPr>
        <w:shd w:val="clear" w:color="5B9BD5" w:themeColor="accent5" w:fill="5B9BD5" w:themeFill="accent5"/>
      </w:tcPr>
    </w:tblStylePr>
    <w:tblStylePr w:type="band1Vert">
      <w:tblPr/>
      <w:tcPr>
        <w:shd w:val="clear" w:color="B3D0EB" w:themeColor="accent5" w:themeTint="75" w:fill="B3D0EB" w:themeFill="accent5" w:themeFillTint="75"/>
      </w:tcPr>
    </w:tblStylePr>
    <w:tblStylePr w:type="band1Horz">
      <w:tblPr/>
      <w:tcPr>
        <w:shd w:val="clear" w:color="B3D0EB" w:themeColor="accent5" w:themeTint="75" w:fill="B3D0EB" w:themeFill="accent5" w:themeFillTint="75"/>
      </w:tcPr>
    </w:tblStylePr>
  </w:style>
  <w:style w:type="table" w:customStyle="1" w:styleId="GridTable5Dark-Accent6">
    <w:name w:val="Grid Table 5 Dark - Accent 6"/>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styleId="Gritternetztabelle6farbig">
    <w:name w:val="Grid Table 6 Colorful"/>
    <w:basedOn w:val="NormaleTabelle"/>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NormaleTabelle"/>
    <w:uiPriority w:val="99"/>
    <w:pPr>
      <w:spacing w:after="0" w:line="240" w:lineRule="auto"/>
    </w:pPr>
    <w:tblPr>
      <w:tblStyleRowBandSize w:val="1"/>
      <w:tblStyleColBandSize w:val="1"/>
      <w:tblBorders>
        <w:top w:val="single" w:sz="4" w:space="0" w:color="A0B7E1" w:themeColor="accent1" w:themeTint="80"/>
        <w:left w:val="single" w:sz="4" w:space="0" w:color="A0B7E1" w:themeColor="accent1" w:themeTint="80"/>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b/>
        <w:color w:val="A0B7E1" w:themeColor="accent1" w:themeTint="80" w:themeShade="95"/>
      </w:rPr>
      <w:tblPr/>
      <w:tcPr>
        <w:tcBorders>
          <w:bottom w:val="single" w:sz="12" w:space="0" w:color="A0B7E1" w:themeColor="accent1" w:themeTint="80"/>
        </w:tcBorders>
      </w:tcPr>
    </w:tblStylePr>
    <w:tblStylePr w:type="lastRow">
      <w:rPr>
        <w:b/>
        <w:color w:val="A0B7E1" w:themeColor="accent1" w:themeTint="80" w:themeShade="95"/>
      </w:rPr>
    </w:tblStylePr>
    <w:tblStylePr w:type="firstCol">
      <w:rPr>
        <w:b/>
        <w:color w:val="A0B7E1" w:themeColor="accent1" w:themeTint="80" w:themeShade="95"/>
      </w:rPr>
    </w:tblStylePr>
    <w:tblStylePr w:type="lastCol">
      <w:rPr>
        <w:b/>
        <w:color w:val="A0B7E1" w:themeColor="accent1" w:themeTint="80" w:themeShade="95"/>
      </w:r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6Colorful-Accent2">
    <w:name w:val="Grid Table 6 Colorful - Accent 2"/>
    <w:basedOn w:val="NormaleTabelle"/>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NormaleTabelle"/>
    <w:uiPriority w:val="99"/>
    <w:pPr>
      <w:spacing w:after="0" w:line="240" w:lineRule="auto"/>
    </w:pPr>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NormaleTabelle"/>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NormaleTabelle"/>
    <w:uiPriority w:val="99"/>
    <w:pPr>
      <w:spacing w:after="0" w:line="240" w:lineRule="auto"/>
    </w:p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insideH w:val="single" w:sz="4" w:space="0" w:color="5B9BD5" w:themeColor="accent5"/>
        <w:insideV w:val="single" w:sz="4" w:space="0" w:color="5B9BD5" w:themeColor="accent5"/>
      </w:tblBorders>
    </w:tblPr>
    <w:tblStylePr w:type="firstRow">
      <w:rPr>
        <w:b/>
        <w:color w:val="245A8D" w:themeColor="accent5" w:themeShade="95"/>
      </w:rPr>
      <w:tblPr/>
      <w:tcPr>
        <w:tcBorders>
          <w:bottom w:val="single" w:sz="12" w:space="0" w:color="5B9BD5" w:themeColor="accent5"/>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6Colorful-Accent6">
    <w:name w:val="Grid Table 6 Colorful - Accent 6"/>
    <w:basedOn w:val="NormaleTabelle"/>
    <w:uiPriority w:val="99"/>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45A8D" w:themeColor="accent5" w:themeShade="95"/>
      </w:rPr>
      <w:tblPr/>
      <w:tcPr>
        <w:tcBorders>
          <w:bottom w:val="single" w:sz="12" w:space="0" w:color="70AD47" w:themeColor="accent6"/>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45A8D" w:themeColor="accent5" w:themeShade="95"/>
        <w:sz w:val="22"/>
      </w:rPr>
      <w:tblPr/>
      <w:tcPr>
        <w:shd w:val="clear" w:color="E1EFD8" w:themeColor="accent6" w:themeTint="34" w:fill="E1EFD8" w:themeFill="accent6" w:themeFillTint="34"/>
      </w:tcPr>
    </w:tblStylePr>
    <w:tblStylePr w:type="band2Horz">
      <w:rPr>
        <w:rFonts w:ascii="Arial" w:hAnsi="Arial"/>
        <w:color w:val="245A8D" w:themeColor="accent5" w:themeShade="95"/>
        <w:sz w:val="22"/>
      </w:rPr>
    </w:tblStylePr>
  </w:style>
  <w:style w:type="table" w:styleId="Gritternetztabelle7farbig">
    <w:name w:val="Grid Table 7 Colorful"/>
    <w:basedOn w:val="NormaleTabelle"/>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NormaleTabelle"/>
    <w:uiPriority w:val="99"/>
    <w:pPr>
      <w:spacing w:after="0" w:line="240" w:lineRule="auto"/>
    </w:pPr>
    <w:tblPr>
      <w:tblStyleRowBandSize w:val="1"/>
      <w:tblStyleColBandSize w:val="1"/>
      <w:tblBorders>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rFonts w:ascii="Arial" w:hAnsi="Arial"/>
        <w:b/>
        <w:color w:val="A0B7E1" w:themeColor="accent1" w:themeTint="80" w:themeShade="95"/>
        <w:sz w:val="22"/>
      </w:rPr>
      <w:tblPr/>
      <w:tcPr>
        <w:tcBorders>
          <w:top w:val="none" w:sz="4" w:space="0" w:color="000000"/>
          <w:left w:val="none" w:sz="4" w:space="0" w:color="000000"/>
          <w:bottom w:val="single" w:sz="4" w:space="0" w:color="A0B7E1" w:themeColor="accent1" w:themeTint="80"/>
          <w:right w:val="none" w:sz="4" w:space="0" w:color="000000"/>
        </w:tcBorders>
        <w:shd w:val="clear" w:color="FFFFFF" w:themeColor="light1" w:fill="FFFFFF" w:themeFill="light1"/>
      </w:tcPr>
    </w:tblStylePr>
    <w:tblStylePr w:type="lastRow">
      <w:rPr>
        <w:rFonts w:ascii="Arial" w:hAnsi="Arial"/>
        <w:b/>
        <w:color w:val="A0B7E1" w:themeColor="accent1" w:themeTint="80" w:themeShade="95"/>
        <w:sz w:val="22"/>
      </w:rPr>
      <w:tblPr/>
      <w:tcPr>
        <w:tcBorders>
          <w:top w:val="single" w:sz="4" w:space="0" w:color="A0B7E1"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0B7E1" w:themeColor="accent1" w:themeTint="80" w:themeShade="95"/>
        <w:sz w:val="22"/>
      </w:rPr>
      <w:tblPr/>
      <w:tcPr>
        <w:tcBorders>
          <w:top w:val="none" w:sz="4" w:space="0" w:color="000000"/>
          <w:left w:val="none" w:sz="4" w:space="0" w:color="000000"/>
          <w:bottom w:val="none" w:sz="4" w:space="0" w:color="000000"/>
          <w:right w:val="single" w:sz="4" w:space="0" w:color="A0B7E1" w:themeColor="accent1" w:themeTint="80"/>
        </w:tcBorders>
        <w:shd w:val="clear" w:color="FFFFFF" w:fill="auto"/>
      </w:tcPr>
    </w:tblStylePr>
    <w:tblStylePr w:type="lastCol">
      <w:rPr>
        <w:rFonts w:ascii="Arial" w:hAnsi="Arial"/>
        <w:i/>
        <w:color w:val="A0B7E1" w:themeColor="accent1" w:themeTint="80" w:themeShade="95"/>
        <w:sz w:val="22"/>
      </w:rPr>
      <w:tblPr/>
      <w:tcPr>
        <w:tcBorders>
          <w:top w:val="none" w:sz="4" w:space="0" w:color="000000"/>
          <w:left w:val="single" w:sz="4" w:space="0" w:color="A0B7E1" w:themeColor="accent1" w:themeTint="80"/>
          <w:bottom w:val="none" w:sz="4" w:space="0" w:color="000000"/>
          <w:right w:val="none" w:sz="4" w:space="0" w:color="000000"/>
        </w:tcBorders>
        <w:shd w:val="clear" w:color="FFFFFF" w:fill="auto"/>
      </w:tc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7Colorful-Accent2">
    <w:name w:val="Grid Table 7 Colorful - Accent 2"/>
    <w:basedOn w:val="NormaleTabelle"/>
    <w:uiPriority w:val="99"/>
    <w:pPr>
      <w:spacing w:after="0" w:line="240" w:lineRule="auto"/>
    </w:pPr>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NormaleTabelle"/>
    <w:uiPriority w:val="99"/>
    <w:pPr>
      <w:spacing w:after="0" w:line="240" w:lineRule="auto"/>
    </w:pPr>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4" w:space="0" w:color="000000"/>
          <w:left w:val="none" w:sz="4" w:space="0" w:color="000000"/>
          <w:bottom w:val="single" w:sz="4" w:space="0" w:color="A5A5A5" w:themeColor="accent3" w:themeTint="FE"/>
          <w:right w:val="none" w:sz="4" w:space="0" w:color="000000"/>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4" w:space="0" w:color="000000"/>
          <w:left w:val="none" w:sz="4" w:space="0" w:color="000000"/>
          <w:bottom w:val="none" w:sz="4" w:space="0" w:color="000000"/>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4" w:space="0" w:color="000000"/>
          <w:left w:val="single" w:sz="4" w:space="0" w:color="A5A5A5" w:themeColor="accent3" w:themeTint="FE"/>
          <w:bottom w:val="none" w:sz="4" w:space="0" w:color="000000"/>
          <w:right w:val="none" w:sz="4" w:space="0" w:color="000000"/>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NormaleTabelle"/>
    <w:uiPriority w:val="99"/>
    <w:pPr>
      <w:spacing w:after="0" w:line="240" w:lineRule="auto"/>
    </w:pPr>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NormaleTabelle"/>
    <w:uiPriority w:val="99"/>
    <w:pPr>
      <w:spacing w:after="0" w:line="240" w:lineRule="auto"/>
    </w:pPr>
    <w:tblPr>
      <w:tblStyleRowBandSize w:val="1"/>
      <w:tblStyleColBandSize w:val="1"/>
      <w:tblBorders>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245A8D" w:themeColor="accent5" w:themeShade="95"/>
        <w:sz w:val="22"/>
      </w:rPr>
      <w:tblPr/>
      <w:tcPr>
        <w:tcBorders>
          <w:top w:val="none" w:sz="4" w:space="0" w:color="000000"/>
          <w:left w:val="none" w:sz="4" w:space="0" w:color="000000"/>
          <w:bottom w:val="single" w:sz="4" w:space="0" w:color="A2C6E7" w:themeColor="accent5" w:themeTint="90"/>
          <w:right w:val="none" w:sz="4" w:space="0" w:color="000000"/>
        </w:tcBorders>
        <w:shd w:val="clear" w:color="FFFFFF" w:themeColor="light1" w:fill="FFFFFF" w:themeFill="light1"/>
      </w:tcPr>
    </w:tblStylePr>
    <w:tblStylePr w:type="lastRow">
      <w:rPr>
        <w:rFonts w:ascii="Arial" w:hAnsi="Arial"/>
        <w:b/>
        <w:color w:val="245A8D" w:themeColor="accent5" w:themeShade="95"/>
        <w:sz w:val="22"/>
      </w:rPr>
      <w:tblPr/>
      <w:tcPr>
        <w:tcBorders>
          <w:top w:val="single" w:sz="4" w:space="0" w:color="A2C6E7"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45A8D" w:themeColor="accent5" w:themeShade="95"/>
        <w:sz w:val="22"/>
      </w:rPr>
      <w:tblPr/>
      <w:tcPr>
        <w:tcBorders>
          <w:top w:val="none" w:sz="4" w:space="0" w:color="000000"/>
          <w:left w:val="none" w:sz="4" w:space="0" w:color="000000"/>
          <w:bottom w:val="none" w:sz="4" w:space="0" w:color="000000"/>
          <w:right w:val="single" w:sz="4" w:space="0" w:color="A2C6E7" w:themeColor="accent5" w:themeTint="90"/>
        </w:tcBorders>
        <w:shd w:val="clear" w:color="FFFFFF" w:fill="auto"/>
      </w:tcPr>
    </w:tblStylePr>
    <w:tblStylePr w:type="lastCol">
      <w:rPr>
        <w:rFonts w:ascii="Arial" w:hAnsi="Arial"/>
        <w:i/>
        <w:color w:val="245A8D" w:themeColor="accent5" w:themeShade="95"/>
        <w:sz w:val="22"/>
      </w:rPr>
      <w:tblPr/>
      <w:tcPr>
        <w:tcBorders>
          <w:top w:val="none" w:sz="4" w:space="0" w:color="000000"/>
          <w:left w:val="single" w:sz="4" w:space="0" w:color="A2C6E7" w:themeColor="accent5" w:themeTint="90"/>
          <w:bottom w:val="none" w:sz="4" w:space="0" w:color="000000"/>
          <w:right w:val="none" w:sz="4" w:space="0" w:color="000000"/>
        </w:tcBorders>
        <w:shd w:val="clear" w:color="FFFFFF" w:fill="auto"/>
      </w:tc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7Colorful-Accent6">
    <w:name w:val="Grid Table 7 Colorful - Accent 6"/>
    <w:basedOn w:val="NormaleTabelle"/>
    <w:uiPriority w:val="99"/>
    <w:pPr>
      <w:spacing w:after="0" w:line="240" w:lineRule="auto"/>
    </w:pPr>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4" w:space="0" w:color="000000"/>
          <w:left w:val="none" w:sz="4" w:space="0" w:color="000000"/>
          <w:bottom w:val="single" w:sz="4" w:space="0" w:color="ADD394" w:themeColor="accent6" w:themeTint="90"/>
          <w:right w:val="none" w:sz="4" w:space="0" w:color="000000"/>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4" w:space="0" w:color="000000"/>
          <w:left w:val="none" w:sz="4" w:space="0" w:color="000000"/>
          <w:bottom w:val="none" w:sz="4" w:space="0" w:color="000000"/>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4" w:space="0" w:color="000000"/>
          <w:left w:val="single" w:sz="4" w:space="0" w:color="ADD394" w:themeColor="accent6" w:themeTint="90"/>
          <w:bottom w:val="none" w:sz="4" w:space="0" w:color="000000"/>
          <w:right w:val="none" w:sz="4" w:space="0" w:color="000000"/>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styleId="Listentabelle1hell">
    <w:name w:val="List Table 1 Light"/>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1"/>
          <w:right w:val="none" w:sz="4" w:space="0" w:color="000000"/>
        </w:tcBorders>
      </w:tcPr>
    </w:tblStylePr>
    <w:tblStylePr w:type="lastRow">
      <w:rPr>
        <w:b/>
        <w:color w:val="404040"/>
      </w:rPr>
      <w:tblPr/>
      <w:tcPr>
        <w:tcBorders>
          <w:top w:val="single" w:sz="4" w:space="0" w:color="4472C4"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1" w:themeTint="40" w:fill="CFDBF0" w:themeFill="accent1" w:themeFillTint="40"/>
      </w:tcPr>
    </w:tblStylePr>
    <w:tblStylePr w:type="band1Horz">
      <w:tblPr/>
      <w:tcPr>
        <w:shd w:val="clear" w:color="CFDBF0" w:themeColor="accent1" w:themeTint="40" w:fill="CFDBF0" w:themeFill="accent1" w:themeFillTint="40"/>
      </w:tcPr>
    </w:tblStylePr>
  </w:style>
  <w:style w:type="table" w:customStyle="1" w:styleId="ListTable1Light-Accent2">
    <w:name w:val="List Table 1 Light - Accent 2"/>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5"/>
          <w:right w:val="none" w:sz="4" w:space="0" w:color="000000"/>
        </w:tcBorders>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5" w:themeTint="40" w:fill="D5E5F4" w:themeFill="accent5" w:themeFillTint="40"/>
      </w:tcPr>
    </w:tblStylePr>
    <w:tblStylePr w:type="band1Horz">
      <w:tblPr/>
      <w:tcPr>
        <w:shd w:val="clear" w:color="D5E5F4" w:themeColor="accent5" w:themeTint="40" w:fill="D5E5F4" w:themeFill="accent5" w:themeFillTint="40"/>
      </w:tcPr>
    </w:tblStylePr>
  </w:style>
  <w:style w:type="table" w:customStyle="1" w:styleId="ListTable1Light-Accent6">
    <w:name w:val="List Table 1 Light - Accent 6"/>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styleId="Listentabelle2">
    <w:name w:val="List Table 2"/>
    <w:basedOn w:val="NormaleTabelle"/>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NormaleTabelle"/>
    <w:uiPriority w:val="99"/>
    <w:pPr>
      <w:spacing w:after="0" w:line="240" w:lineRule="auto"/>
    </w:pPr>
    <w:tblPr>
      <w:tblStyleRowBandSize w:val="1"/>
      <w:tblStyleColBandSize w:val="1"/>
      <w:tblBorders>
        <w:top w:val="single" w:sz="4" w:space="0" w:color="95AFDD" w:themeColor="accent1" w:themeTint="90"/>
        <w:bottom w:val="single" w:sz="4" w:space="0" w:color="95AFDD" w:themeColor="accent1" w:themeTint="90"/>
        <w:insideH w:val="single" w:sz="4" w:space="0" w:color="95AFDD" w:themeColor="accent1" w:themeTint="90"/>
      </w:tblBorders>
    </w:tblPr>
    <w:tblStylePr w:type="fir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la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2-Accent2">
    <w:name w:val="List Table 2 - Accent 2"/>
    <w:basedOn w:val="NormaleTabelle"/>
    <w:uiPriority w:val="99"/>
    <w:pPr>
      <w:spacing w:after="0" w:line="240" w:lineRule="auto"/>
    </w:pPr>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NormaleTabelle"/>
    <w:uiPriority w:val="99"/>
    <w:pPr>
      <w:spacing w:after="0" w:line="240" w:lineRule="auto"/>
    </w:pPr>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NormaleTabelle"/>
    <w:uiPriority w:val="99"/>
    <w:pPr>
      <w:spacing w:after="0" w:line="240" w:lineRule="auto"/>
    </w:pPr>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NormaleTabelle"/>
    <w:uiPriority w:val="99"/>
    <w:pPr>
      <w:spacing w:after="0" w:line="240" w:lineRule="auto"/>
    </w:pPr>
    <w:tblPr>
      <w:tblStyleRowBandSize w:val="1"/>
      <w:tblStyleColBandSize w:val="1"/>
      <w:tblBorders>
        <w:top w:val="single" w:sz="4" w:space="0" w:color="A2C6E7" w:themeColor="accent5" w:themeTint="90"/>
        <w:bottom w:val="single" w:sz="4" w:space="0" w:color="A2C6E7" w:themeColor="accent5" w:themeTint="90"/>
        <w:insideH w:val="single" w:sz="4" w:space="0" w:color="A2C6E7" w:themeColor="accent5" w:themeTint="90"/>
      </w:tblBorders>
    </w:tblPr>
    <w:tblStylePr w:type="fir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la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2-Accent6">
    <w:name w:val="List Table 2 - Accent 6"/>
    <w:basedOn w:val="NormaleTabelle"/>
    <w:uiPriority w:val="99"/>
    <w:pPr>
      <w:spacing w:after="0" w:line="240" w:lineRule="auto"/>
    </w:pPr>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Listentabelle3">
    <w:name w:val="List Table 3"/>
    <w:basedOn w:val="NormaleTabelle"/>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NormaleTabelle"/>
    <w:uiPriority w:val="99"/>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472C4" w:themeColor="accent1"/>
          <w:right w:val="single" w:sz="4" w:space="0" w:color="4472C4" w:themeColor="accent1"/>
        </w:tcBorders>
      </w:tcPr>
    </w:tblStylePr>
    <w:tblStylePr w:type="band1Horz">
      <w:rPr>
        <w:rFonts w:ascii="Arial" w:hAnsi="Arial"/>
        <w:color w:val="404040"/>
        <w:sz w:val="22"/>
      </w:rPr>
      <w:tblPr/>
      <w:tcPr>
        <w:tcBorders>
          <w:top w:val="single" w:sz="4" w:space="0" w:color="4472C4" w:themeColor="accent1"/>
          <w:bottom w:val="single" w:sz="4" w:space="0" w:color="4472C4" w:themeColor="accent1"/>
        </w:tcBorders>
      </w:tcPr>
    </w:tblStylePr>
  </w:style>
  <w:style w:type="table" w:customStyle="1" w:styleId="ListTable3-Accent2">
    <w:name w:val="List Table 3 - Accent 2"/>
    <w:basedOn w:val="NormaleTabelle"/>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NormaleTabelle"/>
    <w:uiPriority w:val="99"/>
    <w:pPr>
      <w:spacing w:after="0" w:line="240" w:lineRule="auto"/>
    </w:pPr>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NormaleTabelle"/>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NormaleTabelle"/>
    <w:uiPriority w:val="99"/>
    <w:pPr>
      <w:spacing w:after="0" w:line="240" w:lineRule="auto"/>
    </w:pPr>
    <w:tblPr>
      <w:tblStyleRowBandSize w:val="1"/>
      <w:tblStyleColBandSize w:val="1"/>
      <w:tblBorders>
        <w:top w:val="single" w:sz="4" w:space="0" w:color="9BC2E5" w:themeColor="accent5" w:themeTint="9A"/>
        <w:left w:val="single" w:sz="4" w:space="0" w:color="9BC2E5" w:themeColor="accent5" w:themeTint="9A"/>
        <w:bottom w:val="single" w:sz="4" w:space="0" w:color="9BC2E5" w:themeColor="accent5" w:themeTint="9A"/>
        <w:right w:val="single" w:sz="4" w:space="0" w:color="9BC2E5" w:themeColor="accent5" w:themeTint="9A"/>
      </w:tblBorders>
    </w:tblPr>
    <w:tblStylePr w:type="firstRow">
      <w:rPr>
        <w:rFonts w:ascii="Arial" w:hAnsi="Arial"/>
        <w:b/>
        <w:color w:val="FFFFFF"/>
        <w:sz w:val="22"/>
      </w:rPr>
      <w:tblPr/>
      <w:tcPr>
        <w:shd w:val="clear" w:color="9BC2E5" w:themeColor="accent5" w:themeTint="9A" w:fill="9BC2E5"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BC2E5" w:themeColor="accent5" w:themeTint="9A"/>
          <w:right w:val="single" w:sz="4" w:space="0" w:color="9BC2E5" w:themeColor="accent5" w:themeTint="9A"/>
        </w:tcBorders>
      </w:tcPr>
    </w:tblStylePr>
    <w:tblStylePr w:type="band1Horz">
      <w:rPr>
        <w:rFonts w:ascii="Arial" w:hAnsi="Arial"/>
        <w:color w:val="404040"/>
        <w:sz w:val="22"/>
      </w:rPr>
      <w:tblPr/>
      <w:tcPr>
        <w:tcBorders>
          <w:top w:val="single" w:sz="4" w:space="0" w:color="9BC2E5" w:themeColor="accent5" w:themeTint="9A"/>
          <w:bottom w:val="single" w:sz="4" w:space="0" w:color="9BC2E5" w:themeColor="accent5" w:themeTint="9A"/>
        </w:tcBorders>
      </w:tcPr>
    </w:tblStylePr>
  </w:style>
  <w:style w:type="table" w:customStyle="1" w:styleId="ListTable3-Accent6">
    <w:name w:val="List Table 3 - Accent 6"/>
    <w:basedOn w:val="NormaleTabelle"/>
    <w:uiPriority w:val="99"/>
    <w:pPr>
      <w:spacing w:after="0" w:line="240" w:lineRule="auto"/>
    </w:pPr>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styleId="Listentabelle4">
    <w:name w:val="List Table 4"/>
    <w:basedOn w:val="NormaleTabelle"/>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NormaleTabelle"/>
    <w:uiPriority w:val="99"/>
    <w:pPr>
      <w:spacing w:after="0" w:line="240" w:lineRule="auto"/>
    </w:pPr>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4-Accent2">
    <w:name w:val="List Table 4 - Accent 2"/>
    <w:basedOn w:val="NormaleTabelle"/>
    <w:uiPriority w:val="9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NormaleTabelle"/>
    <w:uiPriority w:val="9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NormaleTabelle"/>
    <w:uiPriority w:val="9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NormaleTabelle"/>
    <w:uiPriority w:val="99"/>
    <w:pPr>
      <w:spacing w:after="0" w:line="240" w:lineRule="auto"/>
    </w:pPr>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tblBorders>
    </w:tblPr>
    <w:tblStylePr w:type="firstRow">
      <w:rPr>
        <w:rFonts w:ascii="Arial" w:hAnsi="Arial"/>
        <w:b/>
        <w:color w:val="FFFFFF"/>
        <w:sz w:val="22"/>
      </w:rPr>
      <w:tblPr/>
      <w:tcPr>
        <w:shd w:val="clear" w:color="5B9BD5" w:themeColor="accent5" w:fill="5B9BD5"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4-Accent6">
    <w:name w:val="List Table 4 - Accent 6"/>
    <w:basedOn w:val="NormaleTabelle"/>
    <w:uiPriority w:val="9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Listentabelle5dunkel">
    <w:name w:val="List Table 5 Dark"/>
    <w:basedOn w:val="NormaleTabelle"/>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NormaleTabelle"/>
    <w:uiPriority w:val="99"/>
    <w:pPr>
      <w:spacing w:after="0" w:line="240" w:lineRule="auto"/>
    </w:pPr>
    <w:tblPr>
      <w:tblStyleRowBandSize w:val="1"/>
      <w:tblStyleColBandSize w:val="1"/>
      <w:tblBorders>
        <w:top w:val="single" w:sz="32" w:space="0" w:color="4472C4" w:themeColor="accent1"/>
        <w:left w:val="single" w:sz="32" w:space="0" w:color="4472C4" w:themeColor="accent1"/>
        <w:bottom w:val="single" w:sz="32" w:space="0" w:color="4472C4" w:themeColor="accent1"/>
        <w:right w:val="single" w:sz="32" w:space="0" w:color="4472C4" w:themeColor="accent1"/>
      </w:tblBorders>
      <w:shd w:val="clear" w:color="4472C4" w:themeColor="accent1" w:fill="4472C4" w:themeFill="accent1"/>
    </w:tblPr>
    <w:tblStylePr w:type="firstRow">
      <w:rPr>
        <w:rFonts w:ascii="Arial" w:hAnsi="Arial"/>
        <w:b/>
        <w:color w:val="FFFFFF" w:themeColor="light1"/>
        <w:sz w:val="22"/>
      </w:rPr>
      <w:tblPr/>
      <w:tcPr>
        <w:tcBorders>
          <w:top w:val="single" w:sz="32" w:space="0" w:color="4472C4" w:themeColor="accent1"/>
          <w:bottom w:val="single" w:sz="12" w:space="0" w:color="FFFFFF" w:themeColor="light1"/>
        </w:tcBorders>
        <w:shd w:val="clear" w:color="4472C4" w:themeColor="accent1" w:fill="4472C4"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472C4" w:themeColor="accent1"/>
          <w:right w:val="single" w:sz="4" w:space="0" w:color="FFFFFF" w:themeColor="light1"/>
        </w:tcBorders>
      </w:tcPr>
    </w:tblStylePr>
    <w:tblStylePr w:type="lastCol">
      <w:tblPr/>
      <w:tcPr>
        <w:tcBorders>
          <w:left w:val="single" w:sz="4" w:space="0" w:color="FFFFFF" w:themeColor="light1"/>
          <w:right w:val="single" w:sz="32" w:space="0" w:color="4472C4" w:themeColor="accent1"/>
        </w:tcBorders>
      </w:tcPr>
    </w:tblStylePr>
    <w:tblStylePr w:type="band1Vert">
      <w:tblPr/>
      <w:tcPr>
        <w:tcBorders>
          <w:left w:val="single" w:sz="4" w:space="0" w:color="FFFFFF" w:themeColor="light1"/>
          <w:right w:val="single" w:sz="4" w:space="0" w:color="FFFFFF" w:themeColor="light1"/>
        </w:tcBorders>
        <w:shd w:val="clear" w:color="4472C4" w:themeColor="accent1" w:fill="4472C4"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472C4" w:themeColor="accent1" w:fill="4472C4" w:themeFill="accent1"/>
      </w:tcPr>
    </w:tblStylePr>
    <w:tblStylePr w:type="band2Horz">
      <w:tblPr/>
      <w:tcPr>
        <w:tcBorders>
          <w:top w:val="single" w:sz="4" w:space="0" w:color="FFFFFF" w:themeColor="light1"/>
          <w:bottom w:val="single" w:sz="4" w:space="0" w:color="FFFFFF" w:themeColor="light1"/>
        </w:tcBorders>
        <w:shd w:val="clear" w:color="4472C4" w:themeColor="accent1" w:fill="4472C4" w:themeFill="accent1"/>
      </w:tcPr>
    </w:tblStylePr>
  </w:style>
  <w:style w:type="table" w:customStyle="1" w:styleId="ListTable5Dark-Accent2">
    <w:name w:val="List Table 5 Dark - Accent 2"/>
    <w:basedOn w:val="NormaleTabelle"/>
    <w:uiPriority w:val="99"/>
    <w:pPr>
      <w:spacing w:after="0" w:line="240" w:lineRule="auto"/>
    </w:pPr>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NormaleTabelle"/>
    <w:uiPriority w:val="99"/>
    <w:pPr>
      <w:spacing w:after="0" w:line="240" w:lineRule="auto"/>
    </w:pPr>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NormaleTabelle"/>
    <w:uiPriority w:val="99"/>
    <w:pPr>
      <w:spacing w:after="0" w:line="240" w:lineRule="auto"/>
    </w:pPr>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NormaleTabelle"/>
    <w:uiPriority w:val="99"/>
    <w:pPr>
      <w:spacing w:after="0" w:line="240" w:lineRule="auto"/>
    </w:pPr>
    <w:tblPr>
      <w:tblStyleRowBandSize w:val="1"/>
      <w:tblStyleColBandSize w:val="1"/>
      <w:tblBorders>
        <w:top w:val="single" w:sz="32" w:space="0" w:color="9BC2E5" w:themeColor="accent5" w:themeTint="9A"/>
        <w:left w:val="single" w:sz="32" w:space="0" w:color="9BC2E5" w:themeColor="accent5" w:themeTint="9A"/>
        <w:bottom w:val="single" w:sz="32" w:space="0" w:color="9BC2E5" w:themeColor="accent5" w:themeTint="9A"/>
        <w:right w:val="single" w:sz="32" w:space="0" w:color="9BC2E5" w:themeColor="accent5" w:themeTint="9A"/>
      </w:tblBorders>
      <w:shd w:val="clear" w:color="9BC2E5" w:themeColor="accent5" w:themeTint="9A" w:fill="9BC2E5" w:themeFill="accent5" w:themeFillTint="9A"/>
    </w:tblPr>
    <w:tblStylePr w:type="firstRow">
      <w:rPr>
        <w:rFonts w:ascii="Arial" w:hAnsi="Arial"/>
        <w:b/>
        <w:color w:val="FFFFFF" w:themeColor="light1"/>
        <w:sz w:val="22"/>
      </w:rPr>
      <w:tblPr/>
      <w:tcPr>
        <w:tcBorders>
          <w:top w:val="single" w:sz="32" w:space="0" w:color="9BC2E5" w:themeColor="accent5" w:themeTint="9A"/>
          <w:bottom w:val="single" w:sz="12" w:space="0" w:color="FFFFFF" w:themeColor="light1"/>
        </w:tcBorders>
        <w:shd w:val="clear" w:color="9BC2E5" w:themeColor="accent5" w:themeTint="9A" w:fill="9BC2E5"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BC2E5" w:themeColor="accent5" w:themeTint="9A"/>
          <w:right w:val="single" w:sz="4" w:space="0" w:color="FFFFFF" w:themeColor="light1"/>
        </w:tcBorders>
      </w:tcPr>
    </w:tblStylePr>
    <w:tblStylePr w:type="lastCol">
      <w:tblPr/>
      <w:tcPr>
        <w:tcBorders>
          <w:left w:val="single" w:sz="4" w:space="0" w:color="FFFFFF" w:themeColor="light1"/>
          <w:right w:val="single" w:sz="32" w:space="0" w:color="9BC2E5" w:themeColor="accent5" w:themeTint="9A"/>
        </w:tcBorders>
      </w:tcPr>
    </w:tblStylePr>
    <w:tblStylePr w:type="band1Vert">
      <w:tblPr/>
      <w:tcPr>
        <w:tcBorders>
          <w:left w:val="single" w:sz="4" w:space="0" w:color="FFFFFF" w:themeColor="light1"/>
          <w:right w:val="single" w:sz="4" w:space="0" w:color="FFFFFF" w:themeColor="light1"/>
        </w:tcBorders>
        <w:shd w:val="clear" w:color="9BC2E5" w:themeColor="accent5" w:themeTint="9A" w:fill="9BC2E5"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tblStylePr w:type="band2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style>
  <w:style w:type="table" w:customStyle="1" w:styleId="ListTable5Dark-Accent6">
    <w:name w:val="List Table 5 Dark - Accent 6"/>
    <w:basedOn w:val="NormaleTabelle"/>
    <w:uiPriority w:val="99"/>
    <w:pPr>
      <w:spacing w:after="0" w:line="240" w:lineRule="auto"/>
    </w:pPr>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styleId="Listentabelle6farbig">
    <w:name w:val="List Table 6 Colorful"/>
    <w:basedOn w:val="NormaleTabelle"/>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NormaleTabelle"/>
    <w:uiPriority w:val="99"/>
    <w:pPr>
      <w:spacing w:after="0" w:line="240" w:lineRule="auto"/>
    </w:pPr>
    <w:tblPr>
      <w:tblStyleRowBandSize w:val="1"/>
      <w:tblStyleColBandSize w:val="1"/>
      <w:tblBorders>
        <w:top w:val="single" w:sz="4" w:space="0" w:color="4472C4" w:themeColor="accent1"/>
        <w:bottom w:val="single" w:sz="4" w:space="0" w:color="4472C4" w:themeColor="accent1"/>
      </w:tblBorders>
    </w:tblPr>
    <w:tblStylePr w:type="firstRow">
      <w:rPr>
        <w:b/>
        <w:color w:val="254175" w:themeColor="accent1" w:themeShade="95"/>
      </w:rPr>
      <w:tblPr/>
      <w:tcPr>
        <w:tcBorders>
          <w:bottom w:val="single" w:sz="4" w:space="0" w:color="4472C4" w:themeColor="accent1"/>
        </w:tcBorders>
      </w:tcPr>
    </w:tblStylePr>
    <w:tblStylePr w:type="lastRow">
      <w:rPr>
        <w:b/>
        <w:color w:val="254175" w:themeColor="accent1" w:themeShade="95"/>
      </w:rPr>
      <w:tblPr/>
      <w:tcPr>
        <w:tcBorders>
          <w:top w:val="single" w:sz="4" w:space="0" w:color="4472C4" w:themeColor="accent1"/>
        </w:tcBorders>
      </w:tcPr>
    </w:tblStylePr>
    <w:tblStylePr w:type="firstCol">
      <w:rPr>
        <w:b/>
        <w:color w:val="254175" w:themeColor="accent1" w:themeShade="95"/>
      </w:rPr>
    </w:tblStylePr>
    <w:tblStylePr w:type="lastCol">
      <w:rPr>
        <w:b/>
        <w:color w:val="254175" w:themeColor="accent1" w:themeShade="95"/>
      </w:r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6Colorful-Accent2">
    <w:name w:val="List Table 6 Colorful - Accent 2"/>
    <w:basedOn w:val="NormaleTabelle"/>
    <w:uiPriority w:val="99"/>
    <w:pPr>
      <w:spacing w:after="0" w:line="240" w:lineRule="auto"/>
    </w:pPr>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NormaleTabelle"/>
    <w:uiPriority w:val="99"/>
    <w:pPr>
      <w:spacing w:after="0" w:line="240" w:lineRule="auto"/>
    </w:pPr>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NormaleTabelle"/>
    <w:uiPriority w:val="99"/>
    <w:pPr>
      <w:spacing w:after="0" w:line="240" w:lineRule="auto"/>
    </w:pPr>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NormaleTabelle"/>
    <w:uiPriority w:val="99"/>
    <w:pPr>
      <w:spacing w:after="0" w:line="240" w:lineRule="auto"/>
    </w:pPr>
    <w:tblPr>
      <w:tblStyleRowBandSize w:val="1"/>
      <w:tblStyleColBandSize w:val="1"/>
      <w:tblBorders>
        <w:top w:val="single" w:sz="4" w:space="0" w:color="9BC2E5" w:themeColor="accent5" w:themeTint="9A"/>
        <w:bottom w:val="single" w:sz="4" w:space="0" w:color="9BC2E5" w:themeColor="accent5" w:themeTint="9A"/>
      </w:tblBorders>
    </w:tblPr>
    <w:tblStylePr w:type="firstRow">
      <w:rPr>
        <w:b/>
        <w:color w:val="9BC2E5" w:themeColor="accent5" w:themeTint="9A" w:themeShade="95"/>
      </w:rPr>
      <w:tblPr/>
      <w:tcPr>
        <w:tcBorders>
          <w:bottom w:val="single" w:sz="4" w:space="0" w:color="9BC2E5" w:themeColor="accent5" w:themeTint="9A"/>
        </w:tcBorders>
      </w:tcPr>
    </w:tblStylePr>
    <w:tblStylePr w:type="lastRow">
      <w:rPr>
        <w:b/>
        <w:color w:val="9BC2E5" w:themeColor="accent5" w:themeTint="9A" w:themeShade="95"/>
      </w:rPr>
      <w:tblPr/>
      <w:tcPr>
        <w:tcBorders>
          <w:top w:val="single" w:sz="4" w:space="0" w:color="9BC2E5" w:themeColor="accent5" w:themeTint="9A"/>
        </w:tcBorders>
      </w:tcPr>
    </w:tblStylePr>
    <w:tblStylePr w:type="firstCol">
      <w:rPr>
        <w:b/>
        <w:color w:val="9BC2E5" w:themeColor="accent5" w:themeTint="9A" w:themeShade="95"/>
      </w:rPr>
    </w:tblStylePr>
    <w:tblStylePr w:type="lastCol">
      <w:rPr>
        <w:b/>
        <w:color w:val="9BC2E5" w:themeColor="accent5" w:themeTint="9A" w:themeShade="95"/>
      </w:r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6Colorful-Accent6">
    <w:name w:val="List Table 6 Colorful - Accent 6"/>
    <w:basedOn w:val="NormaleTabelle"/>
    <w:uiPriority w:val="99"/>
    <w:pPr>
      <w:spacing w:after="0" w:line="240" w:lineRule="auto"/>
    </w:pPr>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styleId="Listentabelle7farbig">
    <w:name w:val="List Table 7 Colorful"/>
    <w:basedOn w:val="NormaleTabelle"/>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NormaleTabelle"/>
    <w:uiPriority w:val="99"/>
    <w:pPr>
      <w:spacing w:after="0" w:line="240" w:lineRule="auto"/>
    </w:pPr>
    <w:tblPr>
      <w:tblStyleRowBandSize w:val="1"/>
      <w:tblStyleColBandSize w:val="1"/>
      <w:tblBorders>
        <w:right w:val="single" w:sz="4" w:space="0" w:color="4472C4" w:themeColor="accent1"/>
      </w:tblBorders>
    </w:tblPr>
    <w:tblStylePr w:type="firstRow">
      <w:rPr>
        <w:rFonts w:ascii="Arial" w:hAnsi="Arial"/>
        <w:i/>
        <w:color w:val="254175" w:themeColor="accent1" w:themeShade="95"/>
        <w:sz w:val="22"/>
      </w:rPr>
      <w:tblPr/>
      <w:tcPr>
        <w:tcBorders>
          <w:top w:val="none" w:sz="4" w:space="0" w:color="000000"/>
          <w:left w:val="none" w:sz="4" w:space="0" w:color="000000"/>
          <w:bottom w:val="single" w:sz="4" w:space="0" w:color="4472C4" w:themeColor="accent1"/>
          <w:right w:val="none" w:sz="4" w:space="0" w:color="000000"/>
        </w:tcBorders>
        <w:shd w:val="clear" w:color="FFFFFF" w:themeColor="light1" w:fill="FFFFFF" w:themeFill="light1"/>
      </w:tcPr>
    </w:tblStylePr>
    <w:tblStylePr w:type="lastRow">
      <w:rPr>
        <w:rFonts w:ascii="Arial" w:hAnsi="Arial"/>
        <w:i/>
        <w:color w:val="254175" w:themeColor="accent1" w:themeShade="95"/>
        <w:sz w:val="22"/>
      </w:rPr>
      <w:tblPr/>
      <w:tcPr>
        <w:tcBorders>
          <w:top w:val="single" w:sz="4" w:space="0" w:color="4472C4"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54175" w:themeColor="accent1" w:themeShade="95"/>
        <w:sz w:val="22"/>
      </w:rPr>
      <w:tblPr/>
      <w:tcPr>
        <w:tcBorders>
          <w:top w:val="none" w:sz="4" w:space="0" w:color="000000"/>
          <w:left w:val="none" w:sz="4" w:space="0" w:color="000000"/>
          <w:bottom w:val="none" w:sz="4" w:space="0" w:color="000000"/>
          <w:right w:val="single" w:sz="4" w:space="0" w:color="4472C4" w:themeColor="accent1"/>
        </w:tcBorders>
        <w:shd w:val="clear" w:color="FFFFFF" w:fill="auto"/>
      </w:tcPr>
    </w:tblStylePr>
    <w:tblStylePr w:type="lastCol">
      <w:rPr>
        <w:rFonts w:ascii="Arial" w:hAnsi="Arial"/>
        <w:i/>
        <w:color w:val="254175" w:themeColor="accent1" w:themeShade="95"/>
        <w:sz w:val="22"/>
      </w:rPr>
      <w:tblPr/>
      <w:tcPr>
        <w:tcBorders>
          <w:top w:val="none" w:sz="4" w:space="0" w:color="000000"/>
          <w:left w:val="single" w:sz="4" w:space="0" w:color="4472C4" w:themeColor="accent1"/>
          <w:bottom w:val="none" w:sz="4" w:space="0" w:color="000000"/>
          <w:right w:val="none" w:sz="4" w:space="0" w:color="000000"/>
        </w:tcBorders>
        <w:shd w:val="clear" w:color="FFFFFF" w:fill="auto"/>
      </w:tc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7Colorful-Accent2">
    <w:name w:val="List Table 7 Colorful - Accent 2"/>
    <w:basedOn w:val="NormaleTabelle"/>
    <w:uiPriority w:val="99"/>
    <w:pPr>
      <w:spacing w:after="0" w:line="240" w:lineRule="auto"/>
    </w:pPr>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NormaleTabelle"/>
    <w:uiPriority w:val="99"/>
    <w:pPr>
      <w:spacing w:after="0" w:line="240" w:lineRule="auto"/>
    </w:pPr>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4" w:space="0" w:color="000000"/>
          <w:left w:val="none" w:sz="4" w:space="0" w:color="000000"/>
          <w:bottom w:val="single" w:sz="4" w:space="0" w:color="C9C9C9" w:themeColor="accent3" w:themeTint="98"/>
          <w:right w:val="none" w:sz="4" w:space="0" w:color="000000"/>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4" w:space="0" w:color="000000"/>
          <w:left w:val="none" w:sz="4" w:space="0" w:color="000000"/>
          <w:bottom w:val="none" w:sz="4" w:space="0" w:color="000000"/>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4" w:space="0" w:color="000000"/>
          <w:left w:val="single" w:sz="4" w:space="0" w:color="C9C9C9" w:themeColor="accent3" w:themeTint="98"/>
          <w:bottom w:val="none" w:sz="4" w:space="0" w:color="000000"/>
          <w:right w:val="none" w:sz="4" w:space="0" w:color="000000"/>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NormaleTabelle"/>
    <w:uiPriority w:val="99"/>
    <w:pPr>
      <w:spacing w:after="0" w:line="240" w:lineRule="auto"/>
    </w:pPr>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NormaleTabelle"/>
    <w:uiPriority w:val="99"/>
    <w:pPr>
      <w:spacing w:after="0" w:line="240" w:lineRule="auto"/>
    </w:pPr>
    <w:tblPr>
      <w:tblStyleRowBandSize w:val="1"/>
      <w:tblStyleColBandSize w:val="1"/>
      <w:tblBorders>
        <w:right w:val="single" w:sz="4" w:space="0" w:color="9BC2E5" w:themeColor="accent5" w:themeTint="9A"/>
      </w:tblBorders>
    </w:tblPr>
    <w:tblStylePr w:type="firstRow">
      <w:rPr>
        <w:rFonts w:ascii="Arial" w:hAnsi="Arial"/>
        <w:i/>
        <w:color w:val="9BC2E5" w:themeColor="accent5" w:themeTint="9A" w:themeShade="95"/>
        <w:sz w:val="22"/>
      </w:rPr>
      <w:tblPr/>
      <w:tcPr>
        <w:tcBorders>
          <w:top w:val="none" w:sz="4" w:space="0" w:color="000000"/>
          <w:left w:val="none" w:sz="4" w:space="0" w:color="000000"/>
          <w:bottom w:val="single" w:sz="4" w:space="0" w:color="9BC2E5" w:themeColor="accent5" w:themeTint="9A"/>
          <w:right w:val="none" w:sz="4" w:space="0" w:color="000000"/>
        </w:tcBorders>
        <w:shd w:val="clear" w:color="FFFFFF" w:themeColor="light1" w:fill="FFFFFF" w:themeFill="light1"/>
      </w:tcPr>
    </w:tblStylePr>
    <w:tblStylePr w:type="lastRow">
      <w:rPr>
        <w:rFonts w:ascii="Arial" w:hAnsi="Arial"/>
        <w:i/>
        <w:color w:val="9BC2E5" w:themeColor="accent5" w:themeTint="9A" w:themeShade="95"/>
        <w:sz w:val="22"/>
      </w:rPr>
      <w:tblPr/>
      <w:tcPr>
        <w:tcBorders>
          <w:top w:val="single" w:sz="4" w:space="0" w:color="9BC2E5"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BC2E5" w:themeColor="accent5" w:themeTint="9A" w:themeShade="95"/>
        <w:sz w:val="22"/>
      </w:rPr>
      <w:tblPr/>
      <w:tcPr>
        <w:tcBorders>
          <w:top w:val="none" w:sz="4" w:space="0" w:color="000000"/>
          <w:left w:val="none" w:sz="4" w:space="0" w:color="000000"/>
          <w:bottom w:val="none" w:sz="4" w:space="0" w:color="000000"/>
          <w:right w:val="single" w:sz="4" w:space="0" w:color="9BC2E5" w:themeColor="accent5" w:themeTint="9A"/>
        </w:tcBorders>
        <w:shd w:val="clear" w:color="FFFFFF" w:fill="auto"/>
      </w:tcPr>
    </w:tblStylePr>
    <w:tblStylePr w:type="lastCol">
      <w:rPr>
        <w:rFonts w:ascii="Arial" w:hAnsi="Arial"/>
        <w:i/>
        <w:color w:val="9BC2E5" w:themeColor="accent5" w:themeTint="9A" w:themeShade="95"/>
        <w:sz w:val="22"/>
      </w:rPr>
      <w:tblPr/>
      <w:tcPr>
        <w:tcBorders>
          <w:top w:val="none" w:sz="4" w:space="0" w:color="000000"/>
          <w:left w:val="single" w:sz="4" w:space="0" w:color="9BC2E5" w:themeColor="accent5" w:themeTint="9A"/>
          <w:bottom w:val="none" w:sz="4" w:space="0" w:color="000000"/>
          <w:right w:val="none" w:sz="4" w:space="0" w:color="000000"/>
        </w:tcBorders>
        <w:shd w:val="clear" w:color="FFFFFF" w:fill="auto"/>
      </w:tc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7Colorful-Accent6">
    <w:name w:val="List Table 7 Colorful - Accent 6"/>
    <w:basedOn w:val="NormaleTabelle"/>
    <w:uiPriority w:val="99"/>
    <w:pPr>
      <w:spacing w:after="0" w:line="240" w:lineRule="auto"/>
    </w:pPr>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4" w:space="0" w:color="000000"/>
          <w:left w:val="none" w:sz="4" w:space="0" w:color="000000"/>
          <w:bottom w:val="single" w:sz="4" w:space="0" w:color="A9D08E" w:themeColor="accent6" w:themeTint="98"/>
          <w:right w:val="none" w:sz="4" w:space="0" w:color="000000"/>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4" w:space="0" w:color="000000"/>
          <w:left w:val="none" w:sz="4" w:space="0" w:color="000000"/>
          <w:bottom w:val="none" w:sz="4" w:space="0" w:color="000000"/>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4" w:space="0" w:color="000000"/>
          <w:left w:val="single" w:sz="4" w:space="0" w:color="A9D08E" w:themeColor="accent6" w:themeTint="98"/>
          <w:bottom w:val="none" w:sz="4" w:space="0" w:color="000000"/>
          <w:right w:val="none" w:sz="4" w:space="0" w:color="000000"/>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NormaleTabelle"/>
    <w:uiPriority w:val="99"/>
    <w:pPr>
      <w:spacing w:after="0" w:line="240" w:lineRule="auto"/>
    </w:pPr>
    <w:rPr>
      <w:color w:val="404040"/>
      <w:sz w:val="20"/>
      <w:szCs w:val="20"/>
      <w:lang w:val="en-US"/>
      <w14:ligatures w14:val="none"/>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NormaleTabelle"/>
    <w:uiPriority w:val="99"/>
    <w:pPr>
      <w:spacing w:after="0" w:line="240" w:lineRule="auto"/>
    </w:pPr>
    <w:rPr>
      <w:color w:val="404040"/>
      <w:sz w:val="20"/>
      <w:szCs w:val="20"/>
      <w:lang w:val="en-US"/>
      <w14:ligatures w14:val="none"/>
    </w:rPr>
    <w:tblPr>
      <w:tblStyleRowBandSize w:val="1"/>
      <w:tblStyleColBandSize w:val="1"/>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Lined-Accent2">
    <w:name w:val="Lined - Accent 2"/>
    <w:basedOn w:val="NormaleTabelle"/>
    <w:uiPriority w:val="99"/>
    <w:pPr>
      <w:spacing w:after="0" w:line="240" w:lineRule="auto"/>
    </w:pPr>
    <w:rPr>
      <w:color w:val="404040"/>
      <w:sz w:val="20"/>
      <w:szCs w:val="20"/>
      <w:lang w:val="en-US"/>
      <w14:ligatures w14:val="none"/>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NormaleTabelle"/>
    <w:uiPriority w:val="99"/>
    <w:pPr>
      <w:spacing w:after="0" w:line="240" w:lineRule="auto"/>
    </w:pPr>
    <w:rPr>
      <w:color w:val="404040"/>
      <w:sz w:val="20"/>
      <w:szCs w:val="20"/>
      <w:lang w:val="en-US"/>
      <w14:ligatures w14:val="none"/>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NormaleTabelle"/>
    <w:uiPriority w:val="99"/>
    <w:pPr>
      <w:spacing w:after="0" w:line="240" w:lineRule="auto"/>
    </w:pPr>
    <w:rPr>
      <w:color w:val="404040"/>
      <w:sz w:val="20"/>
      <w:szCs w:val="20"/>
      <w:lang w:val="en-US"/>
      <w14:ligatures w14:val="none"/>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NormaleTabelle"/>
    <w:uiPriority w:val="99"/>
    <w:pPr>
      <w:spacing w:after="0" w:line="240" w:lineRule="auto"/>
    </w:pPr>
    <w:rPr>
      <w:color w:val="404040"/>
      <w:sz w:val="20"/>
      <w:szCs w:val="20"/>
      <w:lang w:val="en-US"/>
      <w14:ligatures w14:val="none"/>
    </w:rPr>
    <w:tblPr>
      <w:tblStyleRowBandSize w:val="1"/>
      <w:tblStyleColBandSize w:val="1"/>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Lined-Accent6">
    <w:name w:val="Lined - Accent 6"/>
    <w:basedOn w:val="NormaleTabelle"/>
    <w:uiPriority w:val="99"/>
    <w:pPr>
      <w:spacing w:after="0" w:line="240" w:lineRule="auto"/>
    </w:pPr>
    <w:rPr>
      <w:color w:val="404040"/>
      <w:sz w:val="20"/>
      <w:szCs w:val="20"/>
      <w:lang w:val="en-US"/>
      <w14:ligatures w14:val="none"/>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NormaleTabelle"/>
    <w:uiPriority w:val="99"/>
    <w:pPr>
      <w:spacing w:after="0" w:line="240" w:lineRule="auto"/>
    </w:pPr>
    <w:rPr>
      <w:color w:val="404040"/>
      <w:sz w:val="20"/>
      <w:szCs w:val="20"/>
      <w:lang w:val="en-US"/>
      <w14:ligatures w14:val="none"/>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NormaleTabelle"/>
    <w:uiPriority w:val="99"/>
    <w:pPr>
      <w:spacing w:after="0" w:line="240" w:lineRule="auto"/>
    </w:pPr>
    <w:rPr>
      <w:color w:val="404040"/>
      <w:sz w:val="20"/>
      <w:szCs w:val="20"/>
      <w:lang w:val="en-US"/>
      <w14:ligatures w14:val="none"/>
    </w:rPr>
    <w:tblPr>
      <w:tblStyleRowBandSize w:val="1"/>
      <w:tblStyleColBandSize w:val="1"/>
      <w:tblBorders>
        <w:top w:val="single" w:sz="4" w:space="0" w:color="254175" w:themeColor="accent1" w:themeShade="95"/>
        <w:left w:val="single" w:sz="4" w:space="0" w:color="254175" w:themeColor="accent1" w:themeShade="95"/>
        <w:bottom w:val="single" w:sz="4" w:space="0" w:color="254175" w:themeColor="accent1" w:themeShade="95"/>
        <w:right w:val="single" w:sz="4" w:space="0" w:color="254175" w:themeColor="accent1" w:themeShade="95"/>
        <w:insideH w:val="single" w:sz="4" w:space="0" w:color="254175" w:themeColor="accent1" w:themeShade="95"/>
        <w:insideV w:val="single" w:sz="4" w:space="0" w:color="254175" w:themeColor="accent1" w:themeShade="95"/>
      </w:tblBorders>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BorderedLined-Accent2">
    <w:name w:val="Bordered &amp; Lined - Accent 2"/>
    <w:basedOn w:val="NormaleTabelle"/>
    <w:uiPriority w:val="99"/>
    <w:pPr>
      <w:spacing w:after="0" w:line="240" w:lineRule="auto"/>
    </w:pPr>
    <w:rPr>
      <w:color w:val="404040"/>
      <w:sz w:val="20"/>
      <w:szCs w:val="20"/>
      <w:lang w:val="en-US"/>
      <w14:ligatures w14:val="none"/>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NormaleTabelle"/>
    <w:uiPriority w:val="99"/>
    <w:pPr>
      <w:spacing w:after="0" w:line="240" w:lineRule="auto"/>
    </w:pPr>
    <w:rPr>
      <w:color w:val="404040"/>
      <w:sz w:val="20"/>
      <w:szCs w:val="20"/>
      <w:lang w:val="en-US"/>
      <w14:ligatures w14:val="none"/>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NormaleTabelle"/>
    <w:uiPriority w:val="99"/>
    <w:pPr>
      <w:spacing w:after="0" w:line="240" w:lineRule="auto"/>
    </w:pPr>
    <w:rPr>
      <w:color w:val="404040"/>
      <w:sz w:val="20"/>
      <w:szCs w:val="20"/>
      <w:lang w:val="en-US"/>
      <w14:ligatures w14:val="none"/>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NormaleTabelle"/>
    <w:uiPriority w:val="99"/>
    <w:pPr>
      <w:spacing w:after="0" w:line="240" w:lineRule="auto"/>
    </w:pPr>
    <w:rPr>
      <w:color w:val="404040"/>
      <w:sz w:val="20"/>
      <w:szCs w:val="20"/>
      <w:lang w:val="en-US"/>
      <w14:ligatures w14:val="none"/>
    </w:rPr>
    <w:tblPr>
      <w:tblStyleRowBandSize w:val="1"/>
      <w:tblStyleColBandSize w:val="1"/>
      <w:tblBorders>
        <w:top w:val="single" w:sz="4" w:space="0" w:color="245A8D" w:themeColor="accent5" w:themeShade="95"/>
        <w:left w:val="single" w:sz="4" w:space="0" w:color="245A8D" w:themeColor="accent5" w:themeShade="95"/>
        <w:bottom w:val="single" w:sz="4" w:space="0" w:color="245A8D" w:themeColor="accent5" w:themeShade="95"/>
        <w:right w:val="single" w:sz="4" w:space="0" w:color="245A8D" w:themeColor="accent5" w:themeShade="95"/>
        <w:insideH w:val="single" w:sz="4" w:space="0" w:color="245A8D" w:themeColor="accent5" w:themeShade="95"/>
        <w:insideV w:val="single" w:sz="4" w:space="0" w:color="245A8D" w:themeColor="accent5" w:themeShade="95"/>
      </w:tblBorders>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BorderedLined-Accent6">
    <w:name w:val="Bordered &amp; Lined - Accent 6"/>
    <w:basedOn w:val="NormaleTabelle"/>
    <w:uiPriority w:val="99"/>
    <w:pPr>
      <w:spacing w:after="0" w:line="240" w:lineRule="auto"/>
    </w:pPr>
    <w:rPr>
      <w:color w:val="404040"/>
      <w:sz w:val="20"/>
      <w:szCs w:val="20"/>
      <w:lang w:val="en-US"/>
      <w14:ligatures w14:val="none"/>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NormaleTabelle"/>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NormaleTabelle"/>
    <w:uiPriority w:val="99"/>
    <w:pPr>
      <w:spacing w:after="0" w:line="240" w:lineRule="auto"/>
    </w:pPr>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rFonts w:ascii="Arial" w:hAnsi="Arial"/>
        <w:color w:val="404040"/>
        <w:sz w:val="22"/>
      </w:rPr>
      <w:tblPr/>
      <w:tcPr>
        <w:tcBorders>
          <w:bottom w:val="single" w:sz="12" w:space="0" w:color="4472C4" w:themeColor="accent1"/>
        </w:tcBorders>
      </w:tcPr>
    </w:tblStylePr>
    <w:tblStylePr w:type="lastRow">
      <w:rPr>
        <w:rFonts w:ascii="Arial" w:hAnsi="Arial"/>
        <w:color w:val="404040"/>
        <w:sz w:val="22"/>
      </w:rPr>
      <w:tblPr/>
      <w:tcPr>
        <w:tcBorders>
          <w:top w:val="single" w:sz="12" w:space="0" w:color="4472C4"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472C4" w:themeColor="accent1"/>
        </w:tcBorders>
      </w:tc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Bordered-Accent2">
    <w:name w:val="Bordered - Accent 2"/>
    <w:basedOn w:val="NormaleTabelle"/>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NormaleTabelle"/>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NormaleTabelle"/>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NormaleTabelle"/>
    <w:uiPriority w:val="99"/>
    <w:pPr>
      <w:spacing w:after="0" w:line="240" w:lineRule="auto"/>
    </w:pPr>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rFonts w:ascii="Arial" w:hAnsi="Arial"/>
        <w:color w:val="404040"/>
        <w:sz w:val="22"/>
      </w:rPr>
      <w:tblPr/>
      <w:tcPr>
        <w:tcBorders>
          <w:bottom w:val="single" w:sz="12" w:space="0" w:color="9BC2E5" w:themeColor="accent5" w:themeTint="9A"/>
        </w:tcBorders>
      </w:tcPr>
    </w:tblStylePr>
    <w:tblStylePr w:type="lastRow">
      <w:rPr>
        <w:rFonts w:ascii="Arial" w:hAnsi="Arial"/>
        <w:color w:val="404040"/>
        <w:sz w:val="22"/>
      </w:rPr>
      <w:tblPr/>
      <w:tcPr>
        <w:tcBorders>
          <w:top w:val="single" w:sz="12" w:space="0" w:color="9BC2E5"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BC2E5" w:themeColor="accent5" w:themeTint="9A"/>
        </w:tcBorders>
      </w:tc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Bordered-Accent6">
    <w:name w:val="Bordered - Accent 6"/>
    <w:basedOn w:val="NormaleTabelle"/>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styleId="Hyperlink">
    <w:name w:val="Hyperlink"/>
    <w:uiPriority w:val="99"/>
    <w:unhideWhenUsed/>
    <w:rPr>
      <w:color w:val="0563C1" w:themeColor="hyperlink"/>
      <w:u w:val="single"/>
    </w:rPr>
  </w:style>
  <w:style w:type="paragraph" w:styleId="Funotentext">
    <w:name w:val="footnote text"/>
    <w:basedOn w:val="Standard"/>
    <w:link w:val="FunotentextZchn"/>
    <w:uiPriority w:val="99"/>
    <w:semiHidden/>
    <w:unhideWhenUsed/>
    <w:pPr>
      <w:spacing w:after="40" w:line="240" w:lineRule="auto"/>
    </w:pPr>
    <w:rPr>
      <w:sz w:val="18"/>
    </w:rPr>
  </w:style>
  <w:style w:type="character" w:customStyle="1" w:styleId="FunotentextZchn">
    <w:name w:val="Fußnotentext Zchn"/>
    <w:link w:val="Funotentext"/>
    <w:uiPriority w:val="99"/>
    <w:rPr>
      <w:sz w:val="18"/>
    </w:rPr>
  </w:style>
  <w:style w:type="character" w:styleId="Funotenzeichen">
    <w:name w:val="footnote reference"/>
    <w:basedOn w:val="Absatz-Standardschriftart"/>
    <w:uiPriority w:val="99"/>
    <w:unhideWhenUsed/>
    <w:rPr>
      <w:vertAlign w:val="superscript"/>
    </w:rPr>
  </w:style>
  <w:style w:type="paragraph" w:styleId="Endnotentext">
    <w:name w:val="endnote text"/>
    <w:basedOn w:val="Standard"/>
    <w:link w:val="EndnotentextZchn"/>
    <w:uiPriority w:val="99"/>
    <w:semiHidden/>
    <w:unhideWhenUsed/>
    <w:pPr>
      <w:spacing w:after="0" w:line="240" w:lineRule="auto"/>
    </w:pPr>
    <w:rPr>
      <w:sz w:val="20"/>
    </w:rPr>
  </w:style>
  <w:style w:type="character" w:customStyle="1" w:styleId="EndnotentextZchn">
    <w:name w:val="Endnotentext Zchn"/>
    <w:link w:val="Endnotentext"/>
    <w:uiPriority w:val="99"/>
    <w:rPr>
      <w:sz w:val="20"/>
    </w:rPr>
  </w:style>
  <w:style w:type="character" w:styleId="Endnotenzeichen">
    <w:name w:val="endnote reference"/>
    <w:basedOn w:val="Absatz-Standardschriftart"/>
    <w:uiPriority w:val="99"/>
    <w:semiHidden/>
    <w:unhideWhenUsed/>
    <w:rPr>
      <w:vertAlign w:val="superscript"/>
    </w:rPr>
  </w:style>
  <w:style w:type="paragraph" w:styleId="Verzeichnis1">
    <w:name w:val="toc 1"/>
    <w:basedOn w:val="Standard"/>
    <w:next w:val="Standard"/>
    <w:uiPriority w:val="39"/>
    <w:unhideWhenUsed/>
    <w:pPr>
      <w:spacing w:after="57"/>
    </w:pPr>
  </w:style>
  <w:style w:type="paragraph" w:styleId="Verzeichnis2">
    <w:name w:val="toc 2"/>
    <w:basedOn w:val="Standard"/>
    <w:next w:val="Standard"/>
    <w:uiPriority w:val="39"/>
    <w:unhideWhenUsed/>
    <w:pPr>
      <w:spacing w:after="57"/>
      <w:ind w:left="283"/>
    </w:pPr>
  </w:style>
  <w:style w:type="paragraph" w:styleId="Verzeichnis3">
    <w:name w:val="toc 3"/>
    <w:basedOn w:val="Standard"/>
    <w:next w:val="Standard"/>
    <w:uiPriority w:val="39"/>
    <w:unhideWhenUsed/>
    <w:pPr>
      <w:spacing w:after="57"/>
      <w:ind w:left="567"/>
    </w:pPr>
  </w:style>
  <w:style w:type="paragraph" w:styleId="Verzeichnis4">
    <w:name w:val="toc 4"/>
    <w:basedOn w:val="Standard"/>
    <w:next w:val="Standard"/>
    <w:uiPriority w:val="39"/>
    <w:unhideWhenUsed/>
    <w:pPr>
      <w:spacing w:after="57"/>
      <w:ind w:left="850"/>
    </w:pPr>
  </w:style>
  <w:style w:type="paragraph" w:styleId="Verzeichnis5">
    <w:name w:val="toc 5"/>
    <w:basedOn w:val="Standard"/>
    <w:next w:val="Standard"/>
    <w:uiPriority w:val="39"/>
    <w:unhideWhenUsed/>
    <w:pPr>
      <w:spacing w:after="57"/>
      <w:ind w:left="1134"/>
    </w:pPr>
  </w:style>
  <w:style w:type="paragraph" w:styleId="Verzeichnis6">
    <w:name w:val="toc 6"/>
    <w:basedOn w:val="Standard"/>
    <w:next w:val="Standard"/>
    <w:uiPriority w:val="39"/>
    <w:unhideWhenUsed/>
    <w:pPr>
      <w:spacing w:after="57"/>
      <w:ind w:left="1417"/>
    </w:pPr>
  </w:style>
  <w:style w:type="paragraph" w:styleId="Verzeichnis7">
    <w:name w:val="toc 7"/>
    <w:basedOn w:val="Standard"/>
    <w:next w:val="Standard"/>
    <w:uiPriority w:val="39"/>
    <w:unhideWhenUsed/>
    <w:pPr>
      <w:spacing w:after="57"/>
      <w:ind w:left="1701"/>
    </w:pPr>
  </w:style>
  <w:style w:type="paragraph" w:styleId="Verzeichnis8">
    <w:name w:val="toc 8"/>
    <w:basedOn w:val="Standard"/>
    <w:next w:val="Standard"/>
    <w:uiPriority w:val="39"/>
    <w:unhideWhenUsed/>
    <w:pPr>
      <w:spacing w:after="57"/>
      <w:ind w:left="1984"/>
    </w:pPr>
  </w:style>
  <w:style w:type="paragraph" w:styleId="Verzeichnis9">
    <w:name w:val="toc 9"/>
    <w:basedOn w:val="Standard"/>
    <w:next w:val="Standard"/>
    <w:uiPriority w:val="39"/>
    <w:unhideWhenUsed/>
    <w:pPr>
      <w:spacing w:after="57"/>
      <w:ind w:left="2268"/>
    </w:pPr>
  </w:style>
  <w:style w:type="paragraph" w:styleId="Inhaltsverzeichnisberschrift">
    <w:name w:val="TOC Heading"/>
    <w:uiPriority w:val="39"/>
    <w:unhideWhenUsed/>
  </w:style>
  <w:style w:type="paragraph" w:styleId="Abbildungsverzeichnis">
    <w:name w:val="table of figures"/>
    <w:basedOn w:val="Standard"/>
    <w:next w:val="Standard"/>
    <w:uiPriority w:val="99"/>
    <w:unhideWhenUsed/>
    <w:pPr>
      <w:spacing w:after="0"/>
    </w:pPr>
  </w:style>
  <w:style w:type="character" w:styleId="Fett">
    <w:name w:val="Strong"/>
    <w:basedOn w:val="Absatz-Standardschriftart"/>
    <w:uiPriority w:val="22"/>
    <w:qFormat/>
    <w:rPr>
      <w:b/>
      <w:bCs/>
    </w:rPr>
  </w:style>
  <w:style w:type="table" w:styleId="Tabellenraster">
    <w:name w:val="Table Grid"/>
    <w:basedOn w:val="NormaleTabelle"/>
    <w:uiPriority w:val="3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eschriftung">
    <w:name w:val="caption"/>
    <w:basedOn w:val="Standard"/>
    <w:next w:val="Standard"/>
    <w:uiPriority w:val="35"/>
    <w:unhideWhenUsed/>
    <w:qFormat/>
    <w:pPr>
      <w:spacing w:after="200" w:line="240" w:lineRule="auto"/>
    </w:pPr>
    <w:rPr>
      <w:i/>
      <w:iCs/>
      <w:color w:val="44546A" w:themeColor="text2"/>
      <w:sz w:val="18"/>
      <w:szCs w:val="18"/>
    </w:rPr>
  </w:style>
  <w:style w:type="paragraph" w:styleId="Kommentartext">
    <w:name w:val="annotation text"/>
    <w:basedOn w:val="Standard"/>
    <w:link w:val="KommentartextZchn"/>
    <w:uiPriority w:val="99"/>
    <w:semiHidden/>
    <w:unhideWhenUsed/>
    <w:pPr>
      <w:spacing w:line="240" w:lineRule="auto"/>
    </w:pPr>
    <w:rPr>
      <w:sz w:val="20"/>
      <w:szCs w:val="20"/>
    </w:rPr>
  </w:style>
  <w:style w:type="character" w:customStyle="1" w:styleId="KommentartextZchn">
    <w:name w:val="Kommentartext Zchn"/>
    <w:basedOn w:val="Absatz-Standardschriftart"/>
    <w:link w:val="Kommentartext"/>
    <w:uiPriority w:val="99"/>
    <w:semiHidden/>
    <w:rPr>
      <w:sz w:val="20"/>
      <w:szCs w:val="20"/>
    </w:rPr>
  </w:style>
  <w:style w:type="character" w:styleId="Kommentarzeichen">
    <w:name w:val="annotation reference"/>
    <w:basedOn w:val="Absatz-Standardschriftart"/>
    <w:uiPriority w:val="99"/>
    <w:semiHidden/>
    <w:unhideWhenUsed/>
    <w:rPr>
      <w:sz w:val="16"/>
      <w:szCs w:val="16"/>
    </w:rPr>
  </w:style>
  <w:style w:type="paragraph" w:styleId="Sprechblasentext">
    <w:name w:val="Balloon Text"/>
    <w:basedOn w:val="Standard"/>
    <w:link w:val="SprechblasentextZchn"/>
    <w:uiPriority w:val="99"/>
    <w:semiHidden/>
    <w:unhideWhenUsed/>
    <w:rsid w:val="004646A1"/>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4646A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11" Type="http://schemas.microsoft.com/office/2016/09/relationships/commentsIds" Target="commentsIds.xml"/><Relationship Id="rId5" Type="http://schemas.openxmlformats.org/officeDocument/2006/relationships/endnotes" Target="endnotes.xml"/><Relationship Id="rId10" Type="http://schemas.microsoft.com/office/2018/08/relationships/commentsExtensible" Target="commentsExtensible.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813</Words>
  <Characters>4639</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LOTZ Dominik</dc:creator>
  <cp:keywords/>
  <dc:description/>
  <cp:lastModifiedBy>jlu-su</cp:lastModifiedBy>
  <cp:revision>5</cp:revision>
  <cp:lastPrinted>2024-08-20T09:57:00Z</cp:lastPrinted>
  <dcterms:created xsi:type="dcterms:W3CDTF">2024-09-01T15:22:00Z</dcterms:created>
  <dcterms:modified xsi:type="dcterms:W3CDTF">2024-09-10T16:05:00Z</dcterms:modified>
</cp:coreProperties>
</file>