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131643" w14:textId="71AECCE9" w:rsidR="00377D15" w:rsidRPr="004A01B6" w:rsidRDefault="0023423E">
      <w:pPr>
        <w:rPr>
          <w:rFonts w:cstheme="minorHAnsi"/>
          <w:b/>
          <w:bCs/>
          <w:sz w:val="28"/>
          <w:szCs w:val="28"/>
          <w:lang w:val="en-US"/>
        </w:rPr>
      </w:pPr>
      <w:r w:rsidRPr="004A01B6">
        <w:rPr>
          <w:rFonts w:cstheme="minorHAnsi"/>
          <w:b/>
          <w:bCs/>
          <w:sz w:val="28"/>
          <w:szCs w:val="28"/>
          <w:lang w:val="en-US"/>
        </w:rPr>
        <w:t>Programmable bacteria act as live biotherapeutics to remodel tumor stoma and potentiate immunotherapy</w:t>
      </w:r>
    </w:p>
    <w:p w14:paraId="59F7FE74" w14:textId="77777777" w:rsidR="00A21B09" w:rsidRPr="004A01B6" w:rsidRDefault="00A21B09">
      <w:pPr>
        <w:rPr>
          <w:rFonts w:cstheme="minorHAnsi"/>
          <w:b/>
          <w:bCs/>
          <w:sz w:val="28"/>
          <w:szCs w:val="28"/>
          <w:lang w:val="en-US"/>
        </w:rPr>
      </w:pPr>
    </w:p>
    <w:p w14:paraId="30E051FB" w14:textId="77777777" w:rsidR="00377D15" w:rsidRPr="004A01B6" w:rsidRDefault="00377D15" w:rsidP="00377D15">
      <w:pPr>
        <w:rPr>
          <w:rFonts w:cstheme="minorHAnsi"/>
          <w:b/>
          <w:bCs/>
          <w:color w:val="000000" w:themeColor="text1"/>
          <w:sz w:val="28"/>
          <w:szCs w:val="28"/>
          <w:lang w:val="en-US"/>
        </w:rPr>
      </w:pPr>
      <w:r w:rsidRPr="004A01B6">
        <w:rPr>
          <w:rFonts w:cstheme="minorHAnsi"/>
          <w:b/>
          <w:bCs/>
          <w:color w:val="000000" w:themeColor="text1"/>
          <w:sz w:val="28"/>
          <w:szCs w:val="28"/>
          <w:lang w:val="en-US"/>
        </w:rPr>
        <w:t>Supplementary Information</w:t>
      </w:r>
    </w:p>
    <w:p w14:paraId="4ACCE0FE" w14:textId="543FA4E9" w:rsidR="00377D15" w:rsidRPr="004A01B6" w:rsidRDefault="00377D15">
      <w:pPr>
        <w:rPr>
          <w:rFonts w:cstheme="minorHAnsi"/>
          <w:sz w:val="28"/>
          <w:szCs w:val="28"/>
          <w:lang w:val="en-US"/>
        </w:rPr>
      </w:pPr>
    </w:p>
    <w:p w14:paraId="131B8203" w14:textId="2E194A91" w:rsidR="00CD554B" w:rsidRPr="004A01B6" w:rsidRDefault="00CD554B" w:rsidP="00CD554B">
      <w:pPr>
        <w:rPr>
          <w:rFonts w:cstheme="minorHAnsi"/>
          <w:b/>
          <w:color w:val="000000" w:themeColor="text1"/>
          <w:lang w:val="en-US"/>
        </w:rPr>
      </w:pPr>
      <w:r w:rsidRPr="004A01B6">
        <w:rPr>
          <w:rFonts w:cstheme="minorHAnsi"/>
          <w:b/>
          <w:color w:val="000000" w:themeColor="text1"/>
          <w:lang w:val="en-US"/>
        </w:rPr>
        <w:t>Supplementary Methods</w:t>
      </w:r>
    </w:p>
    <w:p w14:paraId="1B4E6476" w14:textId="77777777" w:rsidR="00B55331" w:rsidRPr="004A01B6" w:rsidRDefault="00B55331" w:rsidP="00CD554B">
      <w:pPr>
        <w:rPr>
          <w:rFonts w:cstheme="minorHAnsi"/>
          <w:b/>
          <w:color w:val="000000" w:themeColor="text1"/>
          <w:lang w:val="en-US"/>
        </w:rPr>
      </w:pPr>
    </w:p>
    <w:p w14:paraId="294FA1BF" w14:textId="77777777" w:rsidR="00B55331" w:rsidRPr="004A01B6" w:rsidRDefault="00B55331" w:rsidP="00B55331">
      <w:pPr>
        <w:jc w:val="both"/>
        <w:rPr>
          <w:rFonts w:cstheme="minorHAnsi"/>
          <w:lang w:val="en-US"/>
        </w:rPr>
      </w:pPr>
      <w:r w:rsidRPr="004A01B6">
        <w:rPr>
          <w:rFonts w:cstheme="minorHAnsi"/>
          <w:b/>
          <w:bCs/>
          <w:lang w:val="en-US"/>
        </w:rPr>
        <w:t xml:space="preserve">Bacterial growth, </w:t>
      </w:r>
      <w:proofErr w:type="gramStart"/>
      <w:r w:rsidRPr="004A01B6">
        <w:rPr>
          <w:rFonts w:cstheme="minorHAnsi"/>
          <w:b/>
          <w:bCs/>
          <w:lang w:val="en-US"/>
        </w:rPr>
        <w:t>viability</w:t>
      </w:r>
      <w:proofErr w:type="gramEnd"/>
      <w:r w:rsidRPr="004A01B6">
        <w:rPr>
          <w:rFonts w:cstheme="minorHAnsi"/>
          <w:b/>
          <w:bCs/>
          <w:lang w:val="en-US"/>
        </w:rPr>
        <w:t xml:space="preserve"> and analysis of </w:t>
      </w:r>
      <w:proofErr w:type="spellStart"/>
      <w:r w:rsidRPr="004A01B6">
        <w:rPr>
          <w:rFonts w:cstheme="minorHAnsi"/>
          <w:b/>
          <w:bCs/>
          <w:lang w:val="en-US"/>
        </w:rPr>
        <w:t>HAse</w:t>
      </w:r>
      <w:proofErr w:type="spellEnd"/>
      <w:r w:rsidRPr="004A01B6">
        <w:rPr>
          <w:rFonts w:cstheme="minorHAnsi"/>
          <w:b/>
          <w:bCs/>
          <w:lang w:val="en-US"/>
        </w:rPr>
        <w:t xml:space="preserve"> expression</w:t>
      </w:r>
    </w:p>
    <w:p w14:paraId="6EFCEBCF" w14:textId="77777777" w:rsidR="00B55331" w:rsidRPr="004A01B6" w:rsidRDefault="00B55331" w:rsidP="00B55331">
      <w:pPr>
        <w:jc w:val="both"/>
        <w:rPr>
          <w:lang w:val="en-US"/>
        </w:rPr>
      </w:pPr>
      <w:r w:rsidRPr="004A01B6">
        <w:rPr>
          <w:rFonts w:cstheme="minorHAnsi"/>
          <w:i/>
          <w:iCs/>
          <w:lang w:val="en-US"/>
        </w:rPr>
        <w:t>E. coli</w:t>
      </w:r>
      <w:r w:rsidRPr="004A01B6">
        <w:rPr>
          <w:rFonts w:cstheme="minorHAnsi"/>
          <w:lang w:val="en-US"/>
        </w:rPr>
        <w:t xml:space="preserve"> candidate</w:t>
      </w:r>
      <w:r w:rsidRPr="004A01B6">
        <w:rPr>
          <w:lang w:val="en-US"/>
        </w:rPr>
        <w:t xml:space="preserve"> clones were cultured in LB media with or without 2% (w/v) Rhamnose 37°C, 225 rpm for time intervals ranging from 3-24 h. Growth kinetics were monitored through absorbance readings at 600 nm (</w:t>
      </w:r>
      <w:proofErr w:type="spellStart"/>
      <w:r w:rsidRPr="004A01B6">
        <w:rPr>
          <w:lang w:val="en-US"/>
        </w:rPr>
        <w:t>Clariostar</w:t>
      </w:r>
      <w:proofErr w:type="spellEnd"/>
      <w:r w:rsidRPr="004A01B6">
        <w:rPr>
          <w:lang w:val="en-US"/>
        </w:rPr>
        <w:t xml:space="preserve">, BMG Labtech) every 30 min, up to 24 hrs. FLAG-tagged bacterial hyaluronidase expression was detected in the supernatant and pellet by western blot. Briefly, the pellet and supernatant were collected by spinning the contents down at 4000 rpm at 4°C for 20 minutes. The pellet was resuspended in 50ul PBS and mixed with 10X Bolt sample reducing agent (B0009, Invitrogen) and 4X Bolt LDS Sample Buffer (B0007, Invitrogen) and boiled at 95°C for 5 min. 50 µL of each sample was loaded and proteins were separated on a Bolt Bis-Tris Plus Mini Protein Gel (NW04122BOX, Invitrogen). The SDS-PAGE was run at 120V constant voltage for 1.5 h and the separated protein were then transferred onto a Nitrocellulose membrane at 10 volts for 1 h. The membrane was blocked with 10% milk and then incubated overnight at 4°C with HRP Anti-DDDDK tag (binds to FLAG tag sequence) antibody [M2] (ab49763, Abcam 1:5000). After washing three times with TBS-T, the membrane was incubated with rabbit anti-mouse IgG H&amp;L (HRP) (ab97046, Abcam 1:5000) diluted (1:5000) for 1.5 hours at RT. The membrane was washed again three times with TBS-T, and the signals were detected using Pierce ECL Western Blotting Substrate (32109, Thermo Scientific). Images were captured through chemiluminescence using </w:t>
      </w:r>
      <w:proofErr w:type="spellStart"/>
      <w:r w:rsidRPr="004A01B6">
        <w:rPr>
          <w:lang w:val="en-US"/>
        </w:rPr>
        <w:t>Cytiva</w:t>
      </w:r>
      <w:proofErr w:type="spellEnd"/>
      <w:r w:rsidRPr="004A01B6">
        <w:rPr>
          <w:lang w:val="en-US"/>
        </w:rPr>
        <w:t xml:space="preserve">, </w:t>
      </w:r>
      <w:proofErr w:type="spellStart"/>
      <w:r w:rsidRPr="004A01B6">
        <w:rPr>
          <w:lang w:val="en-US"/>
        </w:rPr>
        <w:t>Amersham</w:t>
      </w:r>
      <w:proofErr w:type="spellEnd"/>
      <w:r w:rsidRPr="004A01B6">
        <w:rPr>
          <w:lang w:val="en-US"/>
        </w:rPr>
        <w:t xml:space="preserve"> </w:t>
      </w:r>
      <w:proofErr w:type="spellStart"/>
      <w:r w:rsidRPr="004A01B6">
        <w:rPr>
          <w:lang w:val="en-US"/>
        </w:rPr>
        <w:t>ImageQuant</w:t>
      </w:r>
      <w:proofErr w:type="spellEnd"/>
      <w:r w:rsidRPr="004A01B6">
        <w:rPr>
          <w:lang w:val="en-US"/>
        </w:rPr>
        <w:t xml:space="preserve"> 800. The ECL image was developed in a manual setting for 3 minutes.</w:t>
      </w:r>
    </w:p>
    <w:p w14:paraId="77EF52B7" w14:textId="77777777" w:rsidR="00B55331" w:rsidRPr="004A01B6" w:rsidRDefault="00B55331" w:rsidP="00B55331">
      <w:pPr>
        <w:jc w:val="both"/>
        <w:rPr>
          <w:rFonts w:cstheme="minorHAnsi"/>
          <w:lang w:val="en-US"/>
        </w:rPr>
      </w:pPr>
    </w:p>
    <w:p w14:paraId="334533B0" w14:textId="77777777" w:rsidR="00B55331" w:rsidRPr="004A01B6" w:rsidRDefault="00B55331" w:rsidP="00B55331">
      <w:pPr>
        <w:jc w:val="both"/>
        <w:rPr>
          <w:rFonts w:cstheme="minorHAnsi"/>
          <w:b/>
          <w:bCs/>
          <w:i/>
          <w:iCs/>
          <w:color w:val="000000" w:themeColor="text1"/>
          <w:lang w:val="en-US"/>
        </w:rPr>
      </w:pPr>
      <w:r w:rsidRPr="004A01B6">
        <w:rPr>
          <w:rFonts w:cstheme="minorHAnsi"/>
          <w:b/>
          <w:bCs/>
          <w:color w:val="000000" w:themeColor="text1"/>
          <w:lang w:val="en-US"/>
        </w:rPr>
        <w:t xml:space="preserve">Turbidimetric method </w:t>
      </w:r>
    </w:p>
    <w:p w14:paraId="00DCAE80" w14:textId="3AC52C81" w:rsidR="00B55331" w:rsidRPr="004A01B6" w:rsidRDefault="00B55331" w:rsidP="00B55331">
      <w:pPr>
        <w:jc w:val="both"/>
        <w:rPr>
          <w:rFonts w:cstheme="minorHAnsi"/>
          <w:color w:val="000000" w:themeColor="text1"/>
          <w:lang w:val="en-US"/>
        </w:rPr>
      </w:pPr>
      <w:r w:rsidRPr="004A01B6">
        <w:rPr>
          <w:rFonts w:cstheme="minorHAnsi"/>
          <w:color w:val="000000" w:themeColor="text1"/>
          <w:lang w:val="en-US"/>
        </w:rPr>
        <w:t>The turbidimetric cetyltrimethylammonium method (CTM)</w:t>
      </w:r>
      <w:sdt>
        <w:sdtPr>
          <w:rPr>
            <w:rFonts w:ascii="Calibri" w:hAnsi="Calibri" w:cs="Calibri"/>
            <w:color w:val="000000"/>
            <w:highlight w:val="white"/>
            <w:lang w:val="en-US"/>
          </w:rPr>
          <w:alias w:val="Citation"/>
          <w:tag w:val="{&quot;referencesIds&quot;:[&quot;doc:66992e96dab8521fe970e7c0&quot;],&quot;referencesOptions&quot;:{&quot;doc:66992e96dab8521fe970e7c0&quot;:{&quot;author&quot;:true,&quot;year&quot;:true,&quot;pageReplace&quot;:&quot;&quot;,&quot;prefix&quot;:&quot;&quot;,&quot;suffix&quot;:&quot;&quot;}},&quot;hasBrokenReferences&quot;:false,&quot;hasManualEdits&quot;:false,&quot;citationType&quot;:&quot;inline&quot;}"/>
          <w:id w:val="-504208355"/>
          <w:placeholder>
            <w:docPart w:val="122FB24867094D489F9D2246C5E98CF8"/>
          </w:placeholder>
        </w:sdtPr>
        <w:sdtEndPr/>
        <w:sdtContent>
          <w:r w:rsidR="001A0FE7" w:rsidRPr="004A01B6">
            <w:rPr>
              <w:rFonts w:ascii="Calibri" w:eastAsia="Times New Roman" w:hAnsi="Calibri" w:cs="Calibri"/>
              <w:color w:val="000000"/>
              <w:vertAlign w:val="superscript"/>
              <w:lang w:val="en-US"/>
            </w:rPr>
            <w:t>1</w:t>
          </w:r>
        </w:sdtContent>
      </w:sdt>
      <w:r w:rsidRPr="004A01B6">
        <w:rPr>
          <w:rFonts w:cstheme="minorHAnsi"/>
          <w:color w:val="000000" w:themeColor="text1"/>
          <w:lang w:val="en-US"/>
        </w:rPr>
        <w:t xml:space="preserve">, was used to assess the hyaluronic acid degrading ability of the candidate </w:t>
      </w:r>
      <w:r w:rsidRPr="004A01B6">
        <w:rPr>
          <w:rFonts w:cstheme="minorHAnsi"/>
          <w:i/>
          <w:iCs/>
          <w:color w:val="000000" w:themeColor="text1"/>
          <w:lang w:val="en-US"/>
        </w:rPr>
        <w:t xml:space="preserve">E. coli </w:t>
      </w:r>
      <w:proofErr w:type="spellStart"/>
      <w:r w:rsidR="00F53EE8" w:rsidRPr="004A01B6">
        <w:rPr>
          <w:rFonts w:cstheme="minorHAnsi"/>
          <w:i/>
          <w:iCs/>
          <w:color w:val="000000" w:themeColor="text1"/>
          <w:lang w:val="en-US"/>
        </w:rPr>
        <w:t>Hase</w:t>
      </w:r>
      <w:proofErr w:type="spellEnd"/>
      <w:r w:rsidRPr="004A01B6">
        <w:rPr>
          <w:rFonts w:cstheme="minorHAnsi"/>
          <w:color w:val="000000" w:themeColor="text1"/>
          <w:lang w:val="en-US"/>
        </w:rPr>
        <w:t xml:space="preserve"> strain. In this method, the cetyltrimethylammonium bromide interacts with HA present in a solution, causing the solution to become cloudy, leading to a high OD600 value measured by spectrophotometry. As the HA degrades, the solution becomes clearer, and the observed OD600 value decreases.</w:t>
      </w:r>
    </w:p>
    <w:p w14:paraId="2D1F0386" w14:textId="77777777" w:rsidR="00B55331" w:rsidRPr="004A01B6" w:rsidRDefault="00B55331" w:rsidP="00B55331">
      <w:pPr>
        <w:spacing w:before="100" w:beforeAutospacing="1" w:after="100" w:afterAutospacing="1"/>
        <w:contextualSpacing/>
        <w:rPr>
          <w:rFonts w:cstheme="minorHAnsi"/>
          <w:b/>
          <w:bCs/>
          <w:lang w:val="en-US"/>
        </w:rPr>
      </w:pPr>
    </w:p>
    <w:p w14:paraId="19D6E6CD" w14:textId="77777777" w:rsidR="00B55331" w:rsidRPr="004A01B6" w:rsidRDefault="00B55331" w:rsidP="00B55331">
      <w:pPr>
        <w:spacing w:before="100" w:beforeAutospacing="1" w:after="100" w:afterAutospacing="1"/>
        <w:contextualSpacing/>
        <w:rPr>
          <w:rFonts w:eastAsia="Times New Roman" w:cstheme="minorHAnsi"/>
          <w:lang w:val="en-US" w:eastAsia="en-GB"/>
        </w:rPr>
      </w:pPr>
      <w:r w:rsidRPr="004A01B6">
        <w:rPr>
          <w:rFonts w:cstheme="minorHAnsi"/>
          <w:b/>
          <w:bCs/>
          <w:lang w:val="en-US"/>
        </w:rPr>
        <w:t>Human tissue decellularization</w:t>
      </w:r>
    </w:p>
    <w:p w14:paraId="64611183" w14:textId="1C2E738F" w:rsidR="00B55331" w:rsidRPr="004A01B6" w:rsidRDefault="00B55331" w:rsidP="00B55331">
      <w:pPr>
        <w:spacing w:before="100" w:beforeAutospacing="1" w:after="100" w:afterAutospacing="1"/>
        <w:jc w:val="both"/>
        <w:rPr>
          <w:rFonts w:eastAsia="Times New Roman" w:cstheme="minorHAnsi"/>
          <w:lang w:val="en-US" w:eastAsia="en-GB"/>
        </w:rPr>
      </w:pPr>
      <w:r w:rsidRPr="004A01B6">
        <w:rPr>
          <w:rFonts w:eastAsia="Times New Roman" w:cstheme="minorHAnsi"/>
          <w:lang w:val="en-US" w:eastAsia="en-GB"/>
        </w:rPr>
        <w:t>Human tissue explants were decellularized as described by Puttock et al</w:t>
      </w:r>
      <w:sdt>
        <w:sdtPr>
          <w:rPr>
            <w:rFonts w:ascii="Calibri" w:eastAsia="Times New Roman" w:hAnsi="Calibri" w:cs="Calibri"/>
            <w:color w:val="000000"/>
            <w:highlight w:val="white"/>
            <w:lang w:val="en-US" w:eastAsia="en-GB"/>
          </w:rPr>
          <w:alias w:val="Citation"/>
          <w:tag w:val="{&quot;referencesIds&quot;:[&quot;doc:66993e0efe99574866a60e03&quot;],&quot;referencesOptions&quot;:{&quot;doc:66993e0efe99574866a60e03&quot;:{&quot;author&quot;:true,&quot;year&quot;:true,&quot;pageReplace&quot;:&quot;&quot;,&quot;prefix&quot;:&quot;&quot;,&quot;suffix&quot;:&quot;&quot;}},&quot;hasBrokenReferences&quot;:false,&quot;hasManualEdits&quot;:false,&quot;citationType&quot;:&quot;inline&quot;}"/>
          <w:id w:val="-257135926"/>
          <w:placeholder>
            <w:docPart w:val="9D09F3D1B0CAB4409578F2267F45978B"/>
          </w:placeholder>
        </w:sdtPr>
        <w:sdtEndPr/>
        <w:sdtContent>
          <w:r w:rsidR="001A0FE7" w:rsidRPr="004A01B6">
            <w:rPr>
              <w:rFonts w:ascii="Calibri" w:eastAsia="Times New Roman" w:hAnsi="Calibri" w:cs="Calibri"/>
              <w:color w:val="000000"/>
              <w:vertAlign w:val="superscript"/>
              <w:lang w:val="en-US"/>
            </w:rPr>
            <w:t>2</w:t>
          </w:r>
        </w:sdtContent>
      </w:sdt>
      <w:r w:rsidRPr="004A01B6">
        <w:rPr>
          <w:rFonts w:eastAsia="Times New Roman" w:cstheme="minorHAnsi"/>
          <w:lang w:val="en-US" w:eastAsia="en-GB"/>
        </w:rPr>
        <w:t xml:space="preserve">. In short, explants were subjected to a series of washes first using hypotonic buffer (10 mM Tris, 5 mM EDTA, 0.1 mM </w:t>
      </w:r>
      <w:proofErr w:type="spellStart"/>
      <w:r w:rsidRPr="004A01B6">
        <w:rPr>
          <w:rFonts w:eastAsia="Times New Roman" w:cstheme="minorHAnsi"/>
          <w:lang w:val="en-US" w:eastAsia="en-GB"/>
        </w:rPr>
        <w:t>phenylmethylsulfonyl</w:t>
      </w:r>
      <w:proofErr w:type="spellEnd"/>
      <w:r w:rsidRPr="004A01B6">
        <w:rPr>
          <w:rFonts w:eastAsia="Times New Roman" w:cstheme="minorHAnsi"/>
          <w:lang w:val="en-US" w:eastAsia="en-GB"/>
        </w:rPr>
        <w:t xml:space="preserve"> fluoride) for 4 h at room temperature (RT), 100% acetone for 16–18 h at 4 °C, 2.5 mM sodium deoxycholate for 4 </w:t>
      </w:r>
      <w:proofErr w:type="spellStart"/>
      <w:r w:rsidRPr="004A01B6">
        <w:rPr>
          <w:rFonts w:eastAsia="Times New Roman" w:cstheme="minorHAnsi"/>
          <w:lang w:val="en-US" w:eastAsia="en-GB"/>
        </w:rPr>
        <w:t>h at</w:t>
      </w:r>
      <w:proofErr w:type="spellEnd"/>
      <w:r w:rsidRPr="004A01B6">
        <w:rPr>
          <w:rFonts w:eastAsia="Times New Roman" w:cstheme="minorHAnsi"/>
          <w:lang w:val="en-US" w:eastAsia="en-GB"/>
        </w:rPr>
        <w:t xml:space="preserve"> 4 °C, nucleic degradation solution (50mM Tris, 1mM magnesium chloride), 0.1% BSA and 40 units/ml </w:t>
      </w:r>
      <w:proofErr w:type="spellStart"/>
      <w:r w:rsidRPr="004A01B6">
        <w:rPr>
          <w:rFonts w:eastAsia="Times New Roman" w:cstheme="minorHAnsi"/>
          <w:lang w:val="en-US" w:eastAsia="en-GB"/>
        </w:rPr>
        <w:t>benzonase</w:t>
      </w:r>
      <w:proofErr w:type="spellEnd"/>
      <w:r w:rsidRPr="004A01B6">
        <w:rPr>
          <w:rFonts w:eastAsia="Times New Roman" w:cstheme="minorHAnsi"/>
          <w:lang w:val="en-US" w:eastAsia="en-GB"/>
        </w:rPr>
        <w:t xml:space="preserve"> nuclease for 20 h at 37 °C. PBS 1% P/S washes were used between each buffer. </w:t>
      </w:r>
      <w:r w:rsidRPr="004A01B6">
        <w:rPr>
          <w:lang w:val="en-US"/>
        </w:rPr>
        <w:t>10</w:t>
      </w:r>
      <w:r w:rsidRPr="004A01B6">
        <w:rPr>
          <w:vertAlign w:val="superscript"/>
          <w:lang w:val="en-US"/>
        </w:rPr>
        <w:t>7</w:t>
      </w:r>
      <w:r w:rsidRPr="004A01B6">
        <w:rPr>
          <w:lang w:val="en-US"/>
        </w:rPr>
        <w:t xml:space="preserve"> CFUs </w:t>
      </w:r>
      <w:r w:rsidRPr="004A01B6">
        <w:rPr>
          <w:i/>
          <w:iCs/>
          <w:lang w:val="en-US"/>
        </w:rPr>
        <w:t>E. coli</w:t>
      </w:r>
      <w:r w:rsidRPr="004A01B6">
        <w:rPr>
          <w:lang w:val="en-US"/>
        </w:rPr>
        <w:t xml:space="preserve"> </w:t>
      </w:r>
      <w:proofErr w:type="spellStart"/>
      <w:r w:rsidR="00F53EE8" w:rsidRPr="004A01B6">
        <w:rPr>
          <w:rFonts w:cstheme="minorHAnsi"/>
          <w:i/>
          <w:iCs/>
          <w:color w:val="000000" w:themeColor="text1"/>
          <w:lang w:val="en-US"/>
        </w:rPr>
        <w:t>Hase</w:t>
      </w:r>
      <w:proofErr w:type="spellEnd"/>
      <w:r w:rsidR="00F53EE8" w:rsidRPr="004A01B6">
        <w:rPr>
          <w:rFonts w:cstheme="minorHAnsi"/>
          <w:i/>
          <w:iCs/>
          <w:color w:val="000000" w:themeColor="text1"/>
          <w:lang w:val="en-US"/>
        </w:rPr>
        <w:t xml:space="preserve"> </w:t>
      </w:r>
      <w:r w:rsidRPr="004A01B6">
        <w:rPr>
          <w:lang w:val="en-US"/>
        </w:rPr>
        <w:t xml:space="preserve">were incubated with decellularized tissue explant material in the presence or absence of the </w:t>
      </w:r>
      <w:r w:rsidR="00F53EE8" w:rsidRPr="004A01B6">
        <w:rPr>
          <w:lang w:val="en-US"/>
        </w:rPr>
        <w:t xml:space="preserve">hyaluronidase </w:t>
      </w:r>
      <w:r w:rsidRPr="004A01B6">
        <w:rPr>
          <w:lang w:val="en-US"/>
        </w:rPr>
        <w:t xml:space="preserve">expression inducer molecule, rhamnose. After 4 h, the explant material was stained using hyaluronic acid binding protein (385911, Sigma Aldrich), and imaged using light microscopy.  </w:t>
      </w:r>
    </w:p>
    <w:p w14:paraId="1A797598" w14:textId="77777777" w:rsidR="001D6AEA" w:rsidRPr="004A01B6" w:rsidRDefault="001D6AEA" w:rsidP="001D6AEA">
      <w:pPr>
        <w:jc w:val="both"/>
        <w:rPr>
          <w:rFonts w:cstheme="minorHAnsi"/>
          <w:b/>
          <w:bCs/>
          <w:lang w:val="en-US"/>
        </w:rPr>
      </w:pPr>
      <w:r w:rsidRPr="004A01B6">
        <w:rPr>
          <w:rFonts w:cstheme="minorHAnsi"/>
          <w:b/>
          <w:bCs/>
          <w:lang w:val="en-US"/>
        </w:rPr>
        <w:lastRenderedPageBreak/>
        <w:t>Animal care and mouse models</w:t>
      </w:r>
    </w:p>
    <w:p w14:paraId="40A0F8EC" w14:textId="77777777" w:rsidR="001D6AEA" w:rsidRPr="004A01B6" w:rsidRDefault="001D6AEA" w:rsidP="001D6AEA">
      <w:pPr>
        <w:spacing w:before="120" w:after="120"/>
        <w:contextualSpacing/>
        <w:mirrorIndents/>
        <w:jc w:val="both"/>
        <w:rPr>
          <w:rFonts w:cstheme="minorHAnsi"/>
          <w:color w:val="000000" w:themeColor="text1"/>
          <w:lang w:val="en-US"/>
        </w:rPr>
      </w:pPr>
      <w:r w:rsidRPr="004A01B6">
        <w:rPr>
          <w:rFonts w:eastAsia="Times New Roman" w:cstheme="minorHAnsi"/>
          <w:color w:val="222222"/>
          <w:shd w:val="clear" w:color="auto" w:fill="FFFFFF"/>
          <w:lang w:val="en-US" w:eastAsia="en-GB"/>
        </w:rPr>
        <w:t>All mice were maintained in specific pathogen-free conditions in the animal facilities of the Cyprus Institute of Neurology and Genetics. Veterinary care was available throughout the study. Animals were housed in a controlled temperature/humidity (22 °C/55%) environment on a 12-h light-dark cycle and kept with free access to food and water throughout the whole experiment period.</w:t>
      </w:r>
      <w:r w:rsidRPr="004A01B6">
        <w:rPr>
          <w:rFonts w:eastAsia="Times New Roman" w:cstheme="minorHAnsi"/>
          <w:lang w:val="en-US" w:eastAsia="en-GB"/>
        </w:rPr>
        <w:t xml:space="preserve"> The same sample size as previous studies that </w:t>
      </w:r>
      <w:bookmarkStart w:id="0" w:name="_Hlk120865957"/>
      <w:r w:rsidRPr="004A01B6">
        <w:rPr>
          <w:rFonts w:eastAsia="Times New Roman" w:cstheme="minorHAnsi"/>
          <w:lang w:val="en-US" w:eastAsia="en-GB"/>
        </w:rPr>
        <w:t>measured the same output variables</w:t>
      </w:r>
      <w:bookmarkEnd w:id="0"/>
      <w:r w:rsidRPr="004A01B6">
        <w:rPr>
          <w:rFonts w:eastAsia="Times New Roman" w:cstheme="minorHAnsi"/>
          <w:lang w:val="en-US" w:eastAsia="en-GB"/>
        </w:rPr>
        <w:t xml:space="preserve"> were used. </w:t>
      </w:r>
      <w:r w:rsidRPr="004A01B6">
        <w:rPr>
          <w:rFonts w:cstheme="minorHAnsi"/>
          <w:color w:val="000000" w:themeColor="text1"/>
          <w:lang w:val="en-US"/>
        </w:rPr>
        <w:t>All in vivo experiments were conducted per the animal welfare regulations and guidelines of the European Union (European Directive 2010/63/EE and Cyprus Legislation for the protection and welfare of animals, Laws 1994–2013) under a license acquired and approved (No. CY/EXP/PR.L14/2019, CY/EXP/PR.L15/2019, CY/EXP/PR.L03/2020) by the Cyprus Veterinary Services committee, the Cyprus national authority for monitoring the welfare of animals in research.</w:t>
      </w:r>
    </w:p>
    <w:p w14:paraId="28A6691F" w14:textId="111A2A03" w:rsidR="00CD554B" w:rsidRPr="004A01B6" w:rsidRDefault="00CD554B">
      <w:pPr>
        <w:rPr>
          <w:rFonts w:cstheme="minorHAnsi"/>
          <w:sz w:val="28"/>
          <w:szCs w:val="28"/>
          <w:lang w:val="en-US"/>
        </w:rPr>
      </w:pPr>
    </w:p>
    <w:p w14:paraId="76C6F818" w14:textId="77777777" w:rsidR="0086568C" w:rsidRPr="004A01B6" w:rsidRDefault="0086568C" w:rsidP="0086568C">
      <w:pPr>
        <w:jc w:val="both"/>
        <w:rPr>
          <w:rFonts w:cstheme="minorHAnsi"/>
          <w:b/>
          <w:bCs/>
          <w:i/>
          <w:iCs/>
          <w:color w:val="000000" w:themeColor="text1"/>
          <w:lang w:val="en-US"/>
        </w:rPr>
      </w:pPr>
      <w:r w:rsidRPr="004A01B6">
        <w:rPr>
          <w:rFonts w:cstheme="minorHAnsi"/>
          <w:b/>
          <w:bCs/>
          <w:color w:val="000000" w:themeColor="text1"/>
          <w:lang w:val="en-US"/>
        </w:rPr>
        <w:t xml:space="preserve">Biodistribution of </w:t>
      </w:r>
      <w:r w:rsidRPr="004A01B6">
        <w:rPr>
          <w:rFonts w:cstheme="minorHAnsi"/>
          <w:b/>
          <w:bCs/>
          <w:i/>
          <w:iCs/>
          <w:color w:val="000000" w:themeColor="text1"/>
          <w:lang w:val="en-US"/>
        </w:rPr>
        <w:t>E. coli</w:t>
      </w:r>
    </w:p>
    <w:p w14:paraId="4A28B4E4" w14:textId="199FA14E" w:rsidR="0086568C" w:rsidRPr="004A01B6" w:rsidRDefault="0086568C" w:rsidP="0086568C">
      <w:pPr>
        <w:jc w:val="both"/>
        <w:rPr>
          <w:rFonts w:cstheme="minorHAnsi"/>
          <w:color w:val="000000" w:themeColor="text1"/>
          <w:lang w:val="en-US"/>
        </w:rPr>
      </w:pPr>
      <w:r w:rsidRPr="004A01B6">
        <w:rPr>
          <w:rFonts w:cstheme="minorHAnsi"/>
          <w:i/>
          <w:iCs/>
          <w:lang w:val="en-US"/>
        </w:rPr>
        <w:t>E. coli</w:t>
      </w:r>
      <w:r w:rsidRPr="004A01B6">
        <w:rPr>
          <w:rFonts w:cstheme="minorHAnsi"/>
          <w:lang w:val="en-US"/>
        </w:rPr>
        <w:t xml:space="preserve"> strain </w:t>
      </w:r>
      <w:r w:rsidRPr="004A01B6">
        <w:rPr>
          <w:lang w:val="en-US"/>
        </w:rPr>
        <w:t xml:space="preserve">was engineered to express bioluminescent bioreporters using bacterial </w:t>
      </w:r>
      <w:proofErr w:type="spellStart"/>
      <w:r w:rsidRPr="004A01B6">
        <w:rPr>
          <w:lang w:val="en-US"/>
        </w:rPr>
        <w:t>luxCDABE</w:t>
      </w:r>
      <w:proofErr w:type="spellEnd"/>
      <w:r w:rsidRPr="004A01B6">
        <w:rPr>
          <w:lang w:val="en-US"/>
        </w:rPr>
        <w:t xml:space="preserve"> luciferase operons</w:t>
      </w:r>
      <w:r w:rsidRPr="004A01B6">
        <w:rPr>
          <w:rFonts w:cstheme="minorHAnsi"/>
          <w:color w:val="000000" w:themeColor="text1"/>
          <w:lang w:val="en-US"/>
        </w:rPr>
        <w:t xml:space="preserve"> </w:t>
      </w:r>
      <w:r w:rsidRPr="004A01B6">
        <w:rPr>
          <w:lang w:val="en-US"/>
        </w:rPr>
        <w:t xml:space="preserve">as described by </w:t>
      </w:r>
      <w:proofErr w:type="spellStart"/>
      <w:r w:rsidRPr="004A01B6">
        <w:rPr>
          <w:lang w:val="en-US"/>
        </w:rPr>
        <w:t>Fedorec</w:t>
      </w:r>
      <w:proofErr w:type="spellEnd"/>
      <w:r w:rsidRPr="004A01B6">
        <w:rPr>
          <w:lang w:val="en-US"/>
        </w:rPr>
        <w:t xml:space="preserve"> </w:t>
      </w:r>
      <w:r w:rsidRPr="004A01B6">
        <w:rPr>
          <w:i/>
          <w:iCs/>
          <w:lang w:val="en-US"/>
        </w:rPr>
        <w:t>et al.</w:t>
      </w:r>
      <w:r w:rsidRPr="004A01B6">
        <w:rPr>
          <w:lang w:val="en-US"/>
        </w:rPr>
        <w:t>, 2019</w:t>
      </w:r>
      <w:sdt>
        <w:sdtPr>
          <w:rPr>
            <w:rFonts w:ascii="Calibri" w:hAnsi="Calibri" w:cs="Calibri"/>
            <w:color w:val="000000"/>
            <w:highlight w:val="white"/>
            <w:lang w:val="en-US"/>
          </w:rPr>
          <w:alias w:val="Citation"/>
          <w:tag w:val="{&quot;referencesIds&quot;:[&quot;doc:669924ecfe99574866a60b2d&quot;],&quot;referencesOptions&quot;:{&quot;doc:669924ecfe99574866a60b2d&quot;:{&quot;author&quot;:true,&quot;year&quot;:true,&quot;pageReplace&quot;:&quot;&quot;,&quot;prefix&quot;:&quot;&quot;,&quot;suffix&quot;:&quot;&quot;}},&quot;hasBrokenReferences&quot;:false,&quot;hasManualEdits&quot;:false,&quot;citationType&quot;:&quot;inline&quot;,&quot;id&quot;:-590464374,&quot;citationText&quot;:&quot;&lt;span style=\&quot;font-family:Calibri;font-size:16px;color:#000000\&quot;&gt;(28)&lt;/span&gt;&quot;}"/>
          <w:id w:val="-590464374"/>
          <w:placeholder>
            <w:docPart w:val="22FC3F0F5BC2194EA7199BFA9EB461C3"/>
          </w:placeholder>
        </w:sdtPr>
        <w:sdtEndPr/>
        <w:sdtContent>
          <w:r w:rsidR="001A0FE7" w:rsidRPr="004A01B6">
            <w:rPr>
              <w:rFonts w:ascii="Calibri" w:eastAsia="Times New Roman" w:hAnsi="Calibri" w:cs="Calibri"/>
              <w:color w:val="000000"/>
              <w:vertAlign w:val="superscript"/>
              <w:lang w:val="en-US"/>
            </w:rPr>
            <w:t>3</w:t>
          </w:r>
        </w:sdtContent>
      </w:sdt>
      <w:r w:rsidRPr="004A01B6">
        <w:rPr>
          <w:lang w:val="en-US"/>
        </w:rPr>
        <w:t>.</w:t>
      </w:r>
      <w:r w:rsidRPr="004A01B6">
        <w:rPr>
          <w:rFonts w:cstheme="minorHAnsi"/>
          <w:color w:val="000000" w:themeColor="text1"/>
          <w:lang w:val="en-US"/>
        </w:rPr>
        <w:t xml:space="preserve"> Six- to eight-week-old 4T1 tumor-bearing mice with an average tumor size of 150 mm</w:t>
      </w:r>
      <w:r w:rsidRPr="004A01B6">
        <w:rPr>
          <w:rFonts w:cstheme="minorHAnsi"/>
          <w:color w:val="000000" w:themeColor="text1"/>
          <w:vertAlign w:val="superscript"/>
          <w:lang w:val="en-US"/>
        </w:rPr>
        <w:t>3</w:t>
      </w:r>
      <w:r w:rsidRPr="004A01B6">
        <w:rPr>
          <w:rFonts w:cstheme="minorHAnsi"/>
          <w:color w:val="000000" w:themeColor="text1"/>
          <w:lang w:val="en-US"/>
        </w:rPr>
        <w:t xml:space="preserve"> were intravenously injected with luciferase-expressing </w:t>
      </w:r>
      <w:r w:rsidRPr="004A01B6">
        <w:rPr>
          <w:rFonts w:cstheme="minorHAnsi"/>
          <w:i/>
          <w:iCs/>
          <w:color w:val="000000" w:themeColor="text1"/>
          <w:lang w:val="en-US"/>
        </w:rPr>
        <w:t>E. coli</w:t>
      </w:r>
      <w:r w:rsidRPr="004A01B6">
        <w:rPr>
          <w:rFonts w:cstheme="minorHAnsi"/>
          <w:color w:val="000000" w:themeColor="text1"/>
          <w:lang w:val="en-US"/>
        </w:rPr>
        <w:t xml:space="preserve"> cells (</w:t>
      </w:r>
      <w:r w:rsidRPr="004A01B6">
        <w:rPr>
          <w:rFonts w:cstheme="minorHAnsi"/>
          <w:i/>
          <w:iCs/>
          <w:color w:val="000000" w:themeColor="text1"/>
          <w:lang w:val="en-US"/>
        </w:rPr>
        <w:t>E. coli</w:t>
      </w:r>
      <w:r w:rsidRPr="004A01B6">
        <w:rPr>
          <w:rFonts w:cstheme="minorHAnsi"/>
          <w:color w:val="000000" w:themeColor="text1"/>
          <w:lang w:val="en-US"/>
        </w:rPr>
        <w:t>-</w:t>
      </w:r>
      <w:r w:rsidR="0092595A">
        <w:rPr>
          <w:rFonts w:cstheme="minorHAnsi"/>
          <w:color w:val="000000" w:themeColor="text1"/>
          <w:lang w:val="en-US"/>
        </w:rPr>
        <w:t>l</w:t>
      </w:r>
      <w:r w:rsidRPr="004A01B6">
        <w:rPr>
          <w:rFonts w:cstheme="minorHAnsi"/>
          <w:color w:val="000000" w:themeColor="text1"/>
          <w:lang w:val="en-US"/>
        </w:rPr>
        <w:t>ux) at a dose of 1 x 10</w:t>
      </w:r>
      <w:r w:rsidRPr="004A01B6">
        <w:rPr>
          <w:rFonts w:cstheme="minorHAnsi"/>
          <w:color w:val="000000" w:themeColor="text1"/>
          <w:vertAlign w:val="superscript"/>
          <w:lang w:val="en-US"/>
        </w:rPr>
        <w:t>6</w:t>
      </w:r>
      <w:r w:rsidRPr="004A01B6">
        <w:rPr>
          <w:rFonts w:cstheme="minorHAnsi"/>
          <w:color w:val="000000" w:themeColor="text1"/>
          <w:lang w:val="en-US"/>
        </w:rPr>
        <w:t>, 1 x 10</w:t>
      </w:r>
      <w:r w:rsidRPr="004A01B6">
        <w:rPr>
          <w:rFonts w:cstheme="minorHAnsi"/>
          <w:color w:val="000000" w:themeColor="text1"/>
          <w:vertAlign w:val="superscript"/>
          <w:lang w:val="en-US"/>
        </w:rPr>
        <w:t>7,</w:t>
      </w:r>
      <w:r w:rsidRPr="004A01B6">
        <w:rPr>
          <w:rFonts w:cstheme="minorHAnsi"/>
          <w:color w:val="000000" w:themeColor="text1"/>
          <w:lang w:val="en-US"/>
        </w:rPr>
        <w:t xml:space="preserve"> or 1 x 10</w:t>
      </w:r>
      <w:r w:rsidRPr="004A01B6">
        <w:rPr>
          <w:rFonts w:cstheme="minorHAnsi"/>
          <w:color w:val="000000" w:themeColor="text1"/>
          <w:vertAlign w:val="superscript"/>
          <w:lang w:val="en-US"/>
        </w:rPr>
        <w:t>8</w:t>
      </w:r>
      <w:r w:rsidRPr="004A01B6">
        <w:rPr>
          <w:rFonts w:cstheme="minorHAnsi"/>
          <w:color w:val="000000" w:themeColor="text1"/>
          <w:lang w:val="en-US"/>
        </w:rPr>
        <w:t xml:space="preserve"> CFUs. </w:t>
      </w:r>
      <w:r w:rsidRPr="004A01B6">
        <w:rPr>
          <w:rFonts w:cstheme="minorHAnsi"/>
          <w:i/>
          <w:iCs/>
          <w:color w:val="000000" w:themeColor="text1"/>
          <w:lang w:val="en-US"/>
        </w:rPr>
        <w:t>In vivo</w:t>
      </w:r>
      <w:r w:rsidRPr="004A01B6">
        <w:rPr>
          <w:rFonts w:cstheme="minorHAnsi"/>
          <w:color w:val="000000" w:themeColor="text1"/>
          <w:lang w:val="en-US"/>
        </w:rPr>
        <w:t xml:space="preserve"> </w:t>
      </w:r>
      <w:r w:rsidRPr="004A01B6">
        <w:rPr>
          <w:rFonts w:cstheme="minorHAnsi"/>
          <w:i/>
          <w:iCs/>
          <w:color w:val="000000" w:themeColor="text1"/>
          <w:lang w:val="en-US"/>
        </w:rPr>
        <w:t>E. coli</w:t>
      </w:r>
      <w:r w:rsidRPr="004A01B6">
        <w:rPr>
          <w:rFonts w:cstheme="minorHAnsi"/>
          <w:color w:val="000000" w:themeColor="text1"/>
          <w:lang w:val="en-US"/>
        </w:rPr>
        <w:t xml:space="preserve"> colonization was evaluated at various time points (i.e., 0.5, 6, 24, 48 and 72 h) by measuring the bioluminescence signal using the Ami-HT imaging system (Spectral Imaging) and by CFU counting at 72 h as described by Kang et al. 2020</w:t>
      </w:r>
      <w:sdt>
        <w:sdtPr>
          <w:rPr>
            <w:rFonts w:ascii="Calibri" w:hAnsi="Calibri" w:cs="Calibri"/>
            <w:color w:val="000000"/>
            <w:highlight w:val="white"/>
            <w:lang w:val="en-US"/>
          </w:rPr>
          <w:alias w:val="Citation"/>
          <w:tag w:val="{&quot;referencesIds&quot;:[&quot;doc:66b6197d3a0f8f40ba42f47d&quot;],&quot;referencesOptions&quot;:{&quot;doc:66b6197d3a0f8f40ba42f47d&quot;:{&quot;author&quot;:true,&quot;year&quot;:true,&quot;pageReplace&quot;:&quot;&quot;,&quot;prefix&quot;:&quot;&quot;,&quot;suffix&quot;:&quot;&quot;}},&quot;hasBrokenReferences&quot;:false,&quot;hasManualEdits&quot;:false,&quot;citationType&quot;:&quot;inline&quot;}"/>
          <w:id w:val="801427358"/>
          <w:placeholder>
            <w:docPart w:val="23003D5BBBED6845AB9B835F4ABDC74C"/>
          </w:placeholder>
        </w:sdtPr>
        <w:sdtEndPr/>
        <w:sdtContent>
          <w:r w:rsidR="001A0FE7" w:rsidRPr="004A01B6">
            <w:rPr>
              <w:rFonts w:ascii="Calibri" w:eastAsia="Times New Roman" w:hAnsi="Calibri" w:cs="Calibri"/>
              <w:color w:val="000000"/>
              <w:vertAlign w:val="superscript"/>
              <w:lang w:val="en-US"/>
            </w:rPr>
            <w:t>4</w:t>
          </w:r>
        </w:sdtContent>
      </w:sdt>
      <w:r w:rsidRPr="004A01B6">
        <w:rPr>
          <w:rFonts w:cstheme="minorHAnsi"/>
          <w:color w:val="000000" w:themeColor="text1"/>
          <w:lang w:val="en-US"/>
        </w:rPr>
        <w:t xml:space="preserve">. Briefly, tumor, spleen and liver were harvested from 4T1 tumor-bearing mice 72 h following post-bacterial administration. Each tissue was homogenized in 3 ml PBS and using a sterile homogenizer. The tissue suspensions were serially diluted with PBS and 20 </w:t>
      </w:r>
      <w:proofErr w:type="spellStart"/>
      <w:r w:rsidRPr="004A01B6">
        <w:rPr>
          <w:rFonts w:cstheme="minorHAnsi"/>
          <w:color w:val="000000" w:themeColor="text1"/>
          <w:lang w:val="en-US"/>
        </w:rPr>
        <w:t>μl</w:t>
      </w:r>
      <w:proofErr w:type="spellEnd"/>
      <w:r w:rsidRPr="004A01B6">
        <w:rPr>
          <w:rFonts w:cstheme="minorHAnsi"/>
          <w:color w:val="000000" w:themeColor="text1"/>
          <w:lang w:val="en-US"/>
        </w:rPr>
        <w:t xml:space="preserve"> of each diluted sample was cultured on LB agar plates supplemented with kanamycin (﻿50 </w:t>
      </w:r>
      <w:proofErr w:type="spellStart"/>
      <w:r w:rsidRPr="004A01B6">
        <w:rPr>
          <w:rFonts w:cstheme="minorHAnsi"/>
          <w:color w:val="000000" w:themeColor="text1"/>
          <w:lang w:val="en-US"/>
        </w:rPr>
        <w:t>μg</w:t>
      </w:r>
      <w:proofErr w:type="spellEnd"/>
      <w:r w:rsidRPr="004A01B6">
        <w:rPr>
          <w:rFonts w:cstheme="minorHAnsi"/>
          <w:color w:val="000000" w:themeColor="text1"/>
          <w:lang w:val="en-US"/>
        </w:rPr>
        <w:t>/ml). After overnight incubation at 37</w:t>
      </w:r>
      <w:r w:rsidRPr="004A01B6">
        <w:rPr>
          <w:rFonts w:cstheme="minorHAnsi"/>
          <w:lang w:val="en-US"/>
        </w:rPr>
        <w:t>°C colony forming units (CFUs) of each sample were determined.</w:t>
      </w:r>
      <w:r w:rsidRPr="004A01B6">
        <w:rPr>
          <w:rFonts w:cstheme="minorHAnsi"/>
          <w:color w:val="000000" w:themeColor="text1"/>
          <w:lang w:val="en-US"/>
        </w:rPr>
        <w:t xml:space="preserve"> The bacterial concentration (CFUs/ml) in the tissue suspension was calculated using the formula: CFUs/ml = CFUs x dilution factor/volume plated. </w:t>
      </w:r>
    </w:p>
    <w:p w14:paraId="33CA6665" w14:textId="093D007A" w:rsidR="0086568C" w:rsidRPr="004A01B6" w:rsidRDefault="0086568C">
      <w:pPr>
        <w:rPr>
          <w:rFonts w:cstheme="minorHAnsi"/>
          <w:sz w:val="28"/>
          <w:szCs w:val="28"/>
          <w:lang w:val="en-US"/>
        </w:rPr>
      </w:pPr>
    </w:p>
    <w:p w14:paraId="564EECE7" w14:textId="77777777" w:rsidR="00367160" w:rsidRPr="004A01B6" w:rsidRDefault="00367160" w:rsidP="00367160">
      <w:pPr>
        <w:jc w:val="both"/>
        <w:rPr>
          <w:rFonts w:cstheme="minorHAnsi"/>
          <w:b/>
          <w:bCs/>
          <w:color w:val="000000" w:themeColor="text1"/>
          <w:lang w:val="en-US"/>
        </w:rPr>
      </w:pPr>
      <w:r w:rsidRPr="004A01B6">
        <w:rPr>
          <w:rFonts w:cstheme="minorHAnsi"/>
          <w:b/>
          <w:bCs/>
          <w:color w:val="000000" w:themeColor="text1"/>
          <w:lang w:val="en-US"/>
        </w:rPr>
        <w:t>Hyaluronic acid immunostaining</w:t>
      </w:r>
    </w:p>
    <w:p w14:paraId="2CE34E22" w14:textId="01978D0B" w:rsidR="00367160" w:rsidRPr="004A01B6" w:rsidRDefault="00367160" w:rsidP="00367160">
      <w:pPr>
        <w:jc w:val="both"/>
        <w:rPr>
          <w:rFonts w:cstheme="minorHAnsi"/>
          <w:color w:val="000000" w:themeColor="text1"/>
          <w:lang w:val="en-US"/>
        </w:rPr>
      </w:pPr>
      <w:r w:rsidRPr="004A01B6">
        <w:rPr>
          <w:rFonts w:cstheme="minorHAnsi"/>
          <w:color w:val="000000" w:themeColor="text1"/>
          <w:lang w:val="en-US"/>
        </w:rPr>
        <w:t xml:space="preserve">Tumors, </w:t>
      </w:r>
      <w:proofErr w:type="gramStart"/>
      <w:r w:rsidRPr="004A01B6">
        <w:rPr>
          <w:rFonts w:cstheme="minorHAnsi"/>
          <w:color w:val="000000" w:themeColor="text1"/>
          <w:lang w:val="en-US"/>
        </w:rPr>
        <w:t>spleen</w:t>
      </w:r>
      <w:proofErr w:type="gramEnd"/>
      <w:r w:rsidRPr="004A01B6">
        <w:rPr>
          <w:rFonts w:cstheme="minorHAnsi"/>
          <w:color w:val="000000" w:themeColor="text1"/>
          <w:lang w:val="en-US"/>
        </w:rPr>
        <w:t xml:space="preserve"> and lungs were removed, washed twice in 1x PBS for 10 min and incubated with 4% PFA overnight at 4°C. The fixative was aspirated, and samples were washed twice in 1x PBS for 10 min. Tissue samples were dehydrated in successive alcohol steps and xylene followed by paraffin embedding. Serial sections (7 </w:t>
      </w:r>
      <w:proofErr w:type="spellStart"/>
      <w:r w:rsidRPr="004A01B6">
        <w:rPr>
          <w:rFonts w:cstheme="minorHAnsi"/>
          <w:color w:val="000000" w:themeColor="text1"/>
          <w:lang w:val="en-US"/>
        </w:rPr>
        <w:t>μm</w:t>
      </w:r>
      <w:proofErr w:type="spellEnd"/>
      <w:r w:rsidRPr="004A01B6">
        <w:rPr>
          <w:rFonts w:cstheme="minorHAnsi"/>
          <w:color w:val="000000" w:themeColor="text1"/>
          <w:lang w:val="en-US"/>
        </w:rPr>
        <w:t>) of paraffin-embedded tissues were produced using the microtome (</w:t>
      </w:r>
      <w:proofErr w:type="spellStart"/>
      <w:r w:rsidRPr="004A01B6">
        <w:rPr>
          <w:rFonts w:cstheme="minorHAnsi"/>
          <w:color w:val="000000" w:themeColor="text1"/>
          <w:lang w:val="en-US"/>
        </w:rPr>
        <w:t>Accu</w:t>
      </w:r>
      <w:proofErr w:type="spellEnd"/>
      <w:r w:rsidRPr="004A01B6">
        <w:rPr>
          <w:rFonts w:cstheme="minorHAnsi"/>
          <w:color w:val="000000" w:themeColor="text1"/>
          <w:lang w:val="en-US"/>
        </w:rPr>
        <w:t xml:space="preserve">-Cut SRM 200 Rotary Microtome, SAKURA), flattened out into the </w:t>
      </w:r>
      <w:proofErr w:type="gramStart"/>
      <w:r w:rsidRPr="004A01B6">
        <w:rPr>
          <w:rFonts w:cstheme="minorHAnsi"/>
          <w:color w:val="000000" w:themeColor="text1"/>
          <w:lang w:val="en-US"/>
        </w:rPr>
        <w:t>water</w:t>
      </w:r>
      <w:proofErr w:type="gramEnd"/>
      <w:r w:rsidRPr="004A01B6">
        <w:rPr>
          <w:rFonts w:cstheme="minorHAnsi"/>
          <w:color w:val="000000" w:themeColor="text1"/>
          <w:lang w:val="en-US"/>
        </w:rPr>
        <w:t xml:space="preserve"> and allowed to dry overnight at 37°C. Sections were then deparaffinized and rehydrated as routinely processed for histology.</w:t>
      </w:r>
      <w:r w:rsidRPr="004A01B6">
        <w:rPr>
          <w:rFonts w:cstheme="minorHAnsi"/>
          <w:b/>
          <w:bCs/>
          <w:color w:val="000000" w:themeColor="text1"/>
          <w:lang w:val="en-US"/>
        </w:rPr>
        <w:t xml:space="preserve"> </w:t>
      </w:r>
      <w:r w:rsidRPr="004A01B6">
        <w:rPr>
          <w:rFonts w:cstheme="minorHAnsi"/>
          <w:color w:val="000000" w:themeColor="text1"/>
          <w:lang w:val="en-US"/>
        </w:rPr>
        <w:t>Then,</w:t>
      </w:r>
      <w:r w:rsidRPr="004A01B6">
        <w:rPr>
          <w:rFonts w:cstheme="minorHAnsi"/>
          <w:b/>
          <w:bCs/>
          <w:color w:val="000000" w:themeColor="text1"/>
          <w:lang w:val="en-US"/>
        </w:rPr>
        <w:t xml:space="preserve"> </w:t>
      </w:r>
      <w:r w:rsidRPr="004A01B6">
        <w:rPr>
          <w:rFonts w:cstheme="minorHAnsi"/>
          <w:color w:val="000000" w:themeColor="text1"/>
          <w:lang w:val="en-US"/>
        </w:rPr>
        <w:t xml:space="preserve">tissue sections were subjected to antigen retrieval (microwave heat treatment with Trisodium Citrate, pH 6.0, for 20 min), washed with 1x TBS-0.025% Triton X-100 (TBS-T) and incubated in blocking solution (15% FBS, 1.5% BSA, 0.3% Tween 20) for 2 h at room temperature (RT). Next, slides were incubated with anti-biotinylated hyaluronan binding protein (b-HABP) (AMS.HKD-BC41, </w:t>
      </w:r>
      <w:proofErr w:type="spellStart"/>
      <w:r w:rsidRPr="004A01B6">
        <w:rPr>
          <w:rFonts w:cstheme="minorHAnsi"/>
          <w:color w:val="000000" w:themeColor="text1"/>
          <w:lang w:val="en-US"/>
        </w:rPr>
        <w:t>amsbio</w:t>
      </w:r>
      <w:proofErr w:type="spellEnd"/>
      <w:r w:rsidRPr="004A01B6">
        <w:rPr>
          <w:rFonts w:cstheme="minorHAnsi"/>
          <w:color w:val="000000" w:themeColor="text1"/>
          <w:lang w:val="en-US"/>
        </w:rPr>
        <w:t xml:space="preserve"> 1:100) overnight at 4°C. Hyaluronan was detected following incubation with streptavidin-FITC conjugate (SA1001, Invitrogen 1:1000) and nuclei with </w:t>
      </w:r>
      <w:r w:rsidR="007208DF" w:rsidRPr="004A01B6">
        <w:rPr>
          <w:rFonts w:cstheme="minorHAnsi"/>
          <w:color w:val="000000" w:themeColor="text1"/>
          <w:lang w:val="en-US"/>
        </w:rPr>
        <w:t xml:space="preserve">DAPI stain (10236276001, Roche) </w:t>
      </w:r>
      <w:r w:rsidRPr="004A01B6">
        <w:rPr>
          <w:rFonts w:cstheme="minorHAnsi"/>
          <w:color w:val="000000" w:themeColor="text1"/>
          <w:lang w:val="en-US"/>
        </w:rPr>
        <w:t xml:space="preserve">at RT for 1 h in the dark. Sections were then mounted on microscope slides using the </w:t>
      </w:r>
      <w:proofErr w:type="spellStart"/>
      <w:r w:rsidRPr="004A01B6">
        <w:rPr>
          <w:rFonts w:cstheme="minorHAnsi"/>
          <w:color w:val="000000" w:themeColor="text1"/>
          <w:lang w:val="en-US"/>
        </w:rPr>
        <w:t>ProLong</w:t>
      </w:r>
      <w:proofErr w:type="spellEnd"/>
      <w:r w:rsidRPr="004A01B6">
        <w:rPr>
          <w:rFonts w:cstheme="minorHAnsi"/>
          <w:color w:val="000000" w:themeColor="text1"/>
          <w:lang w:val="en-US"/>
        </w:rPr>
        <w:t xml:space="preserve"> gold antifade </w:t>
      </w:r>
      <w:proofErr w:type="spellStart"/>
      <w:r w:rsidRPr="004A01B6">
        <w:rPr>
          <w:rFonts w:cstheme="minorHAnsi"/>
          <w:color w:val="000000" w:themeColor="text1"/>
          <w:lang w:val="en-US"/>
        </w:rPr>
        <w:t>mountant</w:t>
      </w:r>
      <w:proofErr w:type="spellEnd"/>
      <w:r w:rsidRPr="004A01B6">
        <w:rPr>
          <w:rFonts w:cstheme="minorHAnsi"/>
          <w:color w:val="000000" w:themeColor="text1"/>
          <w:lang w:val="en-US"/>
        </w:rPr>
        <w:t xml:space="preserve"> (Invitrogen) and covered with a glass coverslip. The quantification of the hyaluronan area fraction was obtained as the ratio of the number of </w:t>
      </w:r>
      <w:proofErr w:type="spellStart"/>
      <w:r w:rsidRPr="004A01B6">
        <w:rPr>
          <w:rFonts w:cstheme="minorHAnsi"/>
          <w:color w:val="000000" w:themeColor="text1"/>
          <w:lang w:val="en-US"/>
        </w:rPr>
        <w:t>bHABP</w:t>
      </w:r>
      <w:proofErr w:type="spellEnd"/>
      <w:r w:rsidRPr="004A01B6">
        <w:rPr>
          <w:rFonts w:cstheme="minorHAnsi"/>
          <w:color w:val="000000" w:themeColor="text1"/>
          <w:lang w:val="en-US"/>
        </w:rPr>
        <w:t xml:space="preserve">-positive pixels to the number of DAPI-positive pixels. In total, 4 tumors per treatment group were stained </w:t>
      </w:r>
      <w:r w:rsidRPr="004A01B6">
        <w:rPr>
          <w:rFonts w:cstheme="minorHAnsi"/>
          <w:color w:val="000000" w:themeColor="text1"/>
          <w:lang w:val="en-US"/>
        </w:rPr>
        <w:lastRenderedPageBreak/>
        <w:t xml:space="preserve">and immunofluorescence images of the entire tumor section were taken using the Leica Stellaris 5 confocal microscope at 20 x magnification. </w:t>
      </w:r>
    </w:p>
    <w:p w14:paraId="76FCBE3A" w14:textId="77777777" w:rsidR="0087433D" w:rsidRPr="004A01B6" w:rsidRDefault="0087433D" w:rsidP="00367160">
      <w:pPr>
        <w:jc w:val="both"/>
        <w:rPr>
          <w:rFonts w:cstheme="minorHAnsi"/>
          <w:color w:val="000000" w:themeColor="text1"/>
          <w:lang w:val="en-US"/>
        </w:rPr>
      </w:pPr>
    </w:p>
    <w:p w14:paraId="79B772DA" w14:textId="77777777" w:rsidR="0087433D" w:rsidRPr="004A01B6" w:rsidRDefault="0087433D" w:rsidP="0087433D">
      <w:pPr>
        <w:jc w:val="both"/>
        <w:rPr>
          <w:rFonts w:cstheme="minorHAnsi"/>
          <w:b/>
          <w:bCs/>
          <w:color w:val="000000" w:themeColor="text1"/>
          <w:lang w:val="en-US"/>
        </w:rPr>
      </w:pPr>
      <w:r w:rsidRPr="004A01B6">
        <w:rPr>
          <w:rFonts w:cstheme="minorHAnsi"/>
          <w:b/>
          <w:bCs/>
          <w:color w:val="000000" w:themeColor="text1"/>
          <w:lang w:val="en-US"/>
        </w:rPr>
        <w:t>Collagen I immunostaining</w:t>
      </w:r>
    </w:p>
    <w:p w14:paraId="27E0E4D4" w14:textId="1E34E26E" w:rsidR="0087433D" w:rsidRPr="004A01B6" w:rsidRDefault="0087433D" w:rsidP="00367160">
      <w:pPr>
        <w:jc w:val="both"/>
        <w:rPr>
          <w:rFonts w:cstheme="minorHAnsi"/>
          <w:color w:val="000000" w:themeColor="text1"/>
          <w:lang w:val="en-US"/>
        </w:rPr>
      </w:pPr>
      <w:r w:rsidRPr="004A01B6">
        <w:rPr>
          <w:rFonts w:cstheme="minorHAnsi"/>
          <w:color w:val="000000" w:themeColor="text1"/>
          <w:lang w:val="en-US"/>
        </w:rPr>
        <w:t xml:space="preserve">Following deparaffinization and rehydration and antigen retrieval, tissue sections were washed with 1x TBS-0.025% Triton X-100 (TBS-T) and incubated in blocking solution (15% FBS, 1.5% BSA, 0.3% Tween 20) for 2 </w:t>
      </w:r>
      <w:proofErr w:type="spellStart"/>
      <w:r w:rsidRPr="004A01B6">
        <w:rPr>
          <w:rFonts w:cstheme="minorHAnsi"/>
          <w:color w:val="000000" w:themeColor="text1"/>
          <w:lang w:val="en-US"/>
        </w:rPr>
        <w:t>h at</w:t>
      </w:r>
      <w:proofErr w:type="spellEnd"/>
      <w:r w:rsidRPr="004A01B6">
        <w:rPr>
          <w:rFonts w:cstheme="minorHAnsi"/>
          <w:color w:val="000000" w:themeColor="text1"/>
          <w:lang w:val="en-US"/>
        </w:rPr>
        <w:t xml:space="preserve"> RT. Next, slides were incubated with anti-collagen I (ab21286, Abcam 1:100) overnight at 4°C. Collagen I was detected following incubation with Goat anti-Rabbit IgG (H+L) (20033, </w:t>
      </w:r>
      <w:proofErr w:type="spellStart"/>
      <w:r w:rsidRPr="004A01B6">
        <w:rPr>
          <w:rFonts w:cstheme="minorHAnsi"/>
          <w:color w:val="000000" w:themeColor="text1"/>
          <w:lang w:val="en-US"/>
        </w:rPr>
        <w:t>Biotium</w:t>
      </w:r>
      <w:proofErr w:type="spellEnd"/>
      <w:r w:rsidRPr="004A01B6">
        <w:rPr>
          <w:rFonts w:cstheme="minorHAnsi"/>
          <w:color w:val="000000" w:themeColor="text1"/>
          <w:lang w:val="en-US"/>
        </w:rPr>
        <w:t xml:space="preserve">, 1:400) and nuclei with DAPI stain at RT for 1 h in the dark. Sections were then mounted on microscope slides using the </w:t>
      </w:r>
      <w:proofErr w:type="spellStart"/>
      <w:r w:rsidRPr="004A01B6">
        <w:rPr>
          <w:rFonts w:cstheme="minorHAnsi"/>
          <w:color w:val="000000" w:themeColor="text1"/>
          <w:lang w:val="en-US"/>
        </w:rPr>
        <w:t>ProLong</w:t>
      </w:r>
      <w:proofErr w:type="spellEnd"/>
      <w:r w:rsidRPr="004A01B6">
        <w:rPr>
          <w:rFonts w:cstheme="minorHAnsi"/>
          <w:color w:val="000000" w:themeColor="text1"/>
          <w:lang w:val="en-US"/>
        </w:rPr>
        <w:t xml:space="preserve"> gold antifade </w:t>
      </w:r>
      <w:proofErr w:type="spellStart"/>
      <w:r w:rsidRPr="004A01B6">
        <w:rPr>
          <w:rFonts w:cstheme="minorHAnsi"/>
          <w:color w:val="000000" w:themeColor="text1"/>
          <w:lang w:val="en-US"/>
        </w:rPr>
        <w:t>mountant</w:t>
      </w:r>
      <w:proofErr w:type="spellEnd"/>
      <w:r w:rsidRPr="004A01B6">
        <w:rPr>
          <w:rFonts w:cstheme="minorHAnsi"/>
          <w:color w:val="000000" w:themeColor="text1"/>
          <w:lang w:val="en-US"/>
        </w:rPr>
        <w:t xml:space="preserve"> (Invitrogen) and covered with a glass coverslip.</w:t>
      </w:r>
    </w:p>
    <w:p w14:paraId="27393DA1" w14:textId="77777777" w:rsidR="00367160" w:rsidRPr="004A01B6" w:rsidRDefault="00367160" w:rsidP="00367160">
      <w:pPr>
        <w:jc w:val="both"/>
        <w:rPr>
          <w:rFonts w:cstheme="minorHAnsi"/>
          <w:color w:val="000000" w:themeColor="text1"/>
          <w:lang w:val="en-US"/>
        </w:rPr>
      </w:pPr>
    </w:p>
    <w:p w14:paraId="59FE03B5" w14:textId="77777777" w:rsidR="00367160" w:rsidRPr="004A01B6" w:rsidRDefault="00367160" w:rsidP="00367160">
      <w:pPr>
        <w:spacing w:before="120" w:after="240"/>
        <w:contextualSpacing/>
        <w:jc w:val="both"/>
        <w:rPr>
          <w:rFonts w:cstheme="minorHAnsi"/>
          <w:b/>
          <w:bCs/>
          <w:color w:val="000000" w:themeColor="text1"/>
          <w:lang w:val="en-US"/>
        </w:rPr>
      </w:pPr>
      <w:r w:rsidRPr="004A01B6">
        <w:rPr>
          <w:rFonts w:cstheme="minorHAnsi"/>
          <w:b/>
          <w:bCs/>
          <w:color w:val="000000" w:themeColor="text1"/>
          <w:lang w:val="en-US"/>
        </w:rPr>
        <w:t>Flow cytometry</w:t>
      </w:r>
    </w:p>
    <w:p w14:paraId="6062F806" w14:textId="65E4462A" w:rsidR="004E1BEF" w:rsidRPr="004A01B6" w:rsidRDefault="00367160" w:rsidP="00367160">
      <w:pPr>
        <w:spacing w:before="120" w:after="240"/>
        <w:contextualSpacing/>
        <w:jc w:val="both"/>
        <w:rPr>
          <w:rFonts w:cstheme="minorHAnsi"/>
          <w:color w:val="000000" w:themeColor="text1"/>
          <w:lang w:val="en-US"/>
        </w:rPr>
      </w:pPr>
      <w:r w:rsidRPr="004A01B6">
        <w:rPr>
          <w:rFonts w:cstheme="minorHAnsi"/>
          <w:color w:val="000000" w:themeColor="text1"/>
          <w:lang w:val="en-US"/>
        </w:rPr>
        <w:t xml:space="preserve">At the end of tumor growth studies, tumors were harvested in cold RPMI culture medium, minced to fine fragments, homogenized using the ﻿DSC-800 single cell suspension </w:t>
      </w:r>
      <w:proofErr w:type="spellStart"/>
      <w:r w:rsidRPr="004A01B6">
        <w:rPr>
          <w:rFonts w:cstheme="minorHAnsi"/>
          <w:color w:val="000000" w:themeColor="text1"/>
          <w:lang w:val="en-US"/>
        </w:rPr>
        <w:t>dissociator</w:t>
      </w:r>
      <w:proofErr w:type="spellEnd"/>
      <w:r w:rsidRPr="004A01B6">
        <w:rPr>
          <w:rFonts w:cstheme="minorHAnsi"/>
          <w:color w:val="000000" w:themeColor="text1"/>
          <w:lang w:val="en-US"/>
        </w:rPr>
        <w:t xml:space="preserve"> (RWD) and incubated with Liberase (05401020001, Roche) in a 37 °C shaker for 30 min. Enzymatic digestion was ceased by the addition of RPMI media containing 10% FBS and 1% antibiotic/antimycotic solution. The tissue homogenates were then filtered through 40 µm cell strainers. Red blood cells were removed by ACK Lysing buffer (A1049201, Gibco) and single cell suspensions were collected and used to a final concentration 1 × 10</w:t>
      </w:r>
      <w:r w:rsidRPr="004A01B6">
        <w:rPr>
          <w:rFonts w:cstheme="minorHAnsi"/>
          <w:color w:val="000000" w:themeColor="text1"/>
          <w:vertAlign w:val="superscript"/>
          <w:lang w:val="en-US"/>
        </w:rPr>
        <w:t>6</w:t>
      </w:r>
      <w:r w:rsidRPr="004A01B6">
        <w:rPr>
          <w:rFonts w:cstheme="minorHAnsi"/>
          <w:color w:val="000000" w:themeColor="text1"/>
          <w:lang w:val="en-US"/>
        </w:rPr>
        <w:t xml:space="preserve"> cells per sample. Cells were then incubated with fixable viability dye (65-0865-14, </w:t>
      </w:r>
      <w:proofErr w:type="spellStart"/>
      <w:r w:rsidRPr="004A01B6">
        <w:rPr>
          <w:rFonts w:cstheme="minorHAnsi"/>
          <w:color w:val="000000" w:themeColor="text1"/>
          <w:lang w:val="en-US"/>
        </w:rPr>
        <w:t>eBioscience</w:t>
      </w:r>
      <w:proofErr w:type="spellEnd"/>
      <w:r w:rsidRPr="004A01B6">
        <w:rPr>
          <w:rFonts w:cstheme="minorHAnsi"/>
          <w:color w:val="000000" w:themeColor="text1"/>
          <w:lang w:val="en-US"/>
        </w:rPr>
        <w:t xml:space="preserve"> 1:1000) for 10 min on ice for gating of viable cells. Non‐specific antibody binding was blocked following incubation with the rat anti‐mouse CD16/CD32 </w:t>
      </w:r>
      <w:proofErr w:type="spellStart"/>
      <w:r w:rsidRPr="004A01B6">
        <w:rPr>
          <w:rFonts w:cstheme="minorHAnsi"/>
          <w:color w:val="000000" w:themeColor="text1"/>
          <w:lang w:val="en-US"/>
        </w:rPr>
        <w:t>mAb</w:t>
      </w:r>
      <w:proofErr w:type="spellEnd"/>
      <w:r w:rsidRPr="004A01B6">
        <w:rPr>
          <w:rFonts w:cstheme="minorHAnsi"/>
          <w:color w:val="000000" w:themeColor="text1"/>
          <w:lang w:val="en-US"/>
        </w:rPr>
        <w:t xml:space="preserve"> (2.4G2, BD Bioscience, RRID:AB_394656) for 20 min on ice. The anti‐mouse antibodies used in the experiment are the following: CD45‐V500 (30‐F11, BD Bioscience), CD3-PE (145‐2C11, BD Bioscience), TCRB-PE (﻿H57-597, </w:t>
      </w:r>
      <w:proofErr w:type="spellStart"/>
      <w:r w:rsidRPr="004A01B6">
        <w:rPr>
          <w:rFonts w:cstheme="minorHAnsi"/>
          <w:color w:val="000000" w:themeColor="text1"/>
          <w:lang w:val="en-US"/>
        </w:rPr>
        <w:t>eBioscience</w:t>
      </w:r>
      <w:proofErr w:type="spellEnd"/>
      <w:r w:rsidRPr="004A01B6">
        <w:rPr>
          <w:rFonts w:cstheme="minorHAnsi"/>
          <w:color w:val="000000" w:themeColor="text1"/>
          <w:lang w:val="en-US"/>
        </w:rPr>
        <w:t xml:space="preserve">), CD4‐PerCP Cy5.5 (RM4-5, Invitrogen), CD25‐PE‐Cy7 </w:t>
      </w:r>
      <w:r w:rsidR="00AB3707" w:rsidRPr="004A01B6">
        <w:rPr>
          <w:rFonts w:cstheme="minorHAnsi"/>
          <w:color w:val="000000" w:themeColor="text1"/>
          <w:lang w:val="en-US"/>
        </w:rPr>
        <w:t xml:space="preserve">(PC6.1, </w:t>
      </w:r>
      <w:r w:rsidRPr="004A01B6">
        <w:rPr>
          <w:rFonts w:cstheme="minorHAnsi"/>
          <w:color w:val="000000" w:themeColor="text1"/>
          <w:lang w:val="en-US"/>
        </w:rPr>
        <w:t xml:space="preserve">BD Bioscience), CD127‐APC (A7R34,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CD8a-e450 (53‐6.7, </w:t>
      </w:r>
      <w:proofErr w:type="spellStart"/>
      <w:r w:rsidRPr="004A01B6">
        <w:rPr>
          <w:rFonts w:cstheme="minorHAnsi"/>
          <w:color w:val="000000" w:themeColor="text1"/>
          <w:lang w:val="en-US"/>
        </w:rPr>
        <w:t>eBioscience</w:t>
      </w:r>
      <w:proofErr w:type="spellEnd"/>
      <w:r w:rsidRPr="004A01B6">
        <w:rPr>
          <w:rFonts w:cstheme="minorHAnsi"/>
          <w:color w:val="000000" w:themeColor="text1"/>
          <w:lang w:val="en-US"/>
        </w:rPr>
        <w:t xml:space="preserve">), Foxp3‐FITC (FJK-16S, </w:t>
      </w:r>
      <w:proofErr w:type="spellStart"/>
      <w:r w:rsidRPr="004A01B6">
        <w:rPr>
          <w:rFonts w:cstheme="minorHAnsi"/>
          <w:color w:val="000000" w:themeColor="text1"/>
          <w:lang w:val="en-US"/>
        </w:rPr>
        <w:t>eBioscience</w:t>
      </w:r>
      <w:proofErr w:type="spellEnd"/>
      <w:r w:rsidRPr="004A01B6">
        <w:rPr>
          <w:rFonts w:cstheme="minorHAnsi"/>
          <w:color w:val="000000" w:themeColor="text1"/>
          <w:lang w:val="en-US"/>
        </w:rPr>
        <w:t xml:space="preserve">) and the </w:t>
      </w:r>
      <w:r w:rsidR="00A22F08" w:rsidRPr="004A01B6">
        <w:rPr>
          <w:rFonts w:cstheme="minorHAnsi"/>
          <w:color w:val="000000" w:themeColor="text1"/>
          <w:lang w:val="en-US"/>
        </w:rPr>
        <w:t xml:space="preserve">IgG2a-FITC (RTK2758, </w:t>
      </w:r>
      <w:proofErr w:type="spellStart"/>
      <w:r w:rsidR="00A22F08" w:rsidRPr="004A01B6">
        <w:rPr>
          <w:rFonts w:cstheme="minorHAnsi"/>
          <w:color w:val="000000" w:themeColor="text1"/>
          <w:lang w:val="en-US"/>
        </w:rPr>
        <w:t>BioLegend</w:t>
      </w:r>
      <w:proofErr w:type="spellEnd"/>
      <w:r w:rsidR="00A22F08" w:rsidRPr="004A01B6">
        <w:rPr>
          <w:rFonts w:cstheme="minorHAnsi"/>
          <w:color w:val="000000" w:themeColor="text1"/>
          <w:lang w:val="en-US"/>
        </w:rPr>
        <w:t xml:space="preserve">) </w:t>
      </w:r>
      <w:r w:rsidRPr="004A01B6">
        <w:rPr>
          <w:rFonts w:cstheme="minorHAnsi"/>
          <w:color w:val="000000" w:themeColor="text1"/>
          <w:lang w:val="en-US"/>
        </w:rPr>
        <w:t xml:space="preserve">isotype control. Foxp3 staining was performed following a fixation and permeabilization process using the Foxp3 /Transcription Factor Staining Buffer Set (00-5523-00, </w:t>
      </w:r>
      <w:proofErr w:type="spellStart"/>
      <w:r w:rsidRPr="004A01B6">
        <w:rPr>
          <w:rFonts w:cstheme="minorHAnsi"/>
          <w:color w:val="000000" w:themeColor="text1"/>
          <w:lang w:val="en-US"/>
        </w:rPr>
        <w:t>eBioscience</w:t>
      </w:r>
      <w:proofErr w:type="spellEnd"/>
      <w:r w:rsidRPr="004A01B6">
        <w:rPr>
          <w:rFonts w:cstheme="minorHAnsi"/>
          <w:color w:val="000000" w:themeColor="text1"/>
          <w:lang w:val="en-US"/>
        </w:rPr>
        <w:t xml:space="preserve">). For the staining of myeloid cells, the Gr-1-PE (RB6-8C5,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CD11b-e450 (M1/70, </w:t>
      </w:r>
      <w:proofErr w:type="spellStart"/>
      <w:r w:rsidRPr="004A01B6">
        <w:rPr>
          <w:rFonts w:cstheme="minorHAnsi"/>
          <w:color w:val="000000" w:themeColor="text1"/>
          <w:lang w:val="en-US"/>
        </w:rPr>
        <w:t>eBioscience</w:t>
      </w:r>
      <w:proofErr w:type="spellEnd"/>
      <w:r w:rsidRPr="004A01B6">
        <w:rPr>
          <w:rFonts w:cstheme="minorHAnsi"/>
          <w:color w:val="000000" w:themeColor="text1"/>
          <w:lang w:val="en-US"/>
        </w:rPr>
        <w:t xml:space="preserve">), F4/80-APC (BM8,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CD206-PE-Cy7 (C068C2,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and CD38-PerCP-Cy5.5 (90,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were used. For dendritic cells, the CD80-PerCPCy5.5 (16-10A1,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CD11c-PE-Cy7 (N418,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MHCII-FITC (M5/114.15.2,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CD24-APC (M1/69, </w:t>
      </w:r>
      <w:proofErr w:type="spellStart"/>
      <w:r w:rsidRPr="004A01B6">
        <w:rPr>
          <w:rFonts w:cstheme="minorHAnsi"/>
          <w:color w:val="000000" w:themeColor="text1"/>
          <w:lang w:val="en-US"/>
        </w:rPr>
        <w:t>eBiosciences</w:t>
      </w:r>
      <w:proofErr w:type="spellEnd"/>
      <w:r w:rsidRPr="004A01B6">
        <w:rPr>
          <w:rFonts w:cstheme="minorHAnsi"/>
          <w:color w:val="000000" w:themeColor="text1"/>
          <w:lang w:val="en-US"/>
        </w:rPr>
        <w:t xml:space="preserve">) and </w:t>
      </w:r>
      <w:proofErr w:type="spellStart"/>
      <w:r w:rsidRPr="004A01B6">
        <w:rPr>
          <w:rFonts w:cstheme="minorHAnsi"/>
          <w:color w:val="000000" w:themeColor="text1"/>
          <w:lang w:val="en-US"/>
        </w:rPr>
        <w:t>PerCP</w:t>
      </w:r>
      <w:proofErr w:type="spellEnd"/>
      <w:r w:rsidRPr="004A01B6">
        <w:rPr>
          <w:rFonts w:cstheme="minorHAnsi"/>
          <w:color w:val="000000" w:themeColor="text1"/>
          <w:lang w:val="en-US"/>
        </w:rPr>
        <w:t xml:space="preserve">/Cy5.5 (HTK888, </w:t>
      </w:r>
      <w:proofErr w:type="spellStart"/>
      <w:r w:rsidRPr="004A01B6">
        <w:rPr>
          <w:rFonts w:cstheme="minorHAnsi"/>
          <w:color w:val="000000" w:themeColor="text1"/>
          <w:lang w:val="en-US"/>
        </w:rPr>
        <w:t>BioLegend</w:t>
      </w:r>
      <w:proofErr w:type="spellEnd"/>
      <w:r w:rsidRPr="004A01B6">
        <w:rPr>
          <w:rFonts w:cstheme="minorHAnsi"/>
          <w:color w:val="000000" w:themeColor="text1"/>
          <w:lang w:val="en-US"/>
        </w:rPr>
        <w:t xml:space="preserve">) isotype control were used. FMO controls (i.e., samples that include all fluorophores, except the color being analyzed) were used as negative controls. Flow cytometry data were obtained using BD </w:t>
      </w:r>
      <w:proofErr w:type="spellStart"/>
      <w:r w:rsidRPr="004A01B6">
        <w:rPr>
          <w:rFonts w:cstheme="minorHAnsi"/>
          <w:color w:val="000000" w:themeColor="text1"/>
          <w:lang w:val="en-US"/>
        </w:rPr>
        <w:t>FACSLyric</w:t>
      </w:r>
      <w:proofErr w:type="spellEnd"/>
      <w:r w:rsidRPr="004A01B6">
        <w:rPr>
          <w:rFonts w:cstheme="minorHAnsi"/>
          <w:color w:val="000000" w:themeColor="text1"/>
          <w:lang w:val="en-US"/>
        </w:rPr>
        <w:t xml:space="preserve"> flow cytometer and analyzed using BD </w:t>
      </w:r>
      <w:proofErr w:type="spellStart"/>
      <w:r w:rsidRPr="004A01B6">
        <w:rPr>
          <w:rFonts w:cstheme="minorHAnsi"/>
          <w:color w:val="000000" w:themeColor="text1"/>
          <w:lang w:val="en-US"/>
        </w:rPr>
        <w:t>FACSuite</w:t>
      </w:r>
      <w:proofErr w:type="spellEnd"/>
      <w:r w:rsidRPr="004A01B6">
        <w:rPr>
          <w:rFonts w:cstheme="minorHAnsi"/>
          <w:color w:val="000000" w:themeColor="text1"/>
          <w:lang w:val="en-US"/>
        </w:rPr>
        <w:t xml:space="preserve"> Software. At least 100,000 total events were acquired, and data presented is representative of singlets, live cells. </w:t>
      </w:r>
      <w:r w:rsidRPr="004A01B6">
        <w:rPr>
          <w:rFonts w:cstheme="minorHAnsi"/>
          <w:b/>
          <w:bCs/>
          <w:color w:val="000000" w:themeColor="text1"/>
          <w:lang w:val="en-US"/>
        </w:rPr>
        <w:t>Supplementary Fig. S4</w:t>
      </w:r>
      <w:r w:rsidRPr="004A01B6">
        <w:rPr>
          <w:rFonts w:cstheme="minorHAnsi"/>
          <w:color w:val="000000" w:themeColor="text1"/>
          <w:lang w:val="en-US"/>
        </w:rPr>
        <w:t xml:space="preserve"> provides details on the gating strategy for flow cytometry experiment presented in this manuscript.</w:t>
      </w:r>
    </w:p>
    <w:p w14:paraId="529077CE" w14:textId="59834803" w:rsidR="00367160" w:rsidRPr="004A01B6" w:rsidRDefault="004E1BEF" w:rsidP="004E1BEF">
      <w:pPr>
        <w:rPr>
          <w:rFonts w:cstheme="minorHAnsi"/>
          <w:color w:val="000000" w:themeColor="text1"/>
          <w:lang w:val="en-US"/>
        </w:rPr>
      </w:pPr>
      <w:r w:rsidRPr="004A01B6">
        <w:rPr>
          <w:rFonts w:cstheme="minorHAnsi"/>
          <w:color w:val="000000" w:themeColor="text1"/>
          <w:lang w:val="en-US"/>
        </w:rPr>
        <w:br w:type="page"/>
      </w:r>
    </w:p>
    <w:p w14:paraId="0AC1BDCB" w14:textId="621A1FCC" w:rsidR="0045281D" w:rsidRPr="004A01B6" w:rsidRDefault="0045281D">
      <w:pPr>
        <w:rPr>
          <w:rFonts w:cstheme="minorHAnsi"/>
          <w:b/>
          <w:color w:val="000000" w:themeColor="text1"/>
          <w:lang w:val="en-US"/>
        </w:rPr>
      </w:pPr>
      <w:r w:rsidRPr="004A01B6">
        <w:rPr>
          <w:rFonts w:cstheme="minorHAnsi"/>
          <w:b/>
          <w:color w:val="000000" w:themeColor="text1"/>
          <w:lang w:val="en-US"/>
        </w:rPr>
        <w:lastRenderedPageBreak/>
        <w:t>Supplementary Figures</w:t>
      </w:r>
    </w:p>
    <w:p w14:paraId="76BA9C06" w14:textId="77777777" w:rsidR="00A13019" w:rsidRPr="004A01B6" w:rsidRDefault="00A13019">
      <w:pPr>
        <w:rPr>
          <w:rFonts w:cstheme="minorHAnsi"/>
          <w:b/>
          <w:color w:val="000000" w:themeColor="text1"/>
          <w:lang w:val="en-US"/>
        </w:rPr>
      </w:pPr>
    </w:p>
    <w:p w14:paraId="46729EBF" w14:textId="4F84F573" w:rsidR="00A13019" w:rsidRPr="004A01B6" w:rsidRDefault="00837F6E" w:rsidP="00A13019">
      <w:pPr>
        <w:jc w:val="both"/>
        <w:rPr>
          <w:b/>
          <w:bCs/>
          <w:lang w:val="en-US"/>
        </w:rPr>
      </w:pPr>
      <w:r w:rsidRPr="004A01B6">
        <w:rPr>
          <w:b/>
          <w:bCs/>
          <w:lang w:val="en-US"/>
        </w:rPr>
        <w:drawing>
          <wp:inline distT="0" distB="0" distL="0" distR="0" wp14:anchorId="3AC9193D" wp14:editId="6156C9AE">
            <wp:extent cx="5727700" cy="8164830"/>
            <wp:effectExtent l="0" t="0" r="0" b="1270"/>
            <wp:docPr id="2"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8164830"/>
                    </a:xfrm>
                    <a:prstGeom prst="rect">
                      <a:avLst/>
                    </a:prstGeom>
                  </pic:spPr>
                </pic:pic>
              </a:graphicData>
            </a:graphic>
          </wp:inline>
        </w:drawing>
      </w:r>
    </w:p>
    <w:p w14:paraId="2A3F480E" w14:textId="0AC8C228" w:rsidR="00FC521F" w:rsidRPr="004A01B6" w:rsidRDefault="00A13019" w:rsidP="00FC521F">
      <w:pPr>
        <w:jc w:val="both"/>
        <w:rPr>
          <w:lang w:val="en-US"/>
        </w:rPr>
      </w:pPr>
      <w:r w:rsidRPr="004A01B6">
        <w:rPr>
          <w:b/>
          <w:bCs/>
          <w:lang w:val="en-US"/>
        </w:rPr>
        <w:lastRenderedPageBreak/>
        <w:t xml:space="preserve">Supplementary Fig. 1: HA degradation by secreted bacterial hyaluronidase. a </w:t>
      </w:r>
      <w:r w:rsidRPr="004A01B6">
        <w:rPr>
          <w:lang w:val="en-US"/>
        </w:rPr>
        <w:t xml:space="preserve">Growth kinetic study of engineered </w:t>
      </w:r>
      <w:r w:rsidRPr="004A01B6">
        <w:rPr>
          <w:i/>
          <w:iCs/>
          <w:lang w:val="en-US"/>
        </w:rPr>
        <w:t>E. coli</w:t>
      </w:r>
      <w:r w:rsidR="00075A46" w:rsidRPr="004A01B6">
        <w:rPr>
          <w:i/>
          <w:iCs/>
          <w:lang w:val="en-US"/>
        </w:rPr>
        <w:t>-</w:t>
      </w:r>
      <w:proofErr w:type="spellStart"/>
      <w:r w:rsidR="00075A46" w:rsidRPr="004A01B6">
        <w:rPr>
          <w:lang w:val="en-US"/>
        </w:rPr>
        <w:t>HAse</w:t>
      </w:r>
      <w:proofErr w:type="spellEnd"/>
      <w:r w:rsidRPr="004A01B6">
        <w:rPr>
          <w:i/>
          <w:iCs/>
          <w:lang w:val="en-US"/>
        </w:rPr>
        <w:t xml:space="preserve"> </w:t>
      </w:r>
      <w:r w:rsidRPr="004A01B6">
        <w:rPr>
          <w:lang w:val="en-US"/>
        </w:rPr>
        <w:t>in non-inducing and inducing (±0.2% rhamnose) conditions.</w:t>
      </w:r>
      <w:r w:rsidRPr="004A01B6">
        <w:rPr>
          <w:b/>
          <w:bCs/>
          <w:lang w:val="en-US"/>
        </w:rPr>
        <w:t xml:space="preserve"> b</w:t>
      </w:r>
      <w:r w:rsidRPr="004A01B6">
        <w:rPr>
          <w:lang w:val="en-US"/>
        </w:rPr>
        <w:t xml:space="preserve"> Bar chart showing the level of purified hyaluronan in the LB medium after each treatment arm in the assay.</w:t>
      </w:r>
      <w:r w:rsidRPr="004A01B6">
        <w:rPr>
          <w:b/>
          <w:bCs/>
          <w:lang w:val="en-US"/>
        </w:rPr>
        <w:t xml:space="preserve"> c </w:t>
      </w:r>
      <w:r w:rsidRPr="004A01B6">
        <w:rPr>
          <w:lang w:val="en-US"/>
        </w:rPr>
        <w:t>Western blot analysis of protein extracts obtained from the bacterial</w:t>
      </w:r>
      <w:r w:rsidRPr="004A01B6">
        <w:rPr>
          <w:i/>
          <w:iCs/>
          <w:lang w:val="en-US"/>
        </w:rPr>
        <w:t xml:space="preserve"> </w:t>
      </w:r>
      <w:r w:rsidRPr="004A01B6">
        <w:rPr>
          <w:lang w:val="en-US"/>
        </w:rPr>
        <w:t xml:space="preserve">pellet and supernatant of genetically engineered </w:t>
      </w:r>
      <w:r w:rsidRPr="004A01B6">
        <w:rPr>
          <w:i/>
          <w:iCs/>
          <w:lang w:val="en-US"/>
        </w:rPr>
        <w:t>E. coli</w:t>
      </w:r>
      <w:r w:rsidRPr="004A01B6">
        <w:rPr>
          <w:lang w:val="en-US"/>
        </w:rPr>
        <w:t xml:space="preserve"> cells to constitutively express GFP or Flag tag fused to the N-terminus of </w:t>
      </w:r>
      <w:proofErr w:type="spellStart"/>
      <w:r w:rsidRPr="004A01B6">
        <w:rPr>
          <w:lang w:val="en-US"/>
        </w:rPr>
        <w:t>HAse</w:t>
      </w:r>
      <w:proofErr w:type="spellEnd"/>
      <w:r w:rsidRPr="004A01B6">
        <w:rPr>
          <w:lang w:val="en-US"/>
        </w:rPr>
        <w:t xml:space="preserve"> under non-induced and induced conditions. Predicted </w:t>
      </w:r>
      <w:proofErr w:type="spellStart"/>
      <w:r w:rsidRPr="004A01B6">
        <w:rPr>
          <w:lang w:val="en-US"/>
        </w:rPr>
        <w:t>HAse</w:t>
      </w:r>
      <w:proofErr w:type="spellEnd"/>
      <w:r w:rsidRPr="004A01B6">
        <w:rPr>
          <w:lang w:val="en-US"/>
        </w:rPr>
        <w:t xml:space="preserve"> size ~90 </w:t>
      </w:r>
      <w:proofErr w:type="spellStart"/>
      <w:r w:rsidRPr="004A01B6">
        <w:rPr>
          <w:lang w:val="en-US"/>
        </w:rPr>
        <w:t>kDa</w:t>
      </w:r>
      <w:proofErr w:type="spellEnd"/>
      <w:r w:rsidRPr="004A01B6">
        <w:rPr>
          <w:lang w:val="en-US"/>
        </w:rPr>
        <w:t>.</w:t>
      </w:r>
      <w:r w:rsidRPr="004A01B6">
        <w:rPr>
          <w:b/>
          <w:bCs/>
          <w:lang w:val="en-US"/>
        </w:rPr>
        <w:t xml:space="preserve"> d </w:t>
      </w:r>
      <w:r w:rsidRPr="004A01B6">
        <w:rPr>
          <w:lang w:val="en-US"/>
        </w:rPr>
        <w:t xml:space="preserve">Absorbance of purified hyaluronan in the cell pellet and supernatant in the presence or absence of rhamnose. </w:t>
      </w:r>
      <w:r w:rsidRPr="004A01B6">
        <w:rPr>
          <w:b/>
          <w:bCs/>
          <w:lang w:val="en-US"/>
        </w:rPr>
        <w:t xml:space="preserve">e </w:t>
      </w:r>
      <w:r w:rsidRPr="004A01B6">
        <w:rPr>
          <w:lang w:val="en-US"/>
        </w:rPr>
        <w:t xml:space="preserve">Representative histological images of patient-derived explants after decellularization, incubation with </w:t>
      </w:r>
      <w:r w:rsidR="003366E4" w:rsidRPr="004A01B6">
        <w:rPr>
          <w:lang w:val="en-US"/>
        </w:rPr>
        <w:t>Media control (MC)</w:t>
      </w:r>
      <w:r w:rsidRPr="004A01B6">
        <w:rPr>
          <w:lang w:val="en-US"/>
        </w:rPr>
        <w:t xml:space="preserve">, </w:t>
      </w:r>
      <w:r w:rsidRPr="004A01B6">
        <w:rPr>
          <w:i/>
          <w:iCs/>
          <w:lang w:val="en-US"/>
        </w:rPr>
        <w:t>E. coli-</w:t>
      </w:r>
      <w:r w:rsidRPr="004A01B6">
        <w:rPr>
          <w:lang w:val="en-US"/>
        </w:rPr>
        <w:t xml:space="preserve">GFP and </w:t>
      </w:r>
      <w:r w:rsidRPr="004A01B6">
        <w:rPr>
          <w:i/>
          <w:iCs/>
          <w:lang w:val="en-US"/>
        </w:rPr>
        <w:t>E. coli-</w:t>
      </w:r>
      <w:proofErr w:type="spellStart"/>
      <w:r w:rsidRPr="004A01B6">
        <w:rPr>
          <w:lang w:val="en-US"/>
        </w:rPr>
        <w:t>HAse</w:t>
      </w:r>
      <w:proofErr w:type="spellEnd"/>
      <w:r w:rsidRPr="004A01B6">
        <w:rPr>
          <w:lang w:val="en-US"/>
        </w:rPr>
        <w:t xml:space="preserve"> and staining for hyaluronan (purple color). </w:t>
      </w:r>
      <w:r w:rsidRPr="004A01B6">
        <w:rPr>
          <w:b/>
          <w:bCs/>
          <w:lang w:val="en-US"/>
        </w:rPr>
        <w:t xml:space="preserve">f </w:t>
      </w:r>
      <w:r w:rsidRPr="004A01B6">
        <w:rPr>
          <w:lang w:val="en-US"/>
        </w:rPr>
        <w:t xml:space="preserve">Quantification of the area covered by hyaluronan following various treatments. </w:t>
      </w:r>
      <w:r w:rsidRPr="004A01B6">
        <w:rPr>
          <w:b/>
          <w:bCs/>
          <w:lang w:val="en-US"/>
        </w:rPr>
        <w:t xml:space="preserve">g </w:t>
      </w:r>
      <w:r w:rsidRPr="004A01B6">
        <w:rPr>
          <w:lang w:val="en-US"/>
        </w:rPr>
        <w:t xml:space="preserve">Relative hyaluronan content following incubation of decellularized human tissue-derived explants with various doses of engineered E. coli cells expressing </w:t>
      </w:r>
      <w:proofErr w:type="spellStart"/>
      <w:r w:rsidRPr="004A01B6">
        <w:rPr>
          <w:lang w:val="en-US"/>
        </w:rPr>
        <w:t>HAse</w:t>
      </w:r>
      <w:proofErr w:type="spellEnd"/>
      <w:r w:rsidRPr="004A01B6">
        <w:rPr>
          <w:lang w:val="en-US"/>
        </w:rPr>
        <w:t>. All data are representative of ≥3 experiments.</w:t>
      </w:r>
      <w:r w:rsidRPr="004A01B6">
        <w:rPr>
          <w:rFonts w:cstheme="minorHAnsi"/>
          <w:lang w:val="en-US"/>
        </w:rPr>
        <w:t xml:space="preserve"> </w:t>
      </w:r>
      <w:r w:rsidR="00FD7BB8" w:rsidRPr="004A01B6">
        <w:rPr>
          <w:rFonts w:cstheme="minorHAnsi"/>
          <w:lang w:val="en-US"/>
        </w:rPr>
        <w:t>For (</w:t>
      </w:r>
      <w:r w:rsidR="00BD226B" w:rsidRPr="004A01B6">
        <w:rPr>
          <w:rFonts w:cstheme="minorHAnsi"/>
          <w:b/>
          <w:bCs/>
          <w:lang w:val="en-US"/>
        </w:rPr>
        <w:t>f</w:t>
      </w:r>
      <w:r w:rsidR="00FD7BB8" w:rsidRPr="004A01B6">
        <w:rPr>
          <w:rFonts w:cstheme="minorHAnsi"/>
          <w:lang w:val="en-US"/>
        </w:rPr>
        <w:t xml:space="preserve">) statistical analysis was performed </w:t>
      </w:r>
      <w:r w:rsidR="00BD226B" w:rsidRPr="004A01B6">
        <w:rPr>
          <w:rFonts w:cstheme="minorHAnsi"/>
          <w:lang w:val="en-US"/>
        </w:rPr>
        <w:t>using the</w:t>
      </w:r>
      <w:r w:rsidR="00FD7BB8" w:rsidRPr="004A01B6">
        <w:rPr>
          <w:rFonts w:cstheme="minorHAnsi"/>
          <w:lang w:val="en-US"/>
        </w:rPr>
        <w:t xml:space="preserve"> </w:t>
      </w:r>
      <w:r w:rsidR="004342BC" w:rsidRPr="004A01B6">
        <w:rPr>
          <w:rFonts w:cstheme="minorHAnsi"/>
          <w:lang w:val="en-US"/>
        </w:rPr>
        <w:t>Kruskal-Wallis test for multiple comparisons and</w:t>
      </w:r>
      <w:r w:rsidR="00BD226B" w:rsidRPr="004A01B6">
        <w:rPr>
          <w:rFonts w:cstheme="minorHAnsi"/>
          <w:lang w:val="en-US"/>
        </w:rPr>
        <w:t xml:space="preserve"> for (</w:t>
      </w:r>
      <w:r w:rsidR="00BD226B" w:rsidRPr="004A01B6">
        <w:rPr>
          <w:rFonts w:cstheme="minorHAnsi"/>
          <w:b/>
          <w:bCs/>
          <w:lang w:val="en-US"/>
        </w:rPr>
        <w:t>g</w:t>
      </w:r>
      <w:r w:rsidR="00BD226B" w:rsidRPr="004A01B6">
        <w:rPr>
          <w:rFonts w:cstheme="minorHAnsi"/>
          <w:lang w:val="en-US"/>
        </w:rPr>
        <w:t>)</w:t>
      </w:r>
      <w:r w:rsidR="00FD3CB2" w:rsidRPr="004A01B6">
        <w:rPr>
          <w:rFonts w:cstheme="minorHAnsi"/>
          <w:lang w:val="en-US"/>
        </w:rPr>
        <w:t xml:space="preserve"> the ordinary one-way ANOVA test.</w:t>
      </w:r>
      <w:r w:rsidR="004342BC" w:rsidRPr="004A01B6">
        <w:rPr>
          <w:rFonts w:cstheme="minorHAnsi"/>
          <w:lang w:val="en-US"/>
        </w:rPr>
        <w:t xml:space="preserve"> </w:t>
      </w:r>
      <w:r w:rsidRPr="004A01B6">
        <w:rPr>
          <w:rFonts w:cstheme="minorHAnsi"/>
          <w:lang w:val="en-US"/>
        </w:rPr>
        <w:t>Data are presented as mean ± SE.</w:t>
      </w:r>
    </w:p>
    <w:p w14:paraId="78145EBD" w14:textId="63C53BD3" w:rsidR="00912FFF" w:rsidRPr="004A01B6" w:rsidRDefault="00FC521F" w:rsidP="005B3624">
      <w:pPr>
        <w:rPr>
          <w:lang w:val="en-US"/>
        </w:rPr>
      </w:pPr>
      <w:r w:rsidRPr="004A01B6">
        <w:rPr>
          <w:lang w:val="en-US"/>
        </w:rPr>
        <w:br w:type="page"/>
      </w:r>
    </w:p>
    <w:p w14:paraId="69B4C0EA" w14:textId="14B626F5" w:rsidR="008E5E73" w:rsidRPr="004A01B6" w:rsidRDefault="000355DC" w:rsidP="00912FFF">
      <w:pPr>
        <w:jc w:val="both"/>
        <w:rPr>
          <w:b/>
          <w:bCs/>
          <w:lang w:val="en-US"/>
        </w:rPr>
      </w:pPr>
      <w:r w:rsidRPr="004A01B6">
        <w:rPr>
          <w:b/>
          <w:bCs/>
          <w:lang w:val="en-US"/>
        </w:rPr>
        <w:lastRenderedPageBreak/>
        <w:drawing>
          <wp:inline distT="0" distB="0" distL="0" distR="0" wp14:anchorId="2B014D76" wp14:editId="4EDB574E">
            <wp:extent cx="5727700" cy="4570095"/>
            <wp:effectExtent l="0" t="0" r="0" b="1905"/>
            <wp:docPr id="5" name="Picture 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4570095"/>
                    </a:xfrm>
                    <a:prstGeom prst="rect">
                      <a:avLst/>
                    </a:prstGeom>
                  </pic:spPr>
                </pic:pic>
              </a:graphicData>
            </a:graphic>
          </wp:inline>
        </w:drawing>
      </w:r>
    </w:p>
    <w:p w14:paraId="565550DB" w14:textId="77777777" w:rsidR="00F73825" w:rsidRPr="004A01B6" w:rsidRDefault="00F73825" w:rsidP="00912FFF">
      <w:pPr>
        <w:jc w:val="both"/>
        <w:rPr>
          <w:b/>
          <w:bCs/>
          <w:lang w:val="en-US"/>
        </w:rPr>
      </w:pPr>
    </w:p>
    <w:p w14:paraId="74A931DB" w14:textId="172D9B35" w:rsidR="00E17AE0" w:rsidRPr="004A01B6" w:rsidRDefault="00912FFF" w:rsidP="00FC521F">
      <w:pPr>
        <w:jc w:val="both"/>
        <w:rPr>
          <w:rFonts w:cstheme="minorHAnsi"/>
          <w:lang w:val="en-US"/>
        </w:rPr>
      </w:pPr>
      <w:r w:rsidRPr="004A01B6">
        <w:rPr>
          <w:b/>
          <w:bCs/>
          <w:lang w:val="en-US"/>
        </w:rPr>
        <w:t xml:space="preserve">Supplementary Fig. 2: Tumor-specific colonization of live </w:t>
      </w:r>
      <w:proofErr w:type="spellStart"/>
      <w:r w:rsidRPr="004A01B6">
        <w:rPr>
          <w:b/>
          <w:bCs/>
          <w:lang w:val="en-US"/>
        </w:rPr>
        <w:t>BioThx</w:t>
      </w:r>
      <w:proofErr w:type="spellEnd"/>
      <w:r w:rsidRPr="004A01B6">
        <w:rPr>
          <w:b/>
          <w:bCs/>
          <w:lang w:val="en-US"/>
        </w:rPr>
        <w:t xml:space="preserve">. a </w:t>
      </w:r>
      <w:r w:rsidR="00434205" w:rsidRPr="004A01B6">
        <w:rPr>
          <w:lang w:val="en-US"/>
        </w:rPr>
        <w:t>Monitoring of</w:t>
      </w:r>
      <w:r w:rsidR="00434205" w:rsidRPr="004A01B6">
        <w:rPr>
          <w:b/>
          <w:bCs/>
          <w:lang w:val="en-US"/>
        </w:rPr>
        <w:t xml:space="preserve"> </w:t>
      </w:r>
      <w:r w:rsidR="00857C9C" w:rsidRPr="004A01B6">
        <w:rPr>
          <w:lang w:val="en-US"/>
        </w:rPr>
        <w:t>mouse weight</w:t>
      </w:r>
      <w:r w:rsidR="00434205" w:rsidRPr="004A01B6">
        <w:rPr>
          <w:lang w:val="en-US"/>
        </w:rPr>
        <w:t xml:space="preserve"> </w:t>
      </w:r>
      <w:r w:rsidR="00015091" w:rsidRPr="004A01B6">
        <w:rPr>
          <w:lang w:val="en-US"/>
        </w:rPr>
        <w:t>in 4T1 tumor</w:t>
      </w:r>
      <w:r w:rsidR="00E87FF6" w:rsidRPr="004A01B6">
        <w:rPr>
          <w:lang w:val="en-US"/>
        </w:rPr>
        <w:t>-</w:t>
      </w:r>
      <w:r w:rsidR="00015091" w:rsidRPr="004A01B6">
        <w:rPr>
          <w:lang w:val="en-US"/>
        </w:rPr>
        <w:t xml:space="preserve">bearing mice </w:t>
      </w:r>
      <w:r w:rsidR="00BD467E" w:rsidRPr="004A01B6">
        <w:rPr>
          <w:lang w:val="en-US"/>
        </w:rPr>
        <w:t xml:space="preserve">treated as indicated. </w:t>
      </w:r>
      <w:r w:rsidR="00857C9C" w:rsidRPr="004A01B6">
        <w:rPr>
          <w:b/>
          <w:bCs/>
          <w:lang w:val="en-US"/>
        </w:rPr>
        <w:t xml:space="preserve">b </w:t>
      </w:r>
      <w:r w:rsidRPr="004A01B6">
        <w:rPr>
          <w:lang w:val="en-US"/>
        </w:rPr>
        <w:t>Bioluminescen</w:t>
      </w:r>
      <w:r w:rsidR="00D57E84" w:rsidRPr="004A01B6">
        <w:rPr>
          <w:lang w:val="en-US"/>
        </w:rPr>
        <w:t>ce</w:t>
      </w:r>
      <w:r w:rsidRPr="004A01B6">
        <w:rPr>
          <w:lang w:val="en-US"/>
        </w:rPr>
        <w:t xml:space="preserve"> images of mice bearing subcutaneous 4T1 tumors after intravenous injection</w:t>
      </w:r>
      <w:r w:rsidR="00F53EE8" w:rsidRPr="004A01B6">
        <w:rPr>
          <w:lang w:val="en-US"/>
        </w:rPr>
        <w:t xml:space="preserve"> (day 15)</w:t>
      </w:r>
      <w:r w:rsidRPr="004A01B6">
        <w:rPr>
          <w:lang w:val="en-US"/>
        </w:rPr>
        <w:t xml:space="preserve"> of </w:t>
      </w:r>
      <w:r w:rsidRPr="004A01B6">
        <w:rPr>
          <w:i/>
          <w:iCs/>
          <w:lang w:val="en-US"/>
        </w:rPr>
        <w:t>E. coli</w:t>
      </w:r>
      <w:r w:rsidRPr="004A01B6">
        <w:rPr>
          <w:lang w:val="en-US"/>
        </w:rPr>
        <w:t>-</w:t>
      </w:r>
      <w:r w:rsidR="0092595A">
        <w:rPr>
          <w:lang w:val="en-US"/>
        </w:rPr>
        <w:t>l</w:t>
      </w:r>
      <w:r w:rsidRPr="004A01B6">
        <w:rPr>
          <w:lang w:val="en-US"/>
        </w:rPr>
        <w:t xml:space="preserve">ux at various concentrations. Bioluminescence imaging was performed at 24, 48, and 72 h post-injection, while heat-killed </w:t>
      </w:r>
      <w:r w:rsidRPr="004A01B6">
        <w:rPr>
          <w:i/>
          <w:iCs/>
          <w:lang w:val="en-US"/>
        </w:rPr>
        <w:t>E. coli</w:t>
      </w:r>
      <w:r w:rsidRPr="004A01B6">
        <w:rPr>
          <w:lang w:val="en-US"/>
        </w:rPr>
        <w:t>-</w:t>
      </w:r>
      <w:r w:rsidR="0092595A">
        <w:rPr>
          <w:lang w:val="en-US"/>
        </w:rPr>
        <w:t>l</w:t>
      </w:r>
      <w:r w:rsidRPr="004A01B6">
        <w:rPr>
          <w:lang w:val="en-US"/>
        </w:rPr>
        <w:t xml:space="preserve">ux cells were used as a negative control. </w:t>
      </w:r>
      <w:r w:rsidR="00857C9C" w:rsidRPr="004A01B6">
        <w:rPr>
          <w:b/>
          <w:bCs/>
          <w:lang w:val="en-US"/>
        </w:rPr>
        <w:t>c</w:t>
      </w:r>
      <w:r w:rsidRPr="004A01B6">
        <w:rPr>
          <w:lang w:val="en-US"/>
        </w:rPr>
        <w:t xml:space="preserve"> Quantification of the bacterial load in liver, spleen, heart, and tumor 72 h post-injection of 10</w:t>
      </w:r>
      <w:r w:rsidRPr="004A01B6">
        <w:rPr>
          <w:vertAlign w:val="superscript"/>
          <w:lang w:val="en-US"/>
        </w:rPr>
        <w:t>7</w:t>
      </w:r>
      <w:r w:rsidRPr="004A01B6">
        <w:rPr>
          <w:lang w:val="en-US"/>
        </w:rPr>
        <w:t xml:space="preserve"> CFUs </w:t>
      </w:r>
      <w:r w:rsidRPr="004A01B6">
        <w:rPr>
          <w:i/>
          <w:iCs/>
          <w:lang w:val="en-US"/>
        </w:rPr>
        <w:t>E. coli</w:t>
      </w:r>
      <w:r w:rsidRPr="004A01B6">
        <w:rPr>
          <w:lang w:val="en-US"/>
        </w:rPr>
        <w:t>-</w:t>
      </w:r>
      <w:r w:rsidR="0092595A">
        <w:rPr>
          <w:lang w:val="en-US"/>
        </w:rPr>
        <w:t>l</w:t>
      </w:r>
      <w:r w:rsidRPr="004A01B6">
        <w:rPr>
          <w:lang w:val="en-US"/>
        </w:rPr>
        <w:t xml:space="preserve">ux (n=5 mice). </w:t>
      </w:r>
      <w:r w:rsidRPr="004A01B6">
        <w:rPr>
          <w:rFonts w:cstheme="minorHAnsi"/>
          <w:lang w:val="en-US"/>
        </w:rPr>
        <w:t>Statistical analysis was performed by comparing the means between the independent groups using the one-way ANOVA test</w:t>
      </w:r>
      <w:r w:rsidRPr="004A01B6">
        <w:rPr>
          <w:rFonts w:cstheme="minorHAnsi"/>
          <w:color w:val="000000" w:themeColor="text1"/>
          <w:lang w:val="en-US"/>
        </w:rPr>
        <w:t>.</w:t>
      </w:r>
      <w:r w:rsidRPr="004A01B6">
        <w:rPr>
          <w:rFonts w:cstheme="minorHAnsi"/>
          <w:lang w:val="en-US"/>
        </w:rPr>
        <w:t xml:space="preserve"> Data are presented as mean ± S</w:t>
      </w:r>
      <w:r w:rsidR="00E16F6A" w:rsidRPr="004A01B6">
        <w:rPr>
          <w:rFonts w:cstheme="minorHAnsi"/>
          <w:lang w:val="en-US"/>
        </w:rPr>
        <w:t>--</w:t>
      </w:r>
      <w:r w:rsidRPr="004A01B6">
        <w:rPr>
          <w:rFonts w:cstheme="minorHAnsi"/>
          <w:lang w:val="en-US"/>
        </w:rPr>
        <w:t>E.</w:t>
      </w:r>
    </w:p>
    <w:p w14:paraId="50645401" w14:textId="68390D09" w:rsidR="00E17AE0" w:rsidRPr="004A01B6" w:rsidRDefault="00134EA4" w:rsidP="00E17AE0">
      <w:pPr>
        <w:jc w:val="center"/>
        <w:rPr>
          <w:rFonts w:cstheme="minorHAnsi"/>
          <w:lang w:val="en-US"/>
        </w:rPr>
      </w:pPr>
      <w:r w:rsidRPr="004A01B6">
        <w:rPr>
          <w:rFonts w:cstheme="minorHAnsi"/>
          <w:lang w:val="en-US"/>
        </w:rPr>
        <w:lastRenderedPageBreak/>
        <w:drawing>
          <wp:inline distT="0" distB="0" distL="0" distR="0" wp14:anchorId="6FB5EF1A" wp14:editId="1F1FADD3">
            <wp:extent cx="5727700" cy="4979035"/>
            <wp:effectExtent l="0" t="0" r="0" b="0"/>
            <wp:docPr id="3" name="Picture 3"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different types of number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4979035"/>
                    </a:xfrm>
                    <a:prstGeom prst="rect">
                      <a:avLst/>
                    </a:prstGeom>
                  </pic:spPr>
                </pic:pic>
              </a:graphicData>
            </a:graphic>
          </wp:inline>
        </w:drawing>
      </w:r>
    </w:p>
    <w:p w14:paraId="4FC72F97" w14:textId="77777777" w:rsidR="00134EA4" w:rsidRPr="004A01B6" w:rsidRDefault="00134EA4" w:rsidP="00E17AE0">
      <w:pPr>
        <w:jc w:val="both"/>
        <w:rPr>
          <w:rFonts w:cstheme="minorHAnsi"/>
          <w:b/>
          <w:bCs/>
          <w:lang w:val="en-US"/>
        </w:rPr>
      </w:pPr>
    </w:p>
    <w:p w14:paraId="33F77AB0" w14:textId="05AD8434" w:rsidR="00E17AE0" w:rsidRPr="004A01B6" w:rsidRDefault="00E17AE0" w:rsidP="00E17AE0">
      <w:pPr>
        <w:jc w:val="both"/>
        <w:rPr>
          <w:rFonts w:cstheme="minorHAnsi"/>
          <w:lang w:val="en-US"/>
        </w:rPr>
      </w:pPr>
      <w:r w:rsidRPr="004A01B6">
        <w:rPr>
          <w:rFonts w:cstheme="minorHAnsi"/>
          <w:b/>
          <w:bCs/>
          <w:lang w:val="en-US"/>
        </w:rPr>
        <w:t xml:space="preserve">Supplementary Fig. 3: Live </w:t>
      </w:r>
      <w:r w:rsidR="00362311" w:rsidRPr="004A01B6">
        <w:rPr>
          <w:rFonts w:cstheme="minorHAnsi"/>
          <w:b/>
          <w:bCs/>
          <w:lang w:val="en-US"/>
        </w:rPr>
        <w:t>b</w:t>
      </w:r>
      <w:r w:rsidRPr="004A01B6">
        <w:rPr>
          <w:rFonts w:cstheme="minorHAnsi"/>
          <w:b/>
          <w:bCs/>
          <w:lang w:val="en-US"/>
        </w:rPr>
        <w:t>io</w:t>
      </w:r>
      <w:r w:rsidR="00362311" w:rsidRPr="004A01B6">
        <w:rPr>
          <w:rFonts w:cstheme="minorHAnsi"/>
          <w:b/>
          <w:bCs/>
          <w:lang w:val="en-US"/>
        </w:rPr>
        <w:t>therapy</w:t>
      </w:r>
      <w:r w:rsidRPr="004A01B6">
        <w:rPr>
          <w:rFonts w:cstheme="minorHAnsi"/>
          <w:b/>
          <w:bCs/>
          <w:lang w:val="en-US"/>
        </w:rPr>
        <w:t xml:space="preserve"> has no observable effect on </w:t>
      </w:r>
      <w:r w:rsidR="00362311" w:rsidRPr="004A01B6">
        <w:rPr>
          <w:rFonts w:cstheme="minorHAnsi"/>
          <w:b/>
          <w:bCs/>
          <w:lang w:val="en-US"/>
        </w:rPr>
        <w:t xml:space="preserve">tumor growth and </w:t>
      </w:r>
      <w:r w:rsidRPr="004A01B6">
        <w:rPr>
          <w:rFonts w:cstheme="minorHAnsi"/>
          <w:b/>
          <w:bCs/>
          <w:lang w:val="en-US"/>
        </w:rPr>
        <w:t xml:space="preserve">mouse body weight. a </w:t>
      </w:r>
      <w:r w:rsidRPr="004A01B6">
        <w:rPr>
          <w:rFonts w:cstheme="minorHAnsi"/>
          <w:lang w:val="en-US"/>
        </w:rPr>
        <w:t xml:space="preserve">Tumor growth curves of orthotopic 4T1 tumors treated as indicated. No antitumor effect was evident after systemic </w:t>
      </w:r>
      <w:r w:rsidR="00362311" w:rsidRPr="004A01B6">
        <w:rPr>
          <w:rFonts w:cstheme="minorHAnsi"/>
          <w:lang w:val="en-US"/>
        </w:rPr>
        <w:t xml:space="preserve">intravenous </w:t>
      </w:r>
      <w:r w:rsidRPr="004A01B6">
        <w:rPr>
          <w:rFonts w:cstheme="minorHAnsi"/>
          <w:lang w:val="en-US"/>
        </w:rPr>
        <w:t xml:space="preserve">injection (day 12) of the different bacterial products (n=5-6 mice per treatment group). </w:t>
      </w:r>
      <w:r w:rsidRPr="004A01B6">
        <w:rPr>
          <w:rFonts w:cstheme="minorHAnsi"/>
          <w:b/>
          <w:bCs/>
          <w:lang w:val="en-US"/>
        </w:rPr>
        <w:t xml:space="preserve">b </w:t>
      </w:r>
      <w:r w:rsidRPr="004A01B6">
        <w:rPr>
          <w:rFonts w:cstheme="minorHAnsi"/>
          <w:lang w:val="en-US"/>
        </w:rPr>
        <w:t xml:space="preserve">Body weight of 4T1 tumor-bearing mice before bacterial administration and throughout the study. </w:t>
      </w:r>
      <w:r w:rsidRPr="004A01B6">
        <w:rPr>
          <w:rFonts w:cstheme="minorHAnsi"/>
          <w:b/>
          <w:bCs/>
          <w:lang w:val="en-US"/>
        </w:rPr>
        <w:t>c</w:t>
      </w:r>
      <w:r w:rsidRPr="004A01B6">
        <w:rPr>
          <w:rFonts w:cstheme="minorHAnsi"/>
          <w:lang w:val="en-US"/>
        </w:rPr>
        <w:t xml:space="preserve"> Effect of various </w:t>
      </w:r>
      <w:r w:rsidR="00362311" w:rsidRPr="004A01B6">
        <w:rPr>
          <w:rFonts w:cstheme="minorHAnsi"/>
          <w:lang w:val="en-US"/>
        </w:rPr>
        <w:t>bacteria treatments</w:t>
      </w:r>
      <w:r w:rsidRPr="004A01B6">
        <w:rPr>
          <w:rFonts w:cstheme="minorHAnsi"/>
          <w:lang w:val="en-US"/>
        </w:rPr>
        <w:t xml:space="preserve"> on spleen mass of 4T1</w:t>
      </w:r>
      <w:r w:rsidR="00362311" w:rsidRPr="004A01B6">
        <w:rPr>
          <w:rFonts w:cstheme="minorHAnsi"/>
          <w:lang w:val="en-US"/>
        </w:rPr>
        <w:t xml:space="preserve"> bearing mice</w:t>
      </w:r>
      <w:r w:rsidRPr="004A01B6">
        <w:rPr>
          <w:rFonts w:cstheme="minorHAnsi"/>
          <w:lang w:val="en-US"/>
        </w:rPr>
        <w:t xml:space="preserve"> (n=5-6 mice per treatment group). For </w:t>
      </w:r>
      <w:r w:rsidRPr="004A01B6">
        <w:rPr>
          <w:rFonts w:cstheme="minorHAnsi"/>
          <w:b/>
          <w:bCs/>
          <w:lang w:val="en-US"/>
        </w:rPr>
        <w:t>a</w:t>
      </w:r>
      <w:r w:rsidRPr="004A01B6">
        <w:rPr>
          <w:rFonts w:cstheme="minorHAnsi"/>
          <w:lang w:val="en-US"/>
        </w:rPr>
        <w:t xml:space="preserve"> and </w:t>
      </w:r>
      <w:r w:rsidRPr="004A01B6">
        <w:rPr>
          <w:rFonts w:cstheme="minorHAnsi"/>
          <w:b/>
          <w:bCs/>
          <w:lang w:val="en-US"/>
        </w:rPr>
        <w:t>b</w:t>
      </w:r>
      <w:r w:rsidRPr="004A01B6">
        <w:rPr>
          <w:rFonts w:cstheme="minorHAnsi"/>
          <w:lang w:val="en-US"/>
        </w:rPr>
        <w:t xml:space="preserve">, statistical analyses were performed by comparing the means between the independent groups using the two-way ANOVA test, while </w:t>
      </w:r>
      <w:r w:rsidRPr="004A01B6">
        <w:rPr>
          <w:rFonts w:cstheme="minorHAnsi"/>
          <w:color w:val="000000" w:themeColor="text1"/>
          <w:lang w:val="en-US"/>
        </w:rPr>
        <w:t>statistical analyses for (</w:t>
      </w:r>
      <w:r w:rsidRPr="004A01B6">
        <w:rPr>
          <w:rFonts w:cstheme="minorHAnsi"/>
          <w:b/>
          <w:bCs/>
          <w:color w:val="000000" w:themeColor="text1"/>
          <w:lang w:val="en-US"/>
        </w:rPr>
        <w:t>c</w:t>
      </w:r>
      <w:r w:rsidRPr="004A01B6">
        <w:rPr>
          <w:rFonts w:cstheme="minorHAnsi"/>
          <w:color w:val="000000" w:themeColor="text1"/>
          <w:lang w:val="en-US"/>
        </w:rPr>
        <w:t>)</w:t>
      </w:r>
      <w:r w:rsidRPr="004A01B6">
        <w:rPr>
          <w:rFonts w:cstheme="minorHAnsi"/>
          <w:lang w:val="en-US"/>
        </w:rPr>
        <w:t xml:space="preserve"> were performed by comparing the means between the independent groups using the one-way ANOVA test</w:t>
      </w:r>
      <w:r w:rsidRPr="004A01B6">
        <w:rPr>
          <w:rFonts w:cstheme="minorHAnsi"/>
          <w:color w:val="000000" w:themeColor="text1"/>
          <w:lang w:val="en-US"/>
        </w:rPr>
        <w:t>.</w:t>
      </w:r>
      <w:r w:rsidRPr="004A01B6">
        <w:rPr>
          <w:rFonts w:cstheme="minorHAnsi"/>
          <w:lang w:val="en-US"/>
        </w:rPr>
        <w:t xml:space="preserve"> Data are presented as mean ± SE. </w:t>
      </w:r>
    </w:p>
    <w:p w14:paraId="1CE4E631" w14:textId="27798BE6" w:rsidR="00213042" w:rsidRPr="004A01B6" w:rsidRDefault="00213042" w:rsidP="00213042">
      <w:pPr>
        <w:jc w:val="both"/>
        <w:rPr>
          <w:rFonts w:cstheme="minorHAnsi"/>
          <w:lang w:val="en-US"/>
        </w:rPr>
      </w:pPr>
    </w:p>
    <w:p w14:paraId="145F97DB" w14:textId="62C24A1B" w:rsidR="00213042" w:rsidRPr="004A01B6" w:rsidRDefault="00134EA4" w:rsidP="00213042">
      <w:pPr>
        <w:jc w:val="both"/>
        <w:rPr>
          <w:rFonts w:cstheme="minorHAnsi"/>
          <w:lang w:val="en-US"/>
        </w:rPr>
      </w:pPr>
      <w:r w:rsidRPr="004A01B6">
        <w:rPr>
          <w:rFonts w:cstheme="minorHAnsi"/>
          <w:lang w:val="en-US"/>
        </w:rPr>
        <w:lastRenderedPageBreak/>
        <w:drawing>
          <wp:inline distT="0" distB="0" distL="0" distR="0" wp14:anchorId="52A1DECD" wp14:editId="2FD87C27">
            <wp:extent cx="5727700" cy="3521075"/>
            <wp:effectExtent l="0" t="0" r="0" b="0"/>
            <wp:docPr id="4" name="Picture 4" descr="A graph of a number of footpri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aph of a number of footprint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3521075"/>
                    </a:xfrm>
                    <a:prstGeom prst="rect">
                      <a:avLst/>
                    </a:prstGeom>
                  </pic:spPr>
                </pic:pic>
              </a:graphicData>
            </a:graphic>
          </wp:inline>
        </w:drawing>
      </w:r>
    </w:p>
    <w:p w14:paraId="680553A5" w14:textId="77777777" w:rsidR="00134EA4" w:rsidRPr="004A01B6" w:rsidRDefault="00134EA4" w:rsidP="00213042">
      <w:pPr>
        <w:jc w:val="both"/>
        <w:rPr>
          <w:rFonts w:cstheme="minorHAnsi"/>
          <w:b/>
          <w:bCs/>
          <w:lang w:val="en-US"/>
        </w:rPr>
      </w:pPr>
    </w:p>
    <w:p w14:paraId="32516CEC" w14:textId="6CB56C5F" w:rsidR="00213042" w:rsidRPr="004A01B6" w:rsidRDefault="00213042" w:rsidP="00213042">
      <w:pPr>
        <w:jc w:val="both"/>
        <w:rPr>
          <w:rFonts w:cstheme="minorHAnsi"/>
          <w:lang w:val="en-US"/>
        </w:rPr>
      </w:pPr>
      <w:r w:rsidRPr="004A01B6">
        <w:rPr>
          <w:rFonts w:cstheme="minorHAnsi"/>
          <w:b/>
          <w:bCs/>
          <w:lang w:val="en-US"/>
        </w:rPr>
        <w:t xml:space="preserve">Supplementary Fig. 4. Live </w:t>
      </w:r>
      <w:r w:rsidR="00E16F6A" w:rsidRPr="004A01B6">
        <w:rPr>
          <w:rFonts w:cstheme="minorHAnsi"/>
          <w:b/>
          <w:bCs/>
          <w:lang w:val="en-US"/>
        </w:rPr>
        <w:t>biotherapeutic bacteria</w:t>
      </w:r>
      <w:r w:rsidRPr="004A01B6">
        <w:rPr>
          <w:rFonts w:cstheme="minorHAnsi"/>
          <w:b/>
          <w:bCs/>
          <w:lang w:val="en-US"/>
        </w:rPr>
        <w:t xml:space="preserve"> combined with ICI treatment induces tumor regression of triple-negative breast cancer. a</w:t>
      </w:r>
      <w:r w:rsidRPr="004A01B6">
        <w:rPr>
          <w:rFonts w:cstheme="minorHAnsi"/>
          <w:lang w:val="en-US"/>
        </w:rPr>
        <w:t xml:space="preserve"> Masses of 4T1 tumors treated as indicated (n=9 mice per treatment group). </w:t>
      </w:r>
      <w:r w:rsidRPr="004A01B6">
        <w:rPr>
          <w:rFonts w:cstheme="minorHAnsi"/>
          <w:b/>
          <w:bCs/>
          <w:lang w:val="en-US"/>
        </w:rPr>
        <w:t xml:space="preserve">b </w:t>
      </w:r>
      <w:r w:rsidRPr="004A01B6">
        <w:rPr>
          <w:rFonts w:cstheme="minorHAnsi"/>
          <w:lang w:val="en-US"/>
        </w:rPr>
        <w:t xml:space="preserve">masses of E0771 tumor treated as indicated (n=7-10 mice per treatment group). </w:t>
      </w:r>
      <w:r w:rsidRPr="004A01B6">
        <w:rPr>
          <w:rFonts w:cstheme="minorHAnsi"/>
          <w:b/>
          <w:bCs/>
          <w:lang w:val="en-US"/>
        </w:rPr>
        <w:t xml:space="preserve">c </w:t>
      </w:r>
      <w:r w:rsidRPr="004A01B6">
        <w:rPr>
          <w:rFonts w:cstheme="minorHAnsi"/>
          <w:lang w:val="en-US"/>
        </w:rPr>
        <w:t>Images of E0771 tumors following excision. In the ICI combination group, the dashed circle indicates that 5 out of 10 treated mice experienced complete tumor regression, and consequently, no tumor was detectable during surgical resection.</w:t>
      </w:r>
    </w:p>
    <w:p w14:paraId="04C50388" w14:textId="36D4EA8D" w:rsidR="00E17AE0" w:rsidRPr="004A01B6" w:rsidRDefault="00E17AE0">
      <w:pPr>
        <w:rPr>
          <w:rFonts w:cstheme="minorHAnsi"/>
          <w:sz w:val="28"/>
          <w:szCs w:val="28"/>
          <w:lang w:val="en-US"/>
        </w:rPr>
      </w:pPr>
    </w:p>
    <w:p w14:paraId="53A5D6DB" w14:textId="3D286115" w:rsidR="005179B6" w:rsidRPr="004A01B6" w:rsidRDefault="00EA66F3" w:rsidP="005179B6">
      <w:pPr>
        <w:jc w:val="both"/>
        <w:rPr>
          <w:rFonts w:cstheme="minorHAnsi"/>
          <w:lang w:val="en-US"/>
        </w:rPr>
      </w:pPr>
      <w:r w:rsidRPr="004A01B6">
        <w:rPr>
          <w:rFonts w:cstheme="minorHAnsi"/>
          <w:lang w:val="en-US"/>
        </w:rPr>
        <w:lastRenderedPageBreak/>
        <w:drawing>
          <wp:inline distT="0" distB="0" distL="0" distR="0" wp14:anchorId="678BA06C" wp14:editId="17C9B2AE">
            <wp:extent cx="5727700" cy="7980680"/>
            <wp:effectExtent l="0" t="0" r="0" b="0"/>
            <wp:docPr id="7" name="Picture 7" descr="A collage of different colore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ollage of different colored graph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7980680"/>
                    </a:xfrm>
                    <a:prstGeom prst="rect">
                      <a:avLst/>
                    </a:prstGeom>
                  </pic:spPr>
                </pic:pic>
              </a:graphicData>
            </a:graphic>
          </wp:inline>
        </w:drawing>
      </w:r>
    </w:p>
    <w:p w14:paraId="5121411D" w14:textId="77777777" w:rsidR="00EA66F3" w:rsidRPr="004A01B6" w:rsidRDefault="00EA66F3" w:rsidP="005179B6">
      <w:pPr>
        <w:jc w:val="both"/>
        <w:rPr>
          <w:rFonts w:cstheme="minorHAnsi"/>
          <w:lang w:val="en-US"/>
        </w:rPr>
      </w:pPr>
    </w:p>
    <w:p w14:paraId="1C307F5B" w14:textId="77777777" w:rsidR="005179B6" w:rsidRPr="004A01B6" w:rsidRDefault="005179B6" w:rsidP="005179B6">
      <w:pPr>
        <w:spacing w:before="120" w:after="240"/>
        <w:contextualSpacing/>
        <w:jc w:val="both"/>
        <w:rPr>
          <w:rFonts w:cstheme="minorHAnsi"/>
          <w:color w:val="000000" w:themeColor="text1"/>
          <w:lang w:val="en-US"/>
        </w:rPr>
      </w:pPr>
      <w:r w:rsidRPr="004A01B6">
        <w:rPr>
          <w:rFonts w:cstheme="minorHAnsi"/>
          <w:b/>
          <w:bCs/>
          <w:lang w:val="en-US"/>
        </w:rPr>
        <w:t xml:space="preserve">Supplementary Fig. 5: Flow cytometry gating. </w:t>
      </w:r>
      <w:r w:rsidRPr="004A01B6">
        <w:rPr>
          <w:rFonts w:cstheme="minorHAnsi"/>
          <w:b/>
          <w:bCs/>
          <w:color w:val="000000" w:themeColor="text1"/>
          <w:lang w:val="en-US"/>
        </w:rPr>
        <w:t>a</w:t>
      </w:r>
      <w:r w:rsidRPr="004A01B6">
        <w:rPr>
          <w:rFonts w:cstheme="minorHAnsi"/>
          <w:color w:val="000000" w:themeColor="text1"/>
          <w:lang w:val="en-US"/>
        </w:rPr>
        <w:t xml:space="preserve"> Gating strategy of tumor-infiltrating lymphocytes. We first gated out doublet/aggregated events using forward scatter area (FSC-A) versus forward scatter height (FSC-H). After gating on singlets, we identified live cells using </w:t>
      </w:r>
      <w:r w:rsidRPr="004A01B6">
        <w:rPr>
          <w:rFonts w:cstheme="minorHAnsi"/>
          <w:color w:val="000000" w:themeColor="text1"/>
          <w:lang w:val="en-US"/>
        </w:rPr>
        <w:lastRenderedPageBreak/>
        <w:t>the L/D stain and next used the lymphocyte gate (CD45</w:t>
      </w:r>
      <w:r w:rsidRPr="004A01B6">
        <w:rPr>
          <w:rFonts w:cstheme="minorHAnsi"/>
          <w:color w:val="000000" w:themeColor="text1"/>
          <w:vertAlign w:val="superscript"/>
          <w:lang w:val="en-US"/>
        </w:rPr>
        <w:t>+</w:t>
      </w:r>
      <w:r w:rsidRPr="004A01B6">
        <w:rPr>
          <w:rFonts w:cstheme="minorHAnsi"/>
          <w:color w:val="000000" w:themeColor="text1"/>
          <w:lang w:val="en-US"/>
        </w:rPr>
        <w:t>) to filter out non-lymphocytic cells. CD3</w:t>
      </w:r>
      <w:r w:rsidRPr="004A01B6">
        <w:rPr>
          <w:rFonts w:cstheme="minorHAnsi"/>
          <w:color w:val="000000" w:themeColor="text1"/>
          <w:vertAlign w:val="superscript"/>
          <w:lang w:val="en-US"/>
        </w:rPr>
        <w:t>+</w:t>
      </w:r>
      <w:r w:rsidRPr="004A01B6">
        <w:rPr>
          <w:rFonts w:cstheme="minorHAnsi"/>
          <w:color w:val="000000" w:themeColor="text1"/>
          <w:lang w:val="en-US"/>
        </w:rPr>
        <w:t xml:space="preserve"> or TCRB</w:t>
      </w:r>
      <w:r w:rsidRPr="004A01B6">
        <w:rPr>
          <w:rFonts w:cstheme="minorHAnsi"/>
          <w:color w:val="000000" w:themeColor="text1"/>
          <w:vertAlign w:val="superscript"/>
          <w:lang w:val="en-US"/>
        </w:rPr>
        <w:t xml:space="preserve">+ </w:t>
      </w:r>
      <w:r w:rsidRPr="004A01B6">
        <w:rPr>
          <w:rFonts w:cstheme="minorHAnsi"/>
          <w:color w:val="000000" w:themeColor="text1"/>
          <w:lang w:val="en-US"/>
        </w:rPr>
        <w:t>T cells were stained with CD4 and CD8 antibodies. After gating on CD4</w:t>
      </w:r>
      <w:r w:rsidRPr="004A01B6">
        <w:rPr>
          <w:rFonts w:cstheme="minorHAnsi"/>
          <w:color w:val="000000" w:themeColor="text1"/>
          <w:vertAlign w:val="superscript"/>
          <w:lang w:val="en-US"/>
        </w:rPr>
        <w:t>+</w:t>
      </w:r>
      <w:r w:rsidRPr="004A01B6">
        <w:rPr>
          <w:rFonts w:cstheme="minorHAnsi"/>
          <w:color w:val="000000" w:themeColor="text1"/>
          <w:lang w:val="en-US"/>
        </w:rPr>
        <w:t xml:space="preserve"> cells and selecting only the single positive population, we identified the cells expressing low levels of CD127 and high levels of CD25 (CD127</w:t>
      </w:r>
      <w:r w:rsidRPr="004A01B6">
        <w:rPr>
          <w:rFonts w:cstheme="minorHAnsi"/>
          <w:color w:val="000000" w:themeColor="text1"/>
          <w:vertAlign w:val="superscript"/>
          <w:lang w:val="en-US"/>
        </w:rPr>
        <w:t>lo</w:t>
      </w:r>
      <w:r w:rsidRPr="004A01B6">
        <w:rPr>
          <w:rFonts w:cstheme="minorHAnsi"/>
          <w:color w:val="000000" w:themeColor="text1"/>
          <w:lang w:val="en-US"/>
        </w:rPr>
        <w:t>CD25</w:t>
      </w:r>
      <w:r w:rsidRPr="004A01B6">
        <w:rPr>
          <w:rFonts w:cstheme="minorHAnsi"/>
          <w:color w:val="000000" w:themeColor="text1"/>
          <w:vertAlign w:val="superscript"/>
          <w:lang w:val="en-US"/>
        </w:rPr>
        <w:t>hi</w:t>
      </w:r>
      <w:r w:rsidRPr="004A01B6">
        <w:rPr>
          <w:rFonts w:cstheme="minorHAnsi"/>
          <w:color w:val="000000" w:themeColor="text1"/>
          <w:lang w:val="en-US"/>
        </w:rPr>
        <w:t>). We gated on this population to identify the percentage of cells that are T regs expressing Foxp3</w:t>
      </w:r>
      <w:r w:rsidRPr="004A01B6">
        <w:rPr>
          <w:rFonts w:cstheme="minorHAnsi"/>
          <w:color w:val="000000" w:themeColor="text1"/>
          <w:vertAlign w:val="superscript"/>
          <w:lang w:val="en-US"/>
        </w:rPr>
        <w:t>+</w:t>
      </w:r>
      <w:r w:rsidRPr="004A01B6">
        <w:rPr>
          <w:rFonts w:cstheme="minorHAnsi"/>
          <w:color w:val="000000" w:themeColor="text1"/>
          <w:lang w:val="en-US"/>
        </w:rPr>
        <w:t xml:space="preserve">. An IgG2a-FITC antibody was used as an isotype control of Foxp3 staining. </w:t>
      </w:r>
      <w:r w:rsidRPr="004A01B6">
        <w:rPr>
          <w:rFonts w:cstheme="minorHAnsi"/>
          <w:b/>
          <w:bCs/>
          <w:color w:val="000000" w:themeColor="text1"/>
          <w:lang w:val="en-US"/>
        </w:rPr>
        <w:t>b</w:t>
      </w:r>
      <w:r w:rsidRPr="004A01B6">
        <w:rPr>
          <w:rFonts w:cstheme="minorHAnsi"/>
          <w:color w:val="000000" w:themeColor="text1"/>
          <w:lang w:val="en-US"/>
        </w:rPr>
        <w:t xml:space="preserve"> Gating strategy of myeloid cells. We used the myeloid gate on FSC/SSC, excluded the dead cells, and gated on CD45</w:t>
      </w:r>
      <w:r w:rsidRPr="004A01B6">
        <w:rPr>
          <w:rFonts w:cstheme="minorHAnsi"/>
          <w:color w:val="000000" w:themeColor="text1"/>
          <w:vertAlign w:val="superscript"/>
          <w:lang w:val="en-US"/>
        </w:rPr>
        <w:t>+</w:t>
      </w:r>
      <w:r w:rsidRPr="004A01B6">
        <w:rPr>
          <w:rFonts w:cstheme="minorHAnsi"/>
          <w:color w:val="000000" w:themeColor="text1"/>
          <w:lang w:val="en-US"/>
        </w:rPr>
        <w:t xml:space="preserve"> cells. CD11b and Gr-1 (Ly6G</w:t>
      </w:r>
      <w:r w:rsidRPr="004A01B6">
        <w:rPr>
          <w:rFonts w:cstheme="minorHAnsi"/>
          <w:color w:val="000000" w:themeColor="text1"/>
          <w:vertAlign w:val="superscript"/>
          <w:lang w:val="en-US"/>
        </w:rPr>
        <w:t xml:space="preserve">+ </w:t>
      </w:r>
      <w:r w:rsidRPr="004A01B6">
        <w:rPr>
          <w:rFonts w:cstheme="minorHAnsi"/>
          <w:color w:val="000000" w:themeColor="text1"/>
          <w:lang w:val="en-US"/>
        </w:rPr>
        <w:t>Ly6C</w:t>
      </w:r>
      <w:r w:rsidRPr="004A01B6">
        <w:rPr>
          <w:rFonts w:cstheme="minorHAnsi"/>
          <w:color w:val="000000" w:themeColor="text1"/>
          <w:vertAlign w:val="superscript"/>
          <w:lang w:val="en-US"/>
        </w:rPr>
        <w:t>+</w:t>
      </w:r>
      <w:r w:rsidRPr="004A01B6">
        <w:rPr>
          <w:rFonts w:cstheme="minorHAnsi"/>
          <w:color w:val="000000" w:themeColor="text1"/>
          <w:lang w:val="en-US"/>
        </w:rPr>
        <w:t>) antibodies were used to distinguish the myeloid cell subpopulations. Monocytes were identified as CD11b</w:t>
      </w:r>
      <w:r w:rsidRPr="004A01B6">
        <w:rPr>
          <w:rFonts w:cstheme="minorHAnsi"/>
          <w:color w:val="000000" w:themeColor="text1"/>
          <w:vertAlign w:val="superscript"/>
          <w:lang w:val="en-US"/>
        </w:rPr>
        <w:t>+</w:t>
      </w:r>
      <w:r w:rsidRPr="004A01B6">
        <w:rPr>
          <w:rFonts w:cstheme="minorHAnsi"/>
          <w:color w:val="000000" w:themeColor="text1"/>
          <w:lang w:val="en-US"/>
        </w:rPr>
        <w:t xml:space="preserve"> and Gr-1</w:t>
      </w:r>
      <w:r w:rsidRPr="004A01B6">
        <w:rPr>
          <w:rFonts w:cstheme="minorHAnsi"/>
          <w:color w:val="000000" w:themeColor="text1"/>
          <w:vertAlign w:val="superscript"/>
          <w:lang w:val="en-US"/>
        </w:rPr>
        <w:t>-</w:t>
      </w:r>
      <w:r w:rsidRPr="004A01B6">
        <w:rPr>
          <w:rFonts w:cstheme="minorHAnsi"/>
          <w:color w:val="000000" w:themeColor="text1"/>
          <w:lang w:val="en-US"/>
        </w:rPr>
        <w:t>, while MDSCs were identified by the high expression of both CD11b and Gr-1 proteins. Tumor-associated macrophages (TAMs) were gated on monocytes and defined as F4/80</w:t>
      </w:r>
      <w:r w:rsidRPr="004A01B6">
        <w:rPr>
          <w:rFonts w:cstheme="minorHAnsi"/>
          <w:color w:val="000000" w:themeColor="text1"/>
          <w:vertAlign w:val="superscript"/>
          <w:lang w:val="en-US"/>
        </w:rPr>
        <w:t>+</w:t>
      </w:r>
      <w:r w:rsidRPr="004A01B6">
        <w:rPr>
          <w:rFonts w:cstheme="minorHAnsi"/>
          <w:color w:val="000000" w:themeColor="text1"/>
          <w:lang w:val="en-US"/>
        </w:rPr>
        <w:t>. TAM subpopulations were distinguished based on the expression levels of CD38 and CD206 proteins. M1-like TAMs are defined as CD38</w:t>
      </w:r>
      <w:r w:rsidRPr="004A01B6">
        <w:rPr>
          <w:rFonts w:cstheme="minorHAnsi"/>
          <w:color w:val="000000" w:themeColor="text1"/>
          <w:vertAlign w:val="superscript"/>
          <w:lang w:val="en-US"/>
        </w:rPr>
        <w:t>+</w:t>
      </w:r>
      <w:r w:rsidRPr="004A01B6">
        <w:rPr>
          <w:rFonts w:cstheme="minorHAnsi"/>
          <w:color w:val="000000" w:themeColor="text1"/>
          <w:lang w:val="en-US"/>
        </w:rPr>
        <w:t>CD206</w:t>
      </w:r>
      <w:r w:rsidRPr="004A01B6">
        <w:rPr>
          <w:rFonts w:cstheme="minorHAnsi"/>
          <w:color w:val="000000" w:themeColor="text1"/>
          <w:vertAlign w:val="superscript"/>
          <w:lang w:val="en-US"/>
        </w:rPr>
        <w:t>-</w:t>
      </w:r>
      <w:r w:rsidRPr="004A01B6">
        <w:rPr>
          <w:rFonts w:cstheme="minorHAnsi"/>
          <w:color w:val="000000" w:themeColor="text1"/>
          <w:lang w:val="en-US"/>
        </w:rPr>
        <w:t xml:space="preserve"> while M2-like TAMs as CD38</w:t>
      </w:r>
      <w:r w:rsidRPr="004A01B6">
        <w:rPr>
          <w:rFonts w:cstheme="minorHAnsi"/>
          <w:color w:val="000000" w:themeColor="text1"/>
          <w:vertAlign w:val="superscript"/>
          <w:lang w:val="en-US"/>
        </w:rPr>
        <w:t>-</w:t>
      </w:r>
      <w:r w:rsidRPr="004A01B6">
        <w:rPr>
          <w:rFonts w:cstheme="minorHAnsi"/>
          <w:color w:val="000000" w:themeColor="text1"/>
          <w:lang w:val="en-US"/>
        </w:rPr>
        <w:t>CD206</w:t>
      </w:r>
      <w:r w:rsidRPr="004A01B6">
        <w:rPr>
          <w:rFonts w:cstheme="minorHAnsi"/>
          <w:color w:val="000000" w:themeColor="text1"/>
          <w:vertAlign w:val="superscript"/>
          <w:lang w:val="en-US"/>
        </w:rPr>
        <w:t>+</w:t>
      </w:r>
      <w:r w:rsidRPr="004A01B6">
        <w:rPr>
          <w:rFonts w:cstheme="minorHAnsi"/>
          <w:color w:val="000000" w:themeColor="text1"/>
          <w:lang w:val="en-US"/>
        </w:rPr>
        <w:t xml:space="preserve">. </w:t>
      </w:r>
      <w:r w:rsidRPr="004A01B6">
        <w:rPr>
          <w:rFonts w:cstheme="minorHAnsi"/>
          <w:b/>
          <w:bCs/>
          <w:color w:val="000000" w:themeColor="text1"/>
          <w:lang w:val="en-US"/>
        </w:rPr>
        <w:t xml:space="preserve">c </w:t>
      </w:r>
      <w:r w:rsidRPr="004A01B6">
        <w:rPr>
          <w:rFonts w:cstheme="minorHAnsi"/>
          <w:color w:val="000000" w:themeColor="text1"/>
          <w:lang w:val="en-US"/>
        </w:rPr>
        <w:t>Gating strategy of dendritic cells. We used the myeloid gate on FSC/SSC, excluded the dead cells, and gated on CD45</w:t>
      </w:r>
      <w:r w:rsidRPr="004A01B6">
        <w:rPr>
          <w:rFonts w:cstheme="minorHAnsi"/>
          <w:color w:val="000000" w:themeColor="text1"/>
          <w:vertAlign w:val="superscript"/>
          <w:lang w:val="en-US"/>
        </w:rPr>
        <w:t>+</w:t>
      </w:r>
      <w:r w:rsidRPr="004A01B6">
        <w:rPr>
          <w:rFonts w:cstheme="minorHAnsi"/>
          <w:color w:val="000000" w:themeColor="text1"/>
          <w:lang w:val="en-US"/>
        </w:rPr>
        <w:t xml:space="preserve"> cells. CD11b and Ly6G antibodies were used to distinguish the monocytes from MDSCs. Antigen-presenting cells (APCs) identified as MHCII</w:t>
      </w:r>
      <w:r w:rsidRPr="004A01B6">
        <w:rPr>
          <w:rFonts w:cstheme="minorHAnsi"/>
          <w:color w:val="000000" w:themeColor="text1"/>
          <w:vertAlign w:val="superscript"/>
          <w:lang w:val="en-US"/>
        </w:rPr>
        <w:t>+</w:t>
      </w:r>
      <w:r w:rsidRPr="004A01B6">
        <w:rPr>
          <w:rFonts w:cstheme="minorHAnsi"/>
          <w:color w:val="000000" w:themeColor="text1"/>
          <w:lang w:val="en-US"/>
        </w:rPr>
        <w:t>CDIIC</w:t>
      </w:r>
      <w:r w:rsidRPr="004A01B6">
        <w:rPr>
          <w:rFonts w:cstheme="minorHAnsi"/>
          <w:color w:val="000000" w:themeColor="text1"/>
          <w:vertAlign w:val="superscript"/>
          <w:lang w:val="en-US"/>
        </w:rPr>
        <w:t>+</w:t>
      </w:r>
      <w:r w:rsidRPr="004A01B6">
        <w:rPr>
          <w:rFonts w:cstheme="minorHAnsi"/>
          <w:color w:val="000000" w:themeColor="text1"/>
          <w:lang w:val="en-US"/>
        </w:rPr>
        <w:t xml:space="preserve"> were gated on monocytes (CD11b+Ly6G</w:t>
      </w:r>
      <w:r w:rsidRPr="004A01B6">
        <w:rPr>
          <w:rFonts w:cstheme="minorHAnsi"/>
          <w:color w:val="000000" w:themeColor="text1"/>
          <w:vertAlign w:val="superscript"/>
          <w:lang w:val="en-US"/>
        </w:rPr>
        <w:t>-</w:t>
      </w:r>
      <w:r w:rsidRPr="004A01B6">
        <w:rPr>
          <w:rFonts w:cstheme="minorHAnsi"/>
          <w:color w:val="000000" w:themeColor="text1"/>
          <w:lang w:val="en-US"/>
        </w:rPr>
        <w:t>) and dendritic cells (DCs) were identified by the expression of CD24 protein after gating on APCs. Data are presented as mean ± SE. Statistical analyses were performed by comparing means between two independent groups using the two independent groups using the ordinary one-way ANOVA test.</w:t>
      </w:r>
    </w:p>
    <w:p w14:paraId="2136F01A" w14:textId="127A9E05" w:rsidR="005179B6" w:rsidRPr="004A01B6" w:rsidRDefault="005179B6">
      <w:pPr>
        <w:rPr>
          <w:rFonts w:cstheme="minorHAnsi"/>
          <w:sz w:val="28"/>
          <w:szCs w:val="28"/>
          <w:lang w:val="en-US"/>
        </w:rPr>
      </w:pPr>
    </w:p>
    <w:p w14:paraId="5BC1C3D8" w14:textId="26749684" w:rsidR="00F22AED" w:rsidRPr="004A01B6" w:rsidRDefault="00F22AED" w:rsidP="00F22AED">
      <w:pPr>
        <w:jc w:val="center"/>
        <w:rPr>
          <w:rFonts w:cstheme="minorHAnsi"/>
          <w:b/>
          <w:bCs/>
          <w:lang w:val="en-US"/>
        </w:rPr>
      </w:pPr>
    </w:p>
    <w:p w14:paraId="33831CA5" w14:textId="1D550B37" w:rsidR="00F22AED" w:rsidRPr="004A01B6" w:rsidRDefault="00EC4EEC" w:rsidP="00F22AED">
      <w:pPr>
        <w:jc w:val="center"/>
        <w:rPr>
          <w:rFonts w:cstheme="minorHAnsi"/>
          <w:b/>
          <w:bCs/>
          <w:lang w:val="en-US"/>
        </w:rPr>
      </w:pPr>
      <w:r w:rsidRPr="004A01B6">
        <w:rPr>
          <w:rFonts w:cstheme="minorHAnsi"/>
          <w:b/>
          <w:bCs/>
          <w:lang w:val="en-US"/>
        </w:rPr>
        <w:lastRenderedPageBreak/>
        <w:drawing>
          <wp:inline distT="0" distB="0" distL="0" distR="0" wp14:anchorId="629C1000" wp14:editId="5AEED762">
            <wp:extent cx="5727700" cy="5283200"/>
            <wp:effectExtent l="0" t="0" r="0" b="0"/>
            <wp:docPr id="8" name="Picture 8" descr="A collage of images of two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ollage of images of two peopl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5283200"/>
                    </a:xfrm>
                    <a:prstGeom prst="rect">
                      <a:avLst/>
                    </a:prstGeom>
                  </pic:spPr>
                </pic:pic>
              </a:graphicData>
            </a:graphic>
          </wp:inline>
        </w:drawing>
      </w:r>
    </w:p>
    <w:p w14:paraId="47EEC45A" w14:textId="070B5C2C" w:rsidR="00F22AED" w:rsidRPr="004A01B6" w:rsidRDefault="00F22AED" w:rsidP="00F22AED">
      <w:pPr>
        <w:jc w:val="both"/>
        <w:rPr>
          <w:rFonts w:cstheme="minorHAnsi"/>
          <w:lang w:val="en-US"/>
        </w:rPr>
      </w:pPr>
      <w:r w:rsidRPr="004A01B6">
        <w:rPr>
          <w:rFonts w:cstheme="minorHAnsi"/>
          <w:b/>
          <w:bCs/>
          <w:lang w:val="en-US"/>
        </w:rPr>
        <w:t>Supplementary Fig. 6</w:t>
      </w:r>
      <w:r w:rsidR="00AA01C1" w:rsidRPr="004A01B6">
        <w:rPr>
          <w:rFonts w:cstheme="minorHAnsi"/>
          <w:b/>
          <w:bCs/>
          <w:lang w:val="en-US"/>
        </w:rPr>
        <w:t>:</w:t>
      </w:r>
      <w:r w:rsidRPr="004A01B6">
        <w:rPr>
          <w:rFonts w:cstheme="minorHAnsi"/>
          <w:b/>
          <w:bCs/>
          <w:lang w:val="en-US"/>
        </w:rPr>
        <w:t xml:space="preserve"> C35R7 live Bio</w:t>
      </w:r>
      <w:r w:rsidR="00E16F6A" w:rsidRPr="004A01B6">
        <w:rPr>
          <w:rFonts w:cstheme="minorHAnsi"/>
          <w:b/>
          <w:bCs/>
          <w:lang w:val="en-US"/>
        </w:rPr>
        <w:t>therapeutic</w:t>
      </w:r>
      <w:r w:rsidRPr="004A01B6">
        <w:rPr>
          <w:rFonts w:cstheme="minorHAnsi"/>
          <w:b/>
          <w:bCs/>
          <w:lang w:val="en-US"/>
        </w:rPr>
        <w:t xml:space="preserve"> degrades HA within orthotopic colon tumors. a</w:t>
      </w:r>
      <w:r w:rsidRPr="004A01B6">
        <w:rPr>
          <w:rFonts w:cstheme="minorHAnsi"/>
          <w:lang w:val="en-US"/>
        </w:rPr>
        <w:t xml:space="preserve"> Representative immunofluorescence images of CT26 paraffin sections stained for the hyaluronan binding protein (HABP) to detect hyaluronan, scale bar=0.2 mm.</w:t>
      </w:r>
      <w:r w:rsidRPr="004A01B6">
        <w:rPr>
          <w:rFonts w:cstheme="minorHAnsi"/>
          <w:b/>
          <w:bCs/>
          <w:lang w:val="en-US"/>
        </w:rPr>
        <w:t xml:space="preserve"> b </w:t>
      </w:r>
      <w:r w:rsidRPr="004A01B6">
        <w:rPr>
          <w:rFonts w:cstheme="minorHAnsi"/>
          <w:lang w:val="en-US"/>
        </w:rPr>
        <w:t xml:space="preserve">Quantification of the fraction of area positive for HABP staining (green) normalized to DAPI (blue) stain. </w:t>
      </w:r>
      <w:r w:rsidRPr="004A01B6">
        <w:rPr>
          <w:rFonts w:cstheme="minorHAnsi"/>
          <w:b/>
          <w:bCs/>
          <w:lang w:val="en-US"/>
        </w:rPr>
        <w:t xml:space="preserve">c </w:t>
      </w:r>
      <w:r w:rsidRPr="004A01B6">
        <w:rPr>
          <w:rFonts w:cstheme="minorHAnsi"/>
          <w:lang w:val="en-US"/>
        </w:rPr>
        <w:t xml:space="preserve">Representative colon images of CT26 tumor-bearing mice excised at the end of the study demonstrating the lack of antitumor effect of the bacterial treatment administered. </w:t>
      </w:r>
      <w:r w:rsidRPr="004A01B6">
        <w:rPr>
          <w:rFonts w:cstheme="minorHAnsi"/>
          <w:color w:val="000000" w:themeColor="text1"/>
          <w:lang w:val="en-US"/>
        </w:rPr>
        <w:t>Mice were injected with the bacteria 4 days post tumor chunk engraftment and</w:t>
      </w:r>
      <w:r w:rsidRPr="004A01B6">
        <w:rPr>
          <w:rFonts w:cstheme="minorHAnsi"/>
          <w:lang w:val="en-US"/>
        </w:rPr>
        <w:t xml:space="preserve"> euthanized 7 days post bacterial administration. </w:t>
      </w:r>
      <w:r w:rsidRPr="004A01B6">
        <w:rPr>
          <w:rFonts w:cstheme="minorHAnsi"/>
          <w:b/>
          <w:bCs/>
          <w:lang w:val="en-US"/>
        </w:rPr>
        <w:t>d</w:t>
      </w:r>
      <w:r w:rsidRPr="004A01B6">
        <w:rPr>
          <w:rFonts w:cstheme="minorHAnsi"/>
          <w:lang w:val="en-US"/>
        </w:rPr>
        <w:t xml:space="preserve"> Body weight of CT26 tumor-bearing mice before bacterial administration and at the end of the study (n=6 mice per treatment group). </w:t>
      </w:r>
      <w:r w:rsidRPr="004A01B6">
        <w:rPr>
          <w:rFonts w:cstheme="minorHAnsi"/>
          <w:b/>
          <w:bCs/>
          <w:lang w:val="en-US"/>
        </w:rPr>
        <w:t xml:space="preserve">e </w:t>
      </w:r>
      <w:r w:rsidRPr="004A01B6">
        <w:rPr>
          <w:rFonts w:cstheme="minorHAnsi"/>
          <w:lang w:val="en-US"/>
        </w:rPr>
        <w:t xml:space="preserve">Effect of live </w:t>
      </w:r>
      <w:proofErr w:type="spellStart"/>
      <w:r w:rsidRPr="004A01B6">
        <w:rPr>
          <w:rFonts w:cstheme="minorHAnsi"/>
          <w:lang w:val="en-US"/>
        </w:rPr>
        <w:t>BioThx</w:t>
      </w:r>
      <w:proofErr w:type="spellEnd"/>
      <w:r w:rsidRPr="004A01B6">
        <w:rPr>
          <w:rFonts w:cstheme="minorHAnsi"/>
          <w:lang w:val="en-US"/>
        </w:rPr>
        <w:t xml:space="preserve"> on spleen mass of CT26 tumor model. For histological analysis, n=4 tumors per group were stained and multiple </w:t>
      </w:r>
      <w:r w:rsidRPr="004A01B6">
        <w:rPr>
          <w:rFonts w:cstheme="minorHAnsi"/>
          <w:color w:val="000000" w:themeColor="text1"/>
          <w:lang w:val="en-US"/>
        </w:rPr>
        <w:t>images (N=40-60) covering the entire tumor section were used for the analysis.</w:t>
      </w:r>
      <w:r w:rsidRPr="004A01B6">
        <w:rPr>
          <w:rFonts w:cstheme="minorHAnsi"/>
          <w:lang w:val="en-US"/>
        </w:rPr>
        <w:t xml:space="preserve"> For (</w:t>
      </w:r>
      <w:r w:rsidRPr="004A01B6">
        <w:rPr>
          <w:rFonts w:cstheme="minorHAnsi"/>
          <w:b/>
          <w:bCs/>
          <w:lang w:val="en-US"/>
        </w:rPr>
        <w:t>b</w:t>
      </w:r>
      <w:r w:rsidRPr="004A01B6">
        <w:rPr>
          <w:rFonts w:cstheme="minorHAnsi"/>
          <w:lang w:val="en-US"/>
        </w:rPr>
        <w:t xml:space="preserve"> and </w:t>
      </w:r>
      <w:r w:rsidRPr="004A01B6">
        <w:rPr>
          <w:rFonts w:cstheme="minorHAnsi"/>
          <w:b/>
          <w:bCs/>
          <w:lang w:val="en-US"/>
        </w:rPr>
        <w:t>e</w:t>
      </w:r>
      <w:r w:rsidRPr="004A01B6">
        <w:rPr>
          <w:rFonts w:cstheme="minorHAnsi"/>
          <w:lang w:val="en-US"/>
        </w:rPr>
        <w:t>), statistical analysis was performed by comparing the means between the two independent groups using the one-way ANOVA test</w:t>
      </w:r>
      <w:r w:rsidRPr="004A01B6">
        <w:rPr>
          <w:rFonts w:cstheme="minorHAnsi"/>
          <w:color w:val="000000" w:themeColor="text1"/>
          <w:lang w:val="en-US"/>
        </w:rPr>
        <w:t>.</w:t>
      </w:r>
      <w:r w:rsidRPr="004A01B6">
        <w:rPr>
          <w:rFonts w:cstheme="minorHAnsi"/>
          <w:lang w:val="en-US"/>
        </w:rPr>
        <w:t xml:space="preserve"> Data are presented as mean ± SE.</w:t>
      </w:r>
    </w:p>
    <w:p w14:paraId="2BA8145A" w14:textId="77777777" w:rsidR="00D03C70" w:rsidRPr="004A01B6" w:rsidRDefault="00D03C70" w:rsidP="00F22AED">
      <w:pPr>
        <w:jc w:val="both"/>
        <w:rPr>
          <w:rFonts w:cstheme="minorHAnsi"/>
          <w:lang w:val="en-US"/>
        </w:rPr>
      </w:pPr>
    </w:p>
    <w:p w14:paraId="050CEBE1" w14:textId="2981B4E7" w:rsidR="00F22AED" w:rsidRPr="004A01B6" w:rsidRDefault="00F22AED">
      <w:pPr>
        <w:rPr>
          <w:rFonts w:cstheme="minorHAnsi"/>
          <w:sz w:val="28"/>
          <w:szCs w:val="28"/>
          <w:lang w:val="en-US"/>
        </w:rPr>
      </w:pPr>
    </w:p>
    <w:p w14:paraId="29C70A6E" w14:textId="5F45E48B" w:rsidR="00D03C70" w:rsidRPr="004A01B6" w:rsidRDefault="00D03C70" w:rsidP="00D03C70">
      <w:pPr>
        <w:jc w:val="center"/>
        <w:rPr>
          <w:rFonts w:cstheme="minorHAnsi"/>
          <w:b/>
          <w:bCs/>
          <w:lang w:val="en-US"/>
        </w:rPr>
      </w:pPr>
    </w:p>
    <w:p w14:paraId="53E7DE06" w14:textId="0FB2EB14" w:rsidR="00D03C70" w:rsidRPr="004A01B6" w:rsidRDefault="00D03C70" w:rsidP="00D03C70">
      <w:pPr>
        <w:jc w:val="both"/>
        <w:rPr>
          <w:rFonts w:cstheme="minorHAnsi"/>
          <w:b/>
          <w:bCs/>
          <w:color w:val="000000" w:themeColor="text1"/>
          <w:lang w:val="en-US"/>
        </w:rPr>
      </w:pPr>
    </w:p>
    <w:p w14:paraId="57106018" w14:textId="23F177AA" w:rsidR="00EC4EEC" w:rsidRPr="004A01B6" w:rsidRDefault="00EC4EEC" w:rsidP="001E41B9">
      <w:pPr>
        <w:jc w:val="both"/>
        <w:rPr>
          <w:rFonts w:cstheme="minorHAnsi"/>
          <w:b/>
          <w:bCs/>
          <w:color w:val="000000" w:themeColor="text1"/>
          <w:lang w:val="en-US"/>
        </w:rPr>
      </w:pPr>
    </w:p>
    <w:p w14:paraId="30BBAE5F" w14:textId="77777777" w:rsidR="00A21B09" w:rsidRPr="004A01B6" w:rsidRDefault="00D80B46" w:rsidP="001E41B9">
      <w:pPr>
        <w:jc w:val="both"/>
        <w:rPr>
          <w:rFonts w:cstheme="minorHAnsi"/>
          <w:b/>
          <w:bCs/>
          <w:color w:val="000000" w:themeColor="text1"/>
          <w:lang w:val="en-US"/>
        </w:rPr>
      </w:pPr>
      <w:r w:rsidRPr="004A01B6">
        <w:rPr>
          <w:rFonts w:cstheme="minorHAnsi"/>
          <w:b/>
          <w:bCs/>
          <w:color w:val="000000" w:themeColor="text1"/>
          <w:lang w:val="en-US"/>
        </w:rPr>
        <w:lastRenderedPageBreak/>
        <w:drawing>
          <wp:inline distT="0" distB="0" distL="0" distR="0" wp14:anchorId="5FC37C6F" wp14:editId="585F4BC5">
            <wp:extent cx="5727700" cy="2492188"/>
            <wp:effectExtent l="0" t="0" r="0" b="0"/>
            <wp:docPr id="9" name="Picture 9"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ollage of images of different colors&#10;&#10;Description automatically generated"/>
                    <pic:cNvPicPr/>
                  </pic:nvPicPr>
                  <pic:blipFill rotWithShape="1">
                    <a:blip r:embed="rId13" cstate="print">
                      <a:extLst>
                        <a:ext uri="{28A0092B-C50C-407E-A947-70E740481C1C}">
                          <a14:useLocalDpi xmlns:a14="http://schemas.microsoft.com/office/drawing/2010/main" val="0"/>
                        </a:ext>
                      </a:extLst>
                    </a:blip>
                    <a:srcRect b="28861"/>
                    <a:stretch/>
                  </pic:blipFill>
                  <pic:spPr bwMode="auto">
                    <a:xfrm>
                      <a:off x="0" y="0"/>
                      <a:ext cx="5727700" cy="2492188"/>
                    </a:xfrm>
                    <a:prstGeom prst="rect">
                      <a:avLst/>
                    </a:prstGeom>
                    <a:ln>
                      <a:noFill/>
                    </a:ln>
                    <a:extLst>
                      <a:ext uri="{53640926-AAD7-44D8-BBD7-CCE9431645EC}">
                        <a14:shadowObscured xmlns:a14="http://schemas.microsoft.com/office/drawing/2010/main"/>
                      </a:ext>
                    </a:extLst>
                  </pic:spPr>
                </pic:pic>
              </a:graphicData>
            </a:graphic>
          </wp:inline>
        </w:drawing>
      </w:r>
    </w:p>
    <w:p w14:paraId="1B214BBC" w14:textId="77777777" w:rsidR="00A21B09" w:rsidRPr="004A01B6" w:rsidRDefault="00A21B09" w:rsidP="001E41B9">
      <w:pPr>
        <w:jc w:val="both"/>
        <w:rPr>
          <w:rFonts w:cstheme="minorHAnsi"/>
          <w:b/>
          <w:bCs/>
          <w:color w:val="000000" w:themeColor="text1"/>
          <w:lang w:val="en-US"/>
        </w:rPr>
      </w:pPr>
    </w:p>
    <w:p w14:paraId="3B839180" w14:textId="07FB8D10" w:rsidR="001E41B9" w:rsidRPr="004A01B6" w:rsidRDefault="00D03C70" w:rsidP="001E41B9">
      <w:pPr>
        <w:jc w:val="both"/>
        <w:rPr>
          <w:rFonts w:cstheme="minorHAnsi"/>
          <w:lang w:val="en-US"/>
        </w:rPr>
      </w:pPr>
      <w:r w:rsidRPr="004A01B6">
        <w:rPr>
          <w:rFonts w:cstheme="minorHAnsi"/>
          <w:b/>
          <w:bCs/>
          <w:color w:val="000000" w:themeColor="text1"/>
          <w:lang w:val="en-US"/>
        </w:rPr>
        <w:t xml:space="preserve">Supplementary Fig. 7: 4T1 and E0771 </w:t>
      </w:r>
      <w:r w:rsidR="00CE5BE7" w:rsidRPr="004A01B6">
        <w:rPr>
          <w:rFonts w:cstheme="minorHAnsi"/>
          <w:b/>
          <w:bCs/>
          <w:color w:val="000000" w:themeColor="text1"/>
          <w:lang w:val="en-US"/>
        </w:rPr>
        <w:t xml:space="preserve">breast tumor </w:t>
      </w:r>
      <w:r w:rsidRPr="004A01B6">
        <w:rPr>
          <w:rFonts w:cstheme="minorHAnsi"/>
          <w:b/>
          <w:bCs/>
          <w:color w:val="000000" w:themeColor="text1"/>
          <w:lang w:val="en-US"/>
        </w:rPr>
        <w:t>models are stiffer</w:t>
      </w:r>
      <w:r w:rsidR="00CE5BE7" w:rsidRPr="004A01B6">
        <w:rPr>
          <w:rFonts w:cstheme="minorHAnsi"/>
          <w:b/>
          <w:bCs/>
          <w:color w:val="000000" w:themeColor="text1"/>
          <w:lang w:val="en-US"/>
        </w:rPr>
        <w:t xml:space="preserve"> with a denser ECM</w:t>
      </w:r>
      <w:r w:rsidRPr="004A01B6">
        <w:rPr>
          <w:rFonts w:cstheme="minorHAnsi"/>
          <w:b/>
          <w:bCs/>
          <w:color w:val="000000" w:themeColor="text1"/>
          <w:lang w:val="en-US"/>
        </w:rPr>
        <w:t xml:space="preserve"> </w:t>
      </w:r>
      <w:r w:rsidR="00CE5BE7" w:rsidRPr="004A01B6">
        <w:rPr>
          <w:rFonts w:cstheme="minorHAnsi"/>
          <w:b/>
          <w:bCs/>
          <w:color w:val="000000" w:themeColor="text1"/>
          <w:lang w:val="en-US"/>
        </w:rPr>
        <w:t>than</w:t>
      </w:r>
      <w:r w:rsidRPr="004A01B6">
        <w:rPr>
          <w:rFonts w:cstheme="minorHAnsi"/>
          <w:b/>
          <w:bCs/>
          <w:color w:val="000000" w:themeColor="text1"/>
          <w:lang w:val="en-US"/>
        </w:rPr>
        <w:t xml:space="preserve"> the CT26 </w:t>
      </w:r>
      <w:r w:rsidR="00CE5BE7" w:rsidRPr="004A01B6">
        <w:rPr>
          <w:rFonts w:cstheme="minorHAnsi"/>
          <w:b/>
          <w:bCs/>
          <w:color w:val="000000" w:themeColor="text1"/>
          <w:lang w:val="en-US"/>
        </w:rPr>
        <w:t xml:space="preserve">colorectal cancer </w:t>
      </w:r>
      <w:r w:rsidRPr="004A01B6">
        <w:rPr>
          <w:rFonts w:cstheme="minorHAnsi"/>
          <w:b/>
          <w:bCs/>
          <w:color w:val="000000" w:themeColor="text1"/>
          <w:lang w:val="en-US"/>
        </w:rPr>
        <w:t xml:space="preserve">model. </w:t>
      </w:r>
      <w:proofErr w:type="spellStart"/>
      <w:proofErr w:type="gramStart"/>
      <w:r w:rsidRPr="004A01B6">
        <w:rPr>
          <w:rFonts w:cstheme="minorHAnsi"/>
          <w:b/>
          <w:bCs/>
          <w:color w:val="000000" w:themeColor="text1"/>
          <w:lang w:val="en-US"/>
        </w:rPr>
        <w:t>a</w:t>
      </w:r>
      <w:proofErr w:type="spellEnd"/>
      <w:proofErr w:type="gramEnd"/>
      <w:r w:rsidRPr="004A01B6">
        <w:rPr>
          <w:rFonts w:cstheme="minorHAnsi"/>
          <w:b/>
          <w:bCs/>
          <w:color w:val="000000" w:themeColor="text1"/>
          <w:lang w:val="en-US"/>
        </w:rPr>
        <w:t xml:space="preserve"> </w:t>
      </w:r>
      <w:r w:rsidRPr="004A01B6">
        <w:rPr>
          <w:rFonts w:cstheme="minorHAnsi"/>
          <w:color w:val="000000" w:themeColor="text1"/>
          <w:lang w:val="en-US"/>
        </w:rPr>
        <w:t xml:space="preserve">Ex-vivo measurement of the elastic modulus of 4T1, E0771 and CT26 primary tumors (n=4 </w:t>
      </w:r>
      <w:r w:rsidR="00A35412" w:rsidRPr="004A01B6">
        <w:rPr>
          <w:rFonts w:cstheme="minorHAnsi"/>
          <w:color w:val="000000" w:themeColor="text1"/>
          <w:lang w:val="en-US"/>
        </w:rPr>
        <w:t>independent tumor tissue per model</w:t>
      </w:r>
      <w:r w:rsidRPr="004A01B6">
        <w:rPr>
          <w:rFonts w:cstheme="minorHAnsi"/>
          <w:color w:val="000000" w:themeColor="text1"/>
          <w:lang w:val="en-US"/>
        </w:rPr>
        <w:t>).</w:t>
      </w:r>
      <w:r w:rsidRPr="004A01B6">
        <w:rPr>
          <w:rFonts w:cstheme="minorHAnsi"/>
          <w:b/>
          <w:bCs/>
          <w:color w:val="000000" w:themeColor="text1"/>
          <w:lang w:val="en-US"/>
        </w:rPr>
        <w:t xml:space="preserve"> </w:t>
      </w:r>
      <w:r w:rsidR="00A35412" w:rsidRPr="004A01B6">
        <w:rPr>
          <w:rFonts w:cstheme="minorHAnsi"/>
          <w:lang w:val="en-US"/>
        </w:rPr>
        <w:t>Statistical analysis was performed by comparing the means between the independent groups using the one-way ANOVA test</w:t>
      </w:r>
      <w:r w:rsidR="00A35412" w:rsidRPr="004A01B6">
        <w:rPr>
          <w:rFonts w:cstheme="minorHAnsi"/>
          <w:color w:val="000000" w:themeColor="text1"/>
          <w:lang w:val="en-US"/>
        </w:rPr>
        <w:t>.</w:t>
      </w:r>
      <w:r w:rsidR="00A35412" w:rsidRPr="004A01B6">
        <w:rPr>
          <w:rFonts w:cstheme="minorHAnsi"/>
          <w:lang w:val="en-US"/>
        </w:rPr>
        <w:t xml:space="preserve"> Data are presented as mean ± SE. </w:t>
      </w:r>
      <w:r w:rsidRPr="004A01B6">
        <w:rPr>
          <w:rFonts w:cstheme="minorHAnsi"/>
          <w:b/>
          <w:bCs/>
          <w:color w:val="000000" w:themeColor="text1"/>
          <w:lang w:val="en-US"/>
        </w:rPr>
        <w:t xml:space="preserve">b </w:t>
      </w:r>
      <w:r w:rsidRPr="004A01B6">
        <w:rPr>
          <w:rFonts w:cstheme="minorHAnsi"/>
          <w:color w:val="000000" w:themeColor="text1"/>
          <w:lang w:val="en-US"/>
        </w:rPr>
        <w:t xml:space="preserve">Immunofluorescence images obtained from the indicated tumors stained with HABP (hyaluronan, green) and collagen I (red) antibodies. </w:t>
      </w:r>
      <w:r w:rsidR="001E41B9" w:rsidRPr="004A01B6">
        <w:rPr>
          <w:rFonts w:cstheme="minorHAnsi"/>
          <w:lang w:val="en-US"/>
        </w:rPr>
        <w:t xml:space="preserve"> </w:t>
      </w:r>
    </w:p>
    <w:p w14:paraId="7005CE44" w14:textId="3F2578F2" w:rsidR="00D03C70" w:rsidRPr="004A01B6" w:rsidRDefault="00D03C70">
      <w:pPr>
        <w:rPr>
          <w:rFonts w:cstheme="minorHAnsi"/>
          <w:sz w:val="28"/>
          <w:szCs w:val="28"/>
          <w:lang w:val="en-US"/>
        </w:rPr>
      </w:pPr>
    </w:p>
    <w:p w14:paraId="0608CE56" w14:textId="7C1BEB5B" w:rsidR="001A0FE7" w:rsidRPr="004A01B6" w:rsidRDefault="001A0FE7">
      <w:pPr>
        <w:pStyle w:val="NormalWeb"/>
        <w:divId w:val="597833436"/>
        <w:rPr>
          <w:rFonts w:asciiTheme="minorHAnsi" w:hAnsiTheme="minorHAnsi" w:cstheme="minorHAnsi"/>
          <w:b/>
          <w:bCs/>
          <w:lang w:val="en-US"/>
        </w:rPr>
      </w:pPr>
      <w:r w:rsidRPr="004A01B6">
        <w:rPr>
          <w:rFonts w:asciiTheme="minorHAnsi" w:hAnsiTheme="minorHAnsi" w:cstheme="minorHAnsi"/>
          <w:lang w:val="en-US"/>
        </w:rPr>
        <w:br/>
      </w:r>
      <w:r w:rsidRPr="004A01B6">
        <w:rPr>
          <w:rFonts w:asciiTheme="minorHAnsi" w:hAnsiTheme="minorHAnsi" w:cstheme="minorHAnsi"/>
          <w:b/>
          <w:bCs/>
          <w:lang w:val="en-US"/>
        </w:rPr>
        <w:t>References</w:t>
      </w:r>
    </w:p>
    <w:sdt>
      <w:sdtPr>
        <w:rPr>
          <w:rFonts w:asciiTheme="minorHAnsi" w:eastAsiaTheme="minorHAnsi" w:hAnsiTheme="minorHAnsi" w:cstheme="minorHAnsi"/>
          <w:lang w:val="en-US" w:eastAsia="en-US"/>
        </w:rPr>
        <w:tag w:val="rw.bWnCOutputStyleIdiblio"/>
        <w:id w:val="-1166706803"/>
        <w:placeholder>
          <w:docPart w:val="F02E69E800BAAE4BBFCA0CE108E06EFC"/>
        </w:placeholder>
      </w:sdtPr>
      <w:sdtEndPr/>
      <w:sdtContent>
        <w:p w14:paraId="7DFE025B" w14:textId="3CB1A4B7" w:rsidR="001A0FE7" w:rsidRPr="004A01B6" w:rsidRDefault="001A0FE7" w:rsidP="001A0FE7">
          <w:pPr>
            <w:pStyle w:val="NormalWeb"/>
            <w:snapToGrid w:val="0"/>
            <w:contextualSpacing/>
            <w:divId w:val="597833436"/>
            <w:rPr>
              <w:rFonts w:asciiTheme="minorHAnsi" w:hAnsiTheme="minorHAnsi" w:cstheme="minorHAnsi"/>
              <w:color w:val="000000"/>
              <w:lang w:val="en-US"/>
            </w:rPr>
          </w:pPr>
          <w:r w:rsidRPr="004A01B6">
            <w:rPr>
              <w:rFonts w:asciiTheme="minorHAnsi" w:hAnsiTheme="minorHAnsi" w:cstheme="minorHAnsi"/>
              <w:color w:val="000000"/>
              <w:lang w:val="en-US"/>
            </w:rPr>
            <w:t xml:space="preserve">1. </w:t>
          </w:r>
          <w:proofErr w:type="spellStart"/>
          <w:r w:rsidRPr="004A01B6">
            <w:rPr>
              <w:rFonts w:asciiTheme="minorHAnsi" w:hAnsiTheme="minorHAnsi" w:cstheme="minorHAnsi"/>
              <w:color w:val="000000"/>
              <w:lang w:val="en-US"/>
            </w:rPr>
            <w:t>Oueslati</w:t>
          </w:r>
          <w:proofErr w:type="spellEnd"/>
          <w:r w:rsidRPr="004A01B6">
            <w:rPr>
              <w:rFonts w:asciiTheme="minorHAnsi" w:hAnsiTheme="minorHAnsi" w:cstheme="minorHAnsi"/>
              <w:color w:val="000000"/>
              <w:lang w:val="en-US"/>
            </w:rPr>
            <w:t xml:space="preserve">, N., Leblanc P, </w:t>
          </w:r>
          <w:proofErr w:type="spellStart"/>
          <w:r w:rsidRPr="004A01B6">
            <w:rPr>
              <w:rFonts w:asciiTheme="minorHAnsi" w:hAnsiTheme="minorHAnsi" w:cstheme="minorHAnsi"/>
              <w:color w:val="000000"/>
              <w:lang w:val="en-US"/>
            </w:rPr>
            <w:t>Harscoat</w:t>
          </w:r>
          <w:proofErr w:type="spellEnd"/>
          <w:r w:rsidRPr="004A01B6">
            <w:rPr>
              <w:rFonts w:asciiTheme="minorHAnsi" w:hAnsiTheme="minorHAnsi" w:cstheme="minorHAnsi"/>
              <w:color w:val="000000"/>
              <w:lang w:val="en-US"/>
            </w:rPr>
            <w:t xml:space="preserve">-Schiavo C, </w:t>
          </w:r>
          <w:proofErr w:type="spellStart"/>
          <w:r w:rsidRPr="004A01B6">
            <w:rPr>
              <w:rFonts w:asciiTheme="minorHAnsi" w:hAnsiTheme="minorHAnsi" w:cstheme="minorHAnsi"/>
              <w:color w:val="000000"/>
              <w:lang w:val="en-US"/>
            </w:rPr>
            <w:t>Rondags</w:t>
          </w:r>
          <w:proofErr w:type="spellEnd"/>
          <w:r w:rsidRPr="004A01B6">
            <w:rPr>
              <w:rFonts w:asciiTheme="minorHAnsi" w:hAnsiTheme="minorHAnsi" w:cstheme="minorHAnsi"/>
              <w:color w:val="000000"/>
              <w:lang w:val="en-US"/>
            </w:rPr>
            <w:t xml:space="preserve"> E, Meunier S, </w:t>
          </w:r>
          <w:proofErr w:type="spellStart"/>
          <w:r w:rsidRPr="004A01B6">
            <w:rPr>
              <w:rFonts w:asciiTheme="minorHAnsi" w:hAnsiTheme="minorHAnsi" w:cstheme="minorHAnsi"/>
              <w:color w:val="000000"/>
              <w:lang w:val="en-US"/>
            </w:rPr>
            <w:t>Kapel</w:t>
          </w:r>
          <w:proofErr w:type="spellEnd"/>
          <w:r w:rsidRPr="004A01B6">
            <w:rPr>
              <w:rFonts w:asciiTheme="minorHAnsi" w:hAnsiTheme="minorHAnsi" w:cstheme="minorHAnsi"/>
              <w:color w:val="000000"/>
              <w:lang w:val="en-US"/>
            </w:rPr>
            <w:t xml:space="preserve"> R</w:t>
          </w:r>
          <w:r w:rsidRPr="004A01B6">
            <w:rPr>
              <w:rFonts w:asciiTheme="minorHAnsi" w:hAnsiTheme="minorHAnsi" w:cstheme="minorHAnsi"/>
              <w:i/>
              <w:iCs/>
              <w:color w:val="000000"/>
              <w:lang w:val="en-US"/>
            </w:rPr>
            <w:t>. et al</w:t>
          </w:r>
          <w:r w:rsidRPr="004A01B6">
            <w:rPr>
              <w:rFonts w:asciiTheme="minorHAnsi" w:hAnsiTheme="minorHAnsi" w:cstheme="minorHAnsi"/>
              <w:color w:val="000000"/>
              <w:lang w:val="en-US"/>
            </w:rPr>
            <w:t>. CTAB turbidimetric method for assaying hyaluronic acid in complex environments and under cross-linked form</w:t>
          </w:r>
          <w:r w:rsidRPr="004A01B6">
            <w:rPr>
              <w:rFonts w:asciiTheme="minorHAnsi" w:hAnsiTheme="minorHAnsi" w:cstheme="minorHAnsi"/>
              <w:i/>
              <w:iCs/>
              <w:color w:val="000000"/>
              <w:lang w:val="en-US"/>
            </w:rPr>
            <w:t xml:space="preserve">. </w:t>
          </w:r>
          <w:proofErr w:type="spellStart"/>
          <w:r w:rsidRPr="004A01B6">
            <w:rPr>
              <w:rFonts w:asciiTheme="minorHAnsi" w:hAnsiTheme="minorHAnsi" w:cstheme="minorHAnsi"/>
              <w:i/>
              <w:iCs/>
              <w:color w:val="000000"/>
              <w:lang w:val="en-US"/>
            </w:rPr>
            <w:t>Carbohydr</w:t>
          </w:r>
          <w:proofErr w:type="spellEnd"/>
          <w:r w:rsidRPr="004A01B6">
            <w:rPr>
              <w:rFonts w:asciiTheme="minorHAnsi" w:hAnsiTheme="minorHAnsi" w:cstheme="minorHAnsi"/>
              <w:i/>
              <w:iCs/>
              <w:color w:val="000000"/>
              <w:lang w:val="en-US"/>
            </w:rPr>
            <w:t xml:space="preserve"> </w:t>
          </w:r>
          <w:proofErr w:type="spellStart"/>
          <w:r w:rsidRPr="004A01B6">
            <w:rPr>
              <w:rFonts w:asciiTheme="minorHAnsi" w:hAnsiTheme="minorHAnsi" w:cstheme="minorHAnsi"/>
              <w:i/>
              <w:iCs/>
              <w:color w:val="000000"/>
              <w:lang w:val="en-US"/>
            </w:rPr>
            <w:t>Polym</w:t>
          </w:r>
          <w:proofErr w:type="spellEnd"/>
          <w:r w:rsidRPr="004A01B6">
            <w:rPr>
              <w:rFonts w:asciiTheme="minorHAnsi" w:hAnsiTheme="minorHAnsi" w:cstheme="minorHAnsi"/>
              <w:b/>
              <w:bCs/>
              <w:color w:val="000000"/>
              <w:lang w:val="en-US"/>
            </w:rPr>
            <w:t xml:space="preserve"> 112</w:t>
          </w:r>
          <w:r w:rsidRPr="004A01B6">
            <w:rPr>
              <w:rFonts w:asciiTheme="minorHAnsi" w:hAnsiTheme="minorHAnsi" w:cstheme="minorHAnsi"/>
              <w:color w:val="000000"/>
              <w:lang w:val="en-US"/>
            </w:rPr>
            <w:t>, 102–108 (2014).</w:t>
          </w:r>
        </w:p>
        <w:p w14:paraId="14AD643B" w14:textId="77777777" w:rsidR="001A0FE7" w:rsidRPr="004A01B6" w:rsidRDefault="001A0FE7" w:rsidP="001A0FE7">
          <w:pPr>
            <w:pStyle w:val="NormalWeb"/>
            <w:snapToGrid w:val="0"/>
            <w:contextualSpacing/>
            <w:divId w:val="597833436"/>
            <w:rPr>
              <w:rFonts w:asciiTheme="minorHAnsi" w:hAnsiTheme="minorHAnsi" w:cstheme="minorHAnsi"/>
              <w:color w:val="000000"/>
              <w:lang w:val="en-US"/>
            </w:rPr>
          </w:pPr>
          <w:r w:rsidRPr="004A01B6">
            <w:rPr>
              <w:rFonts w:asciiTheme="minorHAnsi" w:hAnsiTheme="minorHAnsi" w:cstheme="minorHAnsi"/>
              <w:color w:val="000000"/>
              <w:lang w:val="en-US"/>
            </w:rPr>
            <w:t xml:space="preserve">2. Puttock, E. H., Tyler EJ, Manni M, </w:t>
          </w:r>
          <w:proofErr w:type="spellStart"/>
          <w:r w:rsidRPr="004A01B6">
            <w:rPr>
              <w:rFonts w:asciiTheme="minorHAnsi" w:hAnsiTheme="minorHAnsi" w:cstheme="minorHAnsi"/>
              <w:color w:val="000000"/>
              <w:lang w:val="en-US"/>
            </w:rPr>
            <w:t>Maniati</w:t>
          </w:r>
          <w:proofErr w:type="spellEnd"/>
          <w:r w:rsidRPr="004A01B6">
            <w:rPr>
              <w:rFonts w:asciiTheme="minorHAnsi" w:hAnsiTheme="minorHAnsi" w:cstheme="minorHAnsi"/>
              <w:color w:val="000000"/>
              <w:lang w:val="en-US"/>
            </w:rPr>
            <w:t xml:space="preserve"> E, Butterworth C, Burger Ramos M</w:t>
          </w:r>
          <w:r w:rsidRPr="004A01B6">
            <w:rPr>
              <w:rFonts w:asciiTheme="minorHAnsi" w:hAnsiTheme="minorHAnsi" w:cstheme="minorHAnsi"/>
              <w:i/>
              <w:iCs/>
              <w:color w:val="000000"/>
              <w:lang w:val="en-US"/>
            </w:rPr>
            <w:t>. et al</w:t>
          </w:r>
          <w:r w:rsidRPr="004A01B6">
            <w:rPr>
              <w:rFonts w:asciiTheme="minorHAnsi" w:hAnsiTheme="minorHAnsi" w:cstheme="minorHAnsi"/>
              <w:color w:val="000000"/>
              <w:lang w:val="en-US"/>
            </w:rPr>
            <w:t>. Extracellular matrix educates an immunoregulatory tumor macrophage phenotype found in ovarian cancer metastasis</w:t>
          </w:r>
          <w:r w:rsidRPr="004A01B6">
            <w:rPr>
              <w:rFonts w:asciiTheme="minorHAnsi" w:hAnsiTheme="minorHAnsi" w:cstheme="minorHAnsi"/>
              <w:i/>
              <w:iCs/>
              <w:color w:val="000000"/>
              <w:lang w:val="en-US"/>
            </w:rPr>
            <w:t>. Nature Communications</w:t>
          </w:r>
          <w:r w:rsidRPr="004A01B6">
            <w:rPr>
              <w:rFonts w:asciiTheme="minorHAnsi" w:hAnsiTheme="minorHAnsi" w:cstheme="minorHAnsi"/>
              <w:b/>
              <w:bCs/>
              <w:color w:val="000000"/>
              <w:lang w:val="en-US"/>
            </w:rPr>
            <w:t xml:space="preserve"> 14</w:t>
          </w:r>
          <w:r w:rsidRPr="004A01B6">
            <w:rPr>
              <w:rFonts w:asciiTheme="minorHAnsi" w:hAnsiTheme="minorHAnsi" w:cstheme="minorHAnsi"/>
              <w:color w:val="000000"/>
              <w:lang w:val="en-US"/>
            </w:rPr>
            <w:t>, 2514 (2023).</w:t>
          </w:r>
        </w:p>
        <w:p w14:paraId="5AEAF8FC" w14:textId="77777777" w:rsidR="001A0FE7" w:rsidRPr="004A01B6" w:rsidRDefault="001A0FE7" w:rsidP="001A0FE7">
          <w:pPr>
            <w:pStyle w:val="NormalWeb"/>
            <w:snapToGrid w:val="0"/>
            <w:contextualSpacing/>
            <w:divId w:val="597833436"/>
            <w:rPr>
              <w:rFonts w:asciiTheme="minorHAnsi" w:hAnsiTheme="minorHAnsi" w:cstheme="minorHAnsi"/>
              <w:color w:val="000000"/>
              <w:lang w:val="en-US"/>
            </w:rPr>
          </w:pPr>
          <w:r w:rsidRPr="004A01B6">
            <w:rPr>
              <w:rFonts w:asciiTheme="minorHAnsi" w:hAnsiTheme="minorHAnsi" w:cstheme="minorHAnsi"/>
              <w:color w:val="000000"/>
              <w:lang w:val="en-US"/>
            </w:rPr>
            <w:t xml:space="preserve">3. </w:t>
          </w:r>
          <w:proofErr w:type="spellStart"/>
          <w:r w:rsidRPr="004A01B6">
            <w:rPr>
              <w:rFonts w:asciiTheme="minorHAnsi" w:hAnsiTheme="minorHAnsi" w:cstheme="minorHAnsi"/>
              <w:color w:val="000000"/>
              <w:lang w:val="en-US"/>
            </w:rPr>
            <w:t>Fedorec</w:t>
          </w:r>
          <w:proofErr w:type="spellEnd"/>
          <w:r w:rsidRPr="004A01B6">
            <w:rPr>
              <w:rFonts w:asciiTheme="minorHAnsi" w:hAnsiTheme="minorHAnsi" w:cstheme="minorHAnsi"/>
              <w:color w:val="000000"/>
              <w:lang w:val="en-US"/>
            </w:rPr>
            <w:t xml:space="preserve">, A. J., </w:t>
          </w:r>
          <w:proofErr w:type="spellStart"/>
          <w:r w:rsidRPr="004A01B6">
            <w:rPr>
              <w:rFonts w:asciiTheme="minorHAnsi" w:hAnsiTheme="minorHAnsi" w:cstheme="minorHAnsi"/>
              <w:color w:val="000000"/>
              <w:lang w:val="en-US"/>
            </w:rPr>
            <w:t>Ozdemir</w:t>
          </w:r>
          <w:proofErr w:type="spellEnd"/>
          <w:r w:rsidRPr="004A01B6">
            <w:rPr>
              <w:rFonts w:asciiTheme="minorHAnsi" w:hAnsiTheme="minorHAnsi" w:cstheme="minorHAnsi"/>
              <w:color w:val="000000"/>
              <w:lang w:val="en-US"/>
            </w:rPr>
            <w:t xml:space="preserve"> T, Doshi A, Ho Y, Rosa L, Rutter J</w:t>
          </w:r>
          <w:r w:rsidRPr="004A01B6">
            <w:rPr>
              <w:rFonts w:asciiTheme="minorHAnsi" w:hAnsiTheme="minorHAnsi" w:cstheme="minorHAnsi"/>
              <w:i/>
              <w:iCs/>
              <w:color w:val="000000"/>
              <w:lang w:val="en-US"/>
            </w:rPr>
            <w:t>. et al</w:t>
          </w:r>
          <w:r w:rsidRPr="004A01B6">
            <w:rPr>
              <w:rFonts w:asciiTheme="minorHAnsi" w:hAnsiTheme="minorHAnsi" w:cstheme="minorHAnsi"/>
              <w:color w:val="000000"/>
              <w:lang w:val="en-US"/>
            </w:rPr>
            <w:t>. Two new plasmid post-</w:t>
          </w:r>
          <w:proofErr w:type="spellStart"/>
          <w:r w:rsidRPr="004A01B6">
            <w:rPr>
              <w:rFonts w:asciiTheme="minorHAnsi" w:hAnsiTheme="minorHAnsi" w:cstheme="minorHAnsi"/>
              <w:color w:val="000000"/>
              <w:lang w:val="en-US"/>
            </w:rPr>
            <w:t>segregational</w:t>
          </w:r>
          <w:proofErr w:type="spellEnd"/>
          <w:r w:rsidRPr="004A01B6">
            <w:rPr>
              <w:rFonts w:asciiTheme="minorHAnsi" w:hAnsiTheme="minorHAnsi" w:cstheme="minorHAnsi"/>
              <w:color w:val="000000"/>
              <w:lang w:val="en-US"/>
            </w:rPr>
            <w:t xml:space="preserve"> killing mechanisms for the implementation of synthetic gene networks in Escherichia coli</w:t>
          </w:r>
          <w:r w:rsidRPr="004A01B6">
            <w:rPr>
              <w:rFonts w:asciiTheme="minorHAnsi" w:hAnsiTheme="minorHAnsi" w:cstheme="minorHAnsi"/>
              <w:i/>
              <w:iCs/>
              <w:color w:val="000000"/>
              <w:lang w:val="en-US"/>
            </w:rPr>
            <w:t xml:space="preserve">. </w:t>
          </w:r>
          <w:proofErr w:type="spellStart"/>
          <w:r w:rsidRPr="004A01B6">
            <w:rPr>
              <w:rFonts w:asciiTheme="minorHAnsi" w:hAnsiTheme="minorHAnsi" w:cstheme="minorHAnsi"/>
              <w:i/>
              <w:iCs/>
              <w:color w:val="000000"/>
              <w:lang w:val="en-US"/>
            </w:rPr>
            <w:t>Iscience</w:t>
          </w:r>
          <w:proofErr w:type="spellEnd"/>
          <w:r w:rsidRPr="004A01B6">
            <w:rPr>
              <w:rFonts w:asciiTheme="minorHAnsi" w:hAnsiTheme="minorHAnsi" w:cstheme="minorHAnsi"/>
              <w:b/>
              <w:bCs/>
              <w:color w:val="000000"/>
              <w:lang w:val="en-US"/>
            </w:rPr>
            <w:t xml:space="preserve"> 14</w:t>
          </w:r>
          <w:r w:rsidRPr="004A01B6">
            <w:rPr>
              <w:rFonts w:asciiTheme="minorHAnsi" w:hAnsiTheme="minorHAnsi" w:cstheme="minorHAnsi"/>
              <w:color w:val="000000"/>
              <w:lang w:val="en-US"/>
            </w:rPr>
            <w:t>, 323–334 (2019).</w:t>
          </w:r>
        </w:p>
        <w:p w14:paraId="035EB551" w14:textId="77777777" w:rsidR="001A0FE7" w:rsidRPr="004A01B6" w:rsidRDefault="001A0FE7" w:rsidP="001A0FE7">
          <w:pPr>
            <w:pStyle w:val="NormalWeb"/>
            <w:snapToGrid w:val="0"/>
            <w:contextualSpacing/>
            <w:divId w:val="597833436"/>
            <w:rPr>
              <w:rFonts w:asciiTheme="minorHAnsi" w:hAnsiTheme="minorHAnsi" w:cstheme="minorHAnsi"/>
              <w:color w:val="000000"/>
              <w:lang w:val="en-US"/>
            </w:rPr>
          </w:pPr>
          <w:r w:rsidRPr="004A01B6">
            <w:rPr>
              <w:rFonts w:asciiTheme="minorHAnsi" w:hAnsiTheme="minorHAnsi" w:cstheme="minorHAnsi"/>
              <w:color w:val="000000"/>
              <w:lang w:val="en-US"/>
            </w:rPr>
            <w:t xml:space="preserve">4. Kang, S., Jo EJ, Nguyen VH, Zhang Y, Yoon HS, </w:t>
          </w:r>
          <w:proofErr w:type="spellStart"/>
          <w:r w:rsidRPr="004A01B6">
            <w:rPr>
              <w:rFonts w:asciiTheme="minorHAnsi" w:hAnsiTheme="minorHAnsi" w:cstheme="minorHAnsi"/>
              <w:color w:val="000000"/>
              <w:lang w:val="en-US"/>
            </w:rPr>
            <w:t>Pyo</w:t>
          </w:r>
          <w:proofErr w:type="spellEnd"/>
          <w:r w:rsidRPr="004A01B6">
            <w:rPr>
              <w:rFonts w:asciiTheme="minorHAnsi" w:hAnsiTheme="minorHAnsi" w:cstheme="minorHAnsi"/>
              <w:color w:val="000000"/>
              <w:lang w:val="en-US"/>
            </w:rPr>
            <w:t xml:space="preserve"> A</w:t>
          </w:r>
          <w:r w:rsidRPr="004A01B6">
            <w:rPr>
              <w:rFonts w:asciiTheme="minorHAnsi" w:hAnsiTheme="minorHAnsi" w:cstheme="minorHAnsi"/>
              <w:i/>
              <w:iCs/>
              <w:color w:val="000000"/>
              <w:lang w:val="en-US"/>
            </w:rPr>
            <w:t>. et al</w:t>
          </w:r>
          <w:r w:rsidRPr="004A01B6">
            <w:rPr>
              <w:rFonts w:asciiTheme="minorHAnsi" w:hAnsiTheme="minorHAnsi" w:cstheme="minorHAnsi"/>
              <w:color w:val="000000"/>
              <w:lang w:val="en-US"/>
            </w:rPr>
            <w:t>. Imaging of tumor colonization by Escherichia coli using 18F-FDS PET</w:t>
          </w:r>
          <w:r w:rsidRPr="004A01B6">
            <w:rPr>
              <w:rFonts w:asciiTheme="minorHAnsi" w:hAnsiTheme="minorHAnsi" w:cstheme="minorHAnsi"/>
              <w:i/>
              <w:iCs/>
              <w:color w:val="000000"/>
              <w:lang w:val="en-US"/>
            </w:rPr>
            <w:t xml:space="preserve">. </w:t>
          </w:r>
          <w:proofErr w:type="spellStart"/>
          <w:r w:rsidRPr="004A01B6">
            <w:rPr>
              <w:rFonts w:asciiTheme="minorHAnsi" w:hAnsiTheme="minorHAnsi" w:cstheme="minorHAnsi"/>
              <w:i/>
              <w:iCs/>
              <w:color w:val="000000"/>
              <w:lang w:val="en-US"/>
            </w:rPr>
            <w:t>Theranostics</w:t>
          </w:r>
          <w:proofErr w:type="spellEnd"/>
          <w:r w:rsidRPr="004A01B6">
            <w:rPr>
              <w:rFonts w:asciiTheme="minorHAnsi" w:hAnsiTheme="minorHAnsi" w:cstheme="minorHAnsi"/>
              <w:b/>
              <w:bCs/>
              <w:color w:val="000000"/>
              <w:lang w:val="en-US"/>
            </w:rPr>
            <w:t xml:space="preserve"> 10</w:t>
          </w:r>
          <w:r w:rsidRPr="004A01B6">
            <w:rPr>
              <w:rFonts w:asciiTheme="minorHAnsi" w:hAnsiTheme="minorHAnsi" w:cstheme="minorHAnsi"/>
              <w:color w:val="000000"/>
              <w:lang w:val="en-US"/>
            </w:rPr>
            <w:t>, 4958 (2020).</w:t>
          </w:r>
        </w:p>
        <w:p w14:paraId="44A80D2A" w14:textId="635E88C4" w:rsidR="001A0FE7" w:rsidRPr="004A01B6" w:rsidRDefault="007B59FE" w:rsidP="001A0FE7">
          <w:pPr>
            <w:snapToGrid w:val="0"/>
            <w:contextualSpacing/>
            <w:rPr>
              <w:rFonts w:cstheme="minorHAnsi"/>
              <w:lang w:val="en-US"/>
            </w:rPr>
          </w:pPr>
        </w:p>
      </w:sdtContent>
    </w:sdt>
    <w:p w14:paraId="1B9DC065" w14:textId="7EE57AE1" w:rsidR="001A0FE7" w:rsidRPr="004A01B6" w:rsidRDefault="001A0FE7">
      <w:pPr>
        <w:rPr>
          <w:rFonts w:cstheme="minorHAnsi"/>
          <w:lang w:val="en-US"/>
        </w:rPr>
      </w:pPr>
    </w:p>
    <w:sectPr w:rsidR="001A0FE7" w:rsidRPr="004A01B6" w:rsidSect="00313BB1">
      <w:footerReference w:type="even" r:id="rId14"/>
      <w:footerReference w:type="defaul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320DB0" w14:textId="77777777" w:rsidR="00372913" w:rsidRDefault="00372913" w:rsidP="00372913">
      <w:r>
        <w:separator/>
      </w:r>
    </w:p>
  </w:endnote>
  <w:endnote w:type="continuationSeparator" w:id="0">
    <w:p w14:paraId="6C1EDAF5" w14:textId="77777777" w:rsidR="00372913" w:rsidRDefault="00372913" w:rsidP="00372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61702572"/>
      <w:docPartObj>
        <w:docPartGallery w:val="Page Numbers (Bottom of Page)"/>
        <w:docPartUnique/>
      </w:docPartObj>
    </w:sdtPr>
    <w:sdtContent>
      <w:p w14:paraId="492243A1" w14:textId="2832DE80" w:rsidR="00372913" w:rsidRDefault="00372913" w:rsidP="00344F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6B72DD" w14:textId="77777777" w:rsidR="00372913" w:rsidRDefault="00372913" w:rsidP="00DE189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13534213"/>
      <w:docPartObj>
        <w:docPartGallery w:val="Page Numbers (Bottom of Page)"/>
        <w:docPartUnique/>
      </w:docPartObj>
    </w:sdtPr>
    <w:sdtContent>
      <w:p w14:paraId="50210E33" w14:textId="59E1AF92" w:rsidR="00372913" w:rsidRDefault="00372913" w:rsidP="00344F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8B1E96" w14:textId="77777777" w:rsidR="00372913" w:rsidRDefault="00372913" w:rsidP="00DE189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F081FA" w14:textId="77777777" w:rsidR="00372913" w:rsidRDefault="00372913" w:rsidP="00372913">
      <w:r>
        <w:separator/>
      </w:r>
    </w:p>
  </w:footnote>
  <w:footnote w:type="continuationSeparator" w:id="0">
    <w:p w14:paraId="789B593E" w14:textId="77777777" w:rsidR="00372913" w:rsidRDefault="00372913" w:rsidP="003729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A30D8D"/>
    <w:multiLevelType w:val="multilevel"/>
    <w:tmpl w:val="3D32F99C"/>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CFF2011"/>
    <w:multiLevelType w:val="multilevel"/>
    <w:tmpl w:val="70EEF3AA"/>
    <w:styleLink w:val="Style8"/>
    <w:lvl w:ilvl="0">
      <w:start w:val="2"/>
      <w:numFmt w:val="decimal"/>
      <w:lvlText w:val="%1"/>
      <w:lvlJc w:val="left"/>
      <w:pPr>
        <w:ind w:left="792" w:hanging="432"/>
      </w:pPr>
      <w:rPr>
        <w:rFonts w:hint="default"/>
        <w:b/>
        <w:sz w:val="24"/>
      </w:rPr>
    </w:lvl>
    <w:lvl w:ilvl="1">
      <w:start w:val="1"/>
      <w:numFmt w:val="decimal"/>
      <w:lvlText w:val="%1.%2"/>
      <w:lvlJc w:val="left"/>
      <w:pPr>
        <w:ind w:left="576" w:hanging="576"/>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2" w15:restartNumberingAfterBreak="0">
    <w:nsid w:val="6EAF7C35"/>
    <w:multiLevelType w:val="multilevel"/>
    <w:tmpl w:val="0C149A1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
  </w:num>
  <w:num w:numId="2">
    <w:abstractNumId w:val="2"/>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093"/>
    <w:rsid w:val="00015091"/>
    <w:rsid w:val="00034C73"/>
    <w:rsid w:val="000355DC"/>
    <w:rsid w:val="00052428"/>
    <w:rsid w:val="00075A46"/>
    <w:rsid w:val="000B7853"/>
    <w:rsid w:val="00134EA4"/>
    <w:rsid w:val="001628F7"/>
    <w:rsid w:val="001A0FE7"/>
    <w:rsid w:val="001D6AEA"/>
    <w:rsid w:val="001E41B9"/>
    <w:rsid w:val="001F4093"/>
    <w:rsid w:val="00213042"/>
    <w:rsid w:val="00232ED0"/>
    <w:rsid w:val="0023423E"/>
    <w:rsid w:val="00243878"/>
    <w:rsid w:val="00273821"/>
    <w:rsid w:val="002A5035"/>
    <w:rsid w:val="002B1762"/>
    <w:rsid w:val="00313BB1"/>
    <w:rsid w:val="003142BF"/>
    <w:rsid w:val="003366E4"/>
    <w:rsid w:val="00362311"/>
    <w:rsid w:val="00367160"/>
    <w:rsid w:val="00372913"/>
    <w:rsid w:val="00377D15"/>
    <w:rsid w:val="00383474"/>
    <w:rsid w:val="003B3CA0"/>
    <w:rsid w:val="00434205"/>
    <w:rsid w:val="004342BC"/>
    <w:rsid w:val="0045281D"/>
    <w:rsid w:val="004A01B6"/>
    <w:rsid w:val="004E1BEF"/>
    <w:rsid w:val="005179B6"/>
    <w:rsid w:val="005941F7"/>
    <w:rsid w:val="005B3624"/>
    <w:rsid w:val="00615388"/>
    <w:rsid w:val="006C6AE9"/>
    <w:rsid w:val="006E37D1"/>
    <w:rsid w:val="007208DF"/>
    <w:rsid w:val="00741C0C"/>
    <w:rsid w:val="007B59FE"/>
    <w:rsid w:val="00837F6E"/>
    <w:rsid w:val="00857C9C"/>
    <w:rsid w:val="0086568C"/>
    <w:rsid w:val="0087433D"/>
    <w:rsid w:val="008E5E73"/>
    <w:rsid w:val="00912FFF"/>
    <w:rsid w:val="0092595A"/>
    <w:rsid w:val="00936AAC"/>
    <w:rsid w:val="009535D7"/>
    <w:rsid w:val="00963F2D"/>
    <w:rsid w:val="009D071E"/>
    <w:rsid w:val="009D6574"/>
    <w:rsid w:val="009D7BAE"/>
    <w:rsid w:val="00A13019"/>
    <w:rsid w:val="00A21B09"/>
    <w:rsid w:val="00A22F08"/>
    <w:rsid w:val="00A35412"/>
    <w:rsid w:val="00A70C4F"/>
    <w:rsid w:val="00A8075A"/>
    <w:rsid w:val="00AA01C1"/>
    <w:rsid w:val="00AB3707"/>
    <w:rsid w:val="00B55331"/>
    <w:rsid w:val="00B6114C"/>
    <w:rsid w:val="00BD226B"/>
    <w:rsid w:val="00BD467E"/>
    <w:rsid w:val="00CC5F0E"/>
    <w:rsid w:val="00CD554B"/>
    <w:rsid w:val="00CE5BE7"/>
    <w:rsid w:val="00D03C70"/>
    <w:rsid w:val="00D5416C"/>
    <w:rsid w:val="00D57E84"/>
    <w:rsid w:val="00D766BC"/>
    <w:rsid w:val="00D80B46"/>
    <w:rsid w:val="00DD2968"/>
    <w:rsid w:val="00DE189F"/>
    <w:rsid w:val="00E16F6A"/>
    <w:rsid w:val="00E17AE0"/>
    <w:rsid w:val="00E20493"/>
    <w:rsid w:val="00E87FF6"/>
    <w:rsid w:val="00EA207E"/>
    <w:rsid w:val="00EA66F3"/>
    <w:rsid w:val="00EC0496"/>
    <w:rsid w:val="00EC4EEC"/>
    <w:rsid w:val="00EE48AF"/>
    <w:rsid w:val="00F22AED"/>
    <w:rsid w:val="00F53EE8"/>
    <w:rsid w:val="00F6159F"/>
    <w:rsid w:val="00F73825"/>
    <w:rsid w:val="00FC521F"/>
    <w:rsid w:val="00FD3CB2"/>
    <w:rsid w:val="00FD7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0112F"/>
  <w15:chartTrackingRefBased/>
  <w15:docId w15:val="{232EE285-6426-F043-B5F8-4F732108D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autoRedefine/>
    <w:unhideWhenUsed/>
    <w:qFormat/>
    <w:rsid w:val="00313BB1"/>
    <w:pPr>
      <w:keepNext/>
      <w:numPr>
        <w:ilvl w:val="1"/>
        <w:numId w:val="4"/>
      </w:numPr>
      <w:spacing w:before="240" w:after="60" w:line="360" w:lineRule="auto"/>
      <w:ind w:left="576" w:hanging="576"/>
      <w:outlineLvl w:val="1"/>
    </w:pPr>
    <w:rPr>
      <w:rFonts w:eastAsia="SimSun"/>
      <w:b/>
      <w:bCs/>
      <w:iCs/>
      <w:color w:val="000000" w:themeColor="text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8">
    <w:name w:val="Style8"/>
    <w:uiPriority w:val="99"/>
    <w:rsid w:val="00313BB1"/>
    <w:pPr>
      <w:numPr>
        <w:numId w:val="1"/>
      </w:numPr>
    </w:pPr>
  </w:style>
  <w:style w:type="character" w:customStyle="1" w:styleId="Heading2Char">
    <w:name w:val="Heading 2 Char"/>
    <w:link w:val="Heading2"/>
    <w:rsid w:val="00313BB1"/>
    <w:rPr>
      <w:rFonts w:eastAsia="SimSun"/>
      <w:b/>
      <w:bCs/>
      <w:iCs/>
      <w:color w:val="000000" w:themeColor="text1"/>
      <w:szCs w:val="22"/>
    </w:rPr>
  </w:style>
  <w:style w:type="character" w:styleId="CommentReference">
    <w:name w:val="annotation reference"/>
    <w:basedOn w:val="DefaultParagraphFont"/>
    <w:uiPriority w:val="99"/>
    <w:semiHidden/>
    <w:unhideWhenUsed/>
    <w:rsid w:val="00A13019"/>
    <w:rPr>
      <w:sz w:val="16"/>
      <w:szCs w:val="16"/>
    </w:rPr>
  </w:style>
  <w:style w:type="paragraph" w:styleId="CommentText">
    <w:name w:val="annotation text"/>
    <w:basedOn w:val="Normal"/>
    <w:link w:val="CommentTextChar"/>
    <w:uiPriority w:val="99"/>
    <w:unhideWhenUsed/>
    <w:rsid w:val="00A13019"/>
    <w:rPr>
      <w:sz w:val="20"/>
      <w:szCs w:val="20"/>
    </w:rPr>
  </w:style>
  <w:style w:type="character" w:customStyle="1" w:styleId="CommentTextChar">
    <w:name w:val="Comment Text Char"/>
    <w:basedOn w:val="DefaultParagraphFont"/>
    <w:link w:val="CommentText"/>
    <w:uiPriority w:val="99"/>
    <w:rsid w:val="00A13019"/>
    <w:rPr>
      <w:sz w:val="20"/>
      <w:szCs w:val="20"/>
    </w:rPr>
  </w:style>
  <w:style w:type="paragraph" w:styleId="CommentSubject">
    <w:name w:val="annotation subject"/>
    <w:basedOn w:val="CommentText"/>
    <w:next w:val="CommentText"/>
    <w:link w:val="CommentSubjectChar"/>
    <w:uiPriority w:val="99"/>
    <w:semiHidden/>
    <w:unhideWhenUsed/>
    <w:rsid w:val="006E37D1"/>
    <w:rPr>
      <w:b/>
      <w:bCs/>
    </w:rPr>
  </w:style>
  <w:style w:type="character" w:customStyle="1" w:styleId="CommentSubjectChar">
    <w:name w:val="Comment Subject Char"/>
    <w:basedOn w:val="CommentTextChar"/>
    <w:link w:val="CommentSubject"/>
    <w:uiPriority w:val="99"/>
    <w:semiHidden/>
    <w:rsid w:val="006E37D1"/>
    <w:rPr>
      <w:b/>
      <w:bCs/>
      <w:sz w:val="20"/>
      <w:szCs w:val="20"/>
    </w:rPr>
  </w:style>
  <w:style w:type="paragraph" w:styleId="Revision">
    <w:name w:val="Revision"/>
    <w:hidden/>
    <w:uiPriority w:val="99"/>
    <w:semiHidden/>
    <w:rsid w:val="00362311"/>
  </w:style>
  <w:style w:type="character" w:styleId="PlaceholderText">
    <w:name w:val="Placeholder Text"/>
    <w:basedOn w:val="DefaultParagraphFont"/>
    <w:uiPriority w:val="99"/>
    <w:semiHidden/>
    <w:rsid w:val="001A0FE7"/>
    <w:rPr>
      <w:color w:val="808080"/>
    </w:rPr>
  </w:style>
  <w:style w:type="paragraph" w:styleId="NormalWeb">
    <w:name w:val="Normal (Web)"/>
    <w:basedOn w:val="Normal"/>
    <w:uiPriority w:val="99"/>
    <w:semiHidden/>
    <w:unhideWhenUsed/>
    <w:rsid w:val="001A0FE7"/>
    <w:pPr>
      <w:spacing w:before="100" w:beforeAutospacing="1" w:after="100" w:afterAutospacing="1"/>
    </w:pPr>
    <w:rPr>
      <w:rFonts w:ascii="Times New Roman" w:eastAsiaTheme="minorEastAsia" w:hAnsi="Times New Roman" w:cs="Times New Roman"/>
      <w:lang w:eastAsia="en-GB"/>
    </w:rPr>
  </w:style>
  <w:style w:type="paragraph" w:styleId="Footer">
    <w:name w:val="footer"/>
    <w:basedOn w:val="Normal"/>
    <w:link w:val="FooterChar"/>
    <w:uiPriority w:val="99"/>
    <w:unhideWhenUsed/>
    <w:rsid w:val="00372913"/>
    <w:pPr>
      <w:tabs>
        <w:tab w:val="center" w:pos="4513"/>
        <w:tab w:val="right" w:pos="9026"/>
      </w:tabs>
    </w:pPr>
  </w:style>
  <w:style w:type="character" w:customStyle="1" w:styleId="FooterChar">
    <w:name w:val="Footer Char"/>
    <w:basedOn w:val="DefaultParagraphFont"/>
    <w:link w:val="Footer"/>
    <w:uiPriority w:val="99"/>
    <w:rsid w:val="00372913"/>
  </w:style>
  <w:style w:type="character" w:styleId="PageNumber">
    <w:name w:val="page number"/>
    <w:basedOn w:val="DefaultParagraphFont"/>
    <w:uiPriority w:val="99"/>
    <w:semiHidden/>
    <w:unhideWhenUsed/>
    <w:rsid w:val="003729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7833436">
      <w:bodyDiv w:val="1"/>
      <w:marLeft w:val="0"/>
      <w:marRight w:val="0"/>
      <w:marTop w:val="0"/>
      <w:marBottom w:val="0"/>
      <w:divBdr>
        <w:top w:val="none" w:sz="0" w:space="0" w:color="auto"/>
        <w:left w:val="none" w:sz="0" w:space="0" w:color="auto"/>
        <w:bottom w:val="none" w:sz="0" w:space="0" w:color="auto"/>
        <w:right w:val="none" w:sz="0" w:space="0" w:color="auto"/>
      </w:divBdr>
    </w:div>
    <w:div w:id="844704731">
      <w:bodyDiv w:val="1"/>
      <w:marLeft w:val="0"/>
      <w:marRight w:val="0"/>
      <w:marTop w:val="0"/>
      <w:marBottom w:val="0"/>
      <w:divBdr>
        <w:top w:val="none" w:sz="0" w:space="0" w:color="auto"/>
        <w:left w:val="none" w:sz="0" w:space="0" w:color="auto"/>
        <w:bottom w:val="none" w:sz="0" w:space="0" w:color="auto"/>
        <w:right w:val="none" w:sz="0" w:space="0" w:color="auto"/>
      </w:divBdr>
    </w:div>
    <w:div w:id="1296448062">
      <w:bodyDiv w:val="1"/>
      <w:marLeft w:val="0"/>
      <w:marRight w:val="0"/>
      <w:marTop w:val="0"/>
      <w:marBottom w:val="0"/>
      <w:divBdr>
        <w:top w:val="none" w:sz="0" w:space="0" w:color="auto"/>
        <w:left w:val="none" w:sz="0" w:space="0" w:color="auto"/>
        <w:bottom w:val="none" w:sz="0" w:space="0" w:color="auto"/>
        <w:right w:val="none" w:sz="0" w:space="0" w:color="auto"/>
      </w:divBdr>
    </w:div>
    <w:div w:id="1926300410">
      <w:bodyDiv w:val="1"/>
      <w:marLeft w:val="0"/>
      <w:marRight w:val="0"/>
      <w:marTop w:val="0"/>
      <w:marBottom w:val="0"/>
      <w:divBdr>
        <w:top w:val="none" w:sz="0" w:space="0" w:color="auto"/>
        <w:left w:val="none" w:sz="0" w:space="0" w:color="auto"/>
        <w:bottom w:val="none" w:sz="0" w:space="0" w:color="auto"/>
        <w:right w:val="none" w:sz="0" w:space="0" w:color="auto"/>
      </w:divBdr>
    </w:div>
    <w:div w:id="1932931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f"/><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22FB24867094D489F9D2246C5E98CF8"/>
        <w:category>
          <w:name w:val="General"/>
          <w:gallery w:val="placeholder"/>
        </w:category>
        <w:types>
          <w:type w:val="bbPlcHdr"/>
        </w:types>
        <w:behaviors>
          <w:behavior w:val="content"/>
        </w:behaviors>
        <w:guid w:val="{7A74A135-881C-7E4A-9DC9-B3BB03FD5EB7}"/>
      </w:docPartPr>
      <w:docPartBody>
        <w:p w:rsidR="00765B80" w:rsidRDefault="009E700C" w:rsidP="009E700C">
          <w:pPr>
            <w:pStyle w:val="122FB24867094D489F9D2246C5E98CF8"/>
          </w:pPr>
          <w:r w:rsidRPr="002116F5">
            <w:rPr>
              <w:rStyle w:val="PlaceholderText"/>
            </w:rPr>
            <w:t>Formatting...</w:t>
          </w:r>
        </w:p>
      </w:docPartBody>
    </w:docPart>
    <w:docPart>
      <w:docPartPr>
        <w:name w:val="9D09F3D1B0CAB4409578F2267F45978B"/>
        <w:category>
          <w:name w:val="General"/>
          <w:gallery w:val="placeholder"/>
        </w:category>
        <w:types>
          <w:type w:val="bbPlcHdr"/>
        </w:types>
        <w:behaviors>
          <w:behavior w:val="content"/>
        </w:behaviors>
        <w:guid w:val="{B4FA1EC0-6194-D54F-8DA1-2E2ABCD3296F}"/>
      </w:docPartPr>
      <w:docPartBody>
        <w:p w:rsidR="00765B80" w:rsidRDefault="009E700C" w:rsidP="009E700C">
          <w:pPr>
            <w:pStyle w:val="9D09F3D1B0CAB4409578F2267F45978B"/>
          </w:pPr>
          <w:r w:rsidRPr="002116F5">
            <w:rPr>
              <w:rStyle w:val="PlaceholderText"/>
            </w:rPr>
            <w:t>Formatting...</w:t>
          </w:r>
        </w:p>
      </w:docPartBody>
    </w:docPart>
    <w:docPart>
      <w:docPartPr>
        <w:name w:val="22FC3F0F5BC2194EA7199BFA9EB461C3"/>
        <w:category>
          <w:name w:val="General"/>
          <w:gallery w:val="placeholder"/>
        </w:category>
        <w:types>
          <w:type w:val="bbPlcHdr"/>
        </w:types>
        <w:behaviors>
          <w:behavior w:val="content"/>
        </w:behaviors>
        <w:guid w:val="{CEE9FE6B-00B2-594C-881F-618DA6BA61FC}"/>
      </w:docPartPr>
      <w:docPartBody>
        <w:p w:rsidR="00765B80" w:rsidRDefault="009E700C" w:rsidP="009E700C">
          <w:pPr>
            <w:pStyle w:val="22FC3F0F5BC2194EA7199BFA9EB461C3"/>
          </w:pPr>
          <w:r w:rsidRPr="002116F5">
            <w:rPr>
              <w:rStyle w:val="PlaceholderText"/>
            </w:rPr>
            <w:t>Formatting...</w:t>
          </w:r>
        </w:p>
      </w:docPartBody>
    </w:docPart>
    <w:docPart>
      <w:docPartPr>
        <w:name w:val="23003D5BBBED6845AB9B835F4ABDC74C"/>
        <w:category>
          <w:name w:val="General"/>
          <w:gallery w:val="placeholder"/>
        </w:category>
        <w:types>
          <w:type w:val="bbPlcHdr"/>
        </w:types>
        <w:behaviors>
          <w:behavior w:val="content"/>
        </w:behaviors>
        <w:guid w:val="{1EA73419-C879-2B47-BA66-D87F6621E735}"/>
      </w:docPartPr>
      <w:docPartBody>
        <w:p w:rsidR="003E389E" w:rsidRDefault="00F816BD">
          <w:r w:rsidRPr="00186E20">
            <w:rPr>
              <w:rStyle w:val="PlaceholderText"/>
            </w:rPr>
            <w:t>Formatting...</w:t>
          </w:r>
        </w:p>
      </w:docPartBody>
    </w:docPart>
    <w:docPart>
      <w:docPartPr>
        <w:name w:val="F02E69E800BAAE4BBFCA0CE108E06EFC"/>
        <w:category>
          <w:name w:val="General"/>
          <w:gallery w:val="placeholder"/>
        </w:category>
        <w:types>
          <w:type w:val="bbPlcHdr"/>
        </w:types>
        <w:behaviors>
          <w:behavior w:val="content"/>
        </w:behaviors>
        <w:guid w:val="{D631CEC9-ECE6-9040-B123-36BE684DD4C2}"/>
      </w:docPartPr>
      <w:docPartBody>
        <w:p w:rsidR="003E389E" w:rsidRDefault="00F816BD">
          <w:r w:rsidRPr="00186E20">
            <w:rPr>
              <w:rStyle w:val="PlaceholderText"/>
            </w:rPr>
            <w:t>Formatting Bibliography...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00C"/>
    <w:rsid w:val="003E389E"/>
    <w:rsid w:val="00423254"/>
    <w:rsid w:val="004C0ECD"/>
    <w:rsid w:val="00615388"/>
    <w:rsid w:val="006E386A"/>
    <w:rsid w:val="00765B80"/>
    <w:rsid w:val="009E700C"/>
    <w:rsid w:val="00E20493"/>
    <w:rsid w:val="00F816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16BD"/>
    <w:rPr>
      <w:color w:val="808080"/>
    </w:rPr>
  </w:style>
  <w:style w:type="paragraph" w:customStyle="1" w:styleId="122FB24867094D489F9D2246C5E98CF8">
    <w:name w:val="122FB24867094D489F9D2246C5E98CF8"/>
    <w:rsid w:val="009E700C"/>
  </w:style>
  <w:style w:type="paragraph" w:customStyle="1" w:styleId="9D09F3D1B0CAB4409578F2267F45978B">
    <w:name w:val="9D09F3D1B0CAB4409578F2267F45978B"/>
    <w:rsid w:val="009E700C"/>
  </w:style>
  <w:style w:type="paragraph" w:customStyle="1" w:styleId="22FC3F0F5BC2194EA7199BFA9EB461C3">
    <w:name w:val="22FC3F0F5BC2194EA7199BFA9EB461C3"/>
    <w:rsid w:val="009E70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0620821-5D29-7D4C-8F4B-F800EA569CD9}">
  <we:reference id="8c1c3d44-57e9-40d7-86e4-4adf61fea1dd" version="2.1.0.1" store="EXCatalog" storeType="EXCatalog"/>
  <we:alternateReferences>
    <we:reference id="WA104380122" version="2.1.0.1" store="en-US" storeType="OMEX"/>
  </we:alternateReferences>
  <we:properties>
    <we:property name="citations" value="{&quot;801427358&quot;:{&quot;referencesIds&quot;:[&quot;doc:66b6197d3a0f8f40ba42f47d&quot;],&quot;referencesOptions&quot;:{&quot;doc:66b6197d3a0f8f40ba42f47d&quot;:{&quot;author&quot;:true,&quot;year&quot;:true,&quot;pageReplace&quot;:&quot;&quot;,&quot;prefix&quot;:&quot;&quot;,&quot;suffix&quot;:&quot;&quot;}},&quot;hasBrokenReferences&quot;:false,&quot;hasManualEdits&quot;:false,&quot;citationType&quot;:&quot;inline&quot;,&quot;id&quot;:801427358,&quot;citationText&quot;:&quot;&lt;span style=\&quot;font-family:Calibri;font-size:16px;color:#000000\&quot;&gt;&lt;sup&gt;4&lt;/sup&gt;&lt;/span&gt;&quot;},&quot;-504208355&quot;:{&quot;referencesIds&quot;:[&quot;doc:66992e96dab8521fe970e7c0&quot;],&quot;referencesOptions&quot;:{&quot;doc:66992e96dab8521fe970e7c0&quot;:{&quot;author&quot;:true,&quot;year&quot;:true,&quot;pageReplace&quot;:&quot;&quot;,&quot;prefix&quot;:&quot;&quot;,&quot;suffix&quot;:&quot;&quot;}},&quot;hasBrokenReferences&quot;:false,&quot;hasManualEdits&quot;:false,&quot;citationType&quot;:&quot;inline&quot;,&quot;id&quot;:-504208355,&quot;citationText&quot;:&quot;&lt;span style=\&quot;font-family:Calibri;font-size:16px;color:#000000\&quot;&gt;&lt;sup&gt;1&lt;/sup&gt;&lt;/span&gt;&quot;},&quot;-257135926&quot;:{&quot;referencesIds&quot;:[&quot;doc:66993e0efe99574866a60e03&quot;],&quot;referencesOptions&quot;:{&quot;doc:66993e0efe99574866a60e03&quot;:{&quot;author&quot;:true,&quot;year&quot;:true,&quot;pageReplace&quot;:&quot;&quot;,&quot;prefix&quot;:&quot;&quot;,&quot;suffix&quot;:&quot;&quot;}},&quot;hasBrokenReferences&quot;:false,&quot;hasManualEdits&quot;:false,&quot;citationType&quot;:&quot;inline&quot;,&quot;id&quot;:-257135926,&quot;citationText&quot;:&quot;&lt;span style=\&quot;font-family:Calibri;font-size:16px;color:#000000\&quot;&gt;&lt;sup&gt;2&lt;/sup&gt;&lt;/span&gt;&quot;},&quot;-590464374&quot;:{&quot;referencesIds&quot;:[&quot;doc:669924ecfe99574866a60b2d&quot;],&quot;referencesOptions&quot;:{&quot;doc:669924ecfe99574866a60b2d&quot;:{&quot;author&quot;:true,&quot;year&quot;:true,&quot;pageReplace&quot;:&quot;&quot;,&quot;prefix&quot;:&quot;&quot;,&quot;suffix&quot;:&quot;&quot;}},&quot;hasBrokenReferences&quot;:false,&quot;hasManualEdits&quot;:false,&quot;citationType&quot;:&quot;inline&quot;,&quot;id&quot;:-590464374,&quot;citationText&quot;:&quot;&lt;span style=\&quot;font-family:Calibri;font-size:16px;color:#000000\&quot;&gt;&lt;sup&gt;3&lt;/sup&gt;&lt;/span&gt;&quot;}}"/>
    <we:property name="currentFolder" value="{&quot;depth&quot;:0,&quot;id&quot;:&quot;LastImported&quot;,&quot;name&quot;:&quot;Last imported&quot;,&quot;parentId&quot;:null,&quot;position&quot;:-1,&quot;isShared&quot;:false}"/>
    <we:property name="currentStyle" value="{&quot;id&quot;:&quot;rwuserstyle:658426b7906511756933fdea&quot;,&quot;styleType&quot;:&quot;refworks&quot;,&quot;name&quot;:&quot;BJC Vancouver&quot;,&quot;userId&quot;:&quot;user:5d89d77ce4b030b4e057354e&quot;,&quot;isInstitutional&quot;:false,&quot;citeStyle&quot;:&quot;INTEXT_ONLY&quot;,&quot;isSorted&quot;:false,&quot;usesNumbers&quot;:true,&quot;authorDisambiguation&quot;:&quot;surname_firstname&quot;}"/>
    <we:property name="rcm.version" value="2"/>
    <we:property name="bibliographyEnabled" value="&quot;bibliographyEnabled&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12</Pages>
  <Words>2698</Words>
  <Characters>15381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Panagi</dc:creator>
  <cp:keywords/>
  <dc:description/>
  <cp:lastModifiedBy>M. Panagi</cp:lastModifiedBy>
  <cp:revision>2</cp:revision>
  <dcterms:created xsi:type="dcterms:W3CDTF">2024-09-05T08:00:00Z</dcterms:created>
  <dcterms:modified xsi:type="dcterms:W3CDTF">2024-09-05T08:00:00Z</dcterms:modified>
</cp:coreProperties>
</file>