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86DE">
      <w:pPr>
        <w:pStyle w:val="2"/>
        <w:rPr>
          <w:rFonts w:hint="default"/>
          <w:lang w:val="en-US"/>
        </w:rPr>
      </w:pPr>
      <w:r>
        <w:rPr>
          <w:rFonts w:hint="default"/>
          <w:lang w:val="en-US"/>
        </w:rPr>
        <w:t xml:space="preserve">Table 2: </w:t>
      </w:r>
      <w:r>
        <w:t xml:space="preserve">Patient Demographic </w:t>
      </w:r>
      <w:r>
        <w:rPr>
          <w:spacing w:val="-4"/>
        </w:rPr>
        <w:t>Data</w:t>
      </w:r>
      <w:r>
        <w:rPr>
          <w:rFonts w:hint="default"/>
          <w:spacing w:val="-4"/>
          <w:lang w:val="en-US"/>
        </w:rPr>
        <w:t>, stone character and stone free rate:</w:t>
      </w:r>
    </w:p>
    <w:p w14:paraId="194FFF44">
      <w:pPr>
        <w:pStyle w:val="5"/>
        <w:spacing w:before="105"/>
        <w:rPr>
          <w:b/>
          <w:sz w:val="20"/>
        </w:rPr>
      </w:pPr>
    </w:p>
    <w:tbl>
      <w:tblPr>
        <w:tblStyle w:val="4"/>
        <w:tblW w:w="0" w:type="auto"/>
        <w:tblInd w:w="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466"/>
        <w:gridCol w:w="2012"/>
        <w:gridCol w:w="833"/>
        <w:gridCol w:w="2007"/>
      </w:tblGrid>
      <w:tr w14:paraId="713F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760" w:type="dxa"/>
          </w:tcPr>
          <w:p w14:paraId="7A44A627">
            <w:pPr>
              <w:pStyle w:val="7"/>
              <w:spacing w:before="127"/>
              <w:ind w:lef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Characteristic</w:t>
            </w:r>
          </w:p>
          <w:p w14:paraId="75189F08">
            <w:pPr>
              <w:pStyle w:val="7"/>
              <w:spacing w:before="19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1466" w:type="dxa"/>
          </w:tcPr>
          <w:p w14:paraId="735ED39D">
            <w:pPr>
              <w:pStyle w:val="7"/>
              <w:spacing w:before="0"/>
              <w:ind w:left="501" w:right="177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Group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 (n=59)</w:t>
            </w:r>
          </w:p>
        </w:tc>
        <w:tc>
          <w:tcPr>
            <w:tcW w:w="2012" w:type="dxa"/>
          </w:tcPr>
          <w:p w14:paraId="0545CBE1">
            <w:pPr>
              <w:pStyle w:val="7"/>
              <w:spacing w:before="12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(n=180)</w:t>
            </w:r>
          </w:p>
        </w:tc>
        <w:tc>
          <w:tcPr>
            <w:tcW w:w="833" w:type="dxa"/>
          </w:tcPr>
          <w:p w14:paraId="549671DC">
            <w:pPr>
              <w:pStyle w:val="7"/>
              <w:spacing w:before="127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P-</w:t>
            </w:r>
            <w:r>
              <w:rPr>
                <w:b/>
                <w:spacing w:val="-2"/>
                <w:sz w:val="24"/>
              </w:rPr>
              <w:t>value</w:t>
            </w:r>
          </w:p>
        </w:tc>
        <w:tc>
          <w:tcPr>
            <w:tcW w:w="2007" w:type="dxa"/>
          </w:tcPr>
          <w:p w14:paraId="1A32D3B8">
            <w:pPr>
              <w:pStyle w:val="7"/>
              <w:spacing w:before="127"/>
              <w:ind w:left="3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Significance</w:t>
            </w:r>
          </w:p>
          <w:p w14:paraId="6A843B6A">
            <w:pPr>
              <w:pStyle w:val="7"/>
              <w:spacing w:before="198"/>
              <w:ind w:left="31"/>
              <w:rPr>
                <w:sz w:val="24"/>
              </w:rPr>
            </w:pPr>
            <w:r>
              <w:rPr>
                <w:sz w:val="24"/>
              </w:rPr>
              <w:t xml:space="preserve">Chi-square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377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5FF6F19B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1466" w:type="dxa"/>
          </w:tcPr>
          <w:p w14:paraId="02AE5A91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37 </w:t>
            </w:r>
            <w:r>
              <w:rPr>
                <w:spacing w:val="-2"/>
                <w:sz w:val="24"/>
              </w:rPr>
              <w:t>(63.2%)</w:t>
            </w:r>
          </w:p>
        </w:tc>
        <w:tc>
          <w:tcPr>
            <w:tcW w:w="2012" w:type="dxa"/>
          </w:tcPr>
          <w:p w14:paraId="23471DBB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(65.5%)</w:t>
            </w:r>
          </w:p>
        </w:tc>
        <w:tc>
          <w:tcPr>
            <w:tcW w:w="833" w:type="dxa"/>
          </w:tcPr>
          <w:p w14:paraId="40AE1BC5">
            <w:pPr>
              <w:pStyle w:val="7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0.81</w:t>
            </w:r>
          </w:p>
        </w:tc>
        <w:tc>
          <w:tcPr>
            <w:tcW w:w="2007" w:type="dxa"/>
          </w:tcPr>
          <w:p w14:paraId="2E8F5719">
            <w:pPr>
              <w:pStyle w:val="7"/>
              <w:spacing w:before="0"/>
              <w:rPr>
                <w:sz w:val="24"/>
              </w:rPr>
            </w:pPr>
          </w:p>
        </w:tc>
      </w:tr>
      <w:tr w14:paraId="5F8D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46E60C22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1466" w:type="dxa"/>
          </w:tcPr>
          <w:p w14:paraId="641AFEA7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(36.8%)</w:t>
            </w:r>
          </w:p>
        </w:tc>
        <w:tc>
          <w:tcPr>
            <w:tcW w:w="2012" w:type="dxa"/>
          </w:tcPr>
          <w:p w14:paraId="05E319BE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  <w:r>
              <w:rPr>
                <w:spacing w:val="-2"/>
                <w:sz w:val="24"/>
              </w:rPr>
              <w:t>(34.5%)</w:t>
            </w:r>
          </w:p>
        </w:tc>
        <w:tc>
          <w:tcPr>
            <w:tcW w:w="833" w:type="dxa"/>
          </w:tcPr>
          <w:p w14:paraId="14086F39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5071E902">
            <w:pPr>
              <w:pStyle w:val="7"/>
              <w:spacing w:before="0"/>
              <w:rPr>
                <w:sz w:val="24"/>
              </w:rPr>
            </w:pPr>
          </w:p>
        </w:tc>
      </w:tr>
      <w:tr w14:paraId="5447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196B9695">
            <w:pPr>
              <w:pStyle w:val="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Diabetes </w:t>
            </w:r>
            <w:r>
              <w:rPr>
                <w:b/>
                <w:spacing w:val="-2"/>
                <w:sz w:val="24"/>
              </w:rPr>
              <w:t>Mellitus</w:t>
            </w:r>
          </w:p>
        </w:tc>
        <w:tc>
          <w:tcPr>
            <w:tcW w:w="1466" w:type="dxa"/>
          </w:tcPr>
          <w:p w14:paraId="7E199680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12" w:type="dxa"/>
          </w:tcPr>
          <w:p w14:paraId="25353669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833" w:type="dxa"/>
          </w:tcPr>
          <w:p w14:paraId="1C2A77D1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271E404A">
            <w:pPr>
              <w:pStyle w:val="7"/>
              <w:ind w:left="31"/>
              <w:rPr>
                <w:sz w:val="24"/>
              </w:rPr>
            </w:pPr>
            <w:r>
              <w:rPr>
                <w:sz w:val="24"/>
              </w:rPr>
              <w:t xml:space="preserve">Chi-square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08A2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193777C3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Diabetic</w:t>
            </w:r>
          </w:p>
        </w:tc>
        <w:tc>
          <w:tcPr>
            <w:tcW w:w="1466" w:type="dxa"/>
          </w:tcPr>
          <w:p w14:paraId="6A353770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(20.33%)</w:t>
            </w:r>
          </w:p>
        </w:tc>
        <w:tc>
          <w:tcPr>
            <w:tcW w:w="2012" w:type="dxa"/>
          </w:tcPr>
          <w:p w14:paraId="71B5D70C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2"/>
                <w:sz w:val="24"/>
              </w:rPr>
              <w:t>(18.3%)</w:t>
            </w:r>
          </w:p>
        </w:tc>
        <w:tc>
          <w:tcPr>
            <w:tcW w:w="833" w:type="dxa"/>
          </w:tcPr>
          <w:p w14:paraId="5A104793">
            <w:pPr>
              <w:pStyle w:val="7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0.88</w:t>
            </w:r>
          </w:p>
        </w:tc>
        <w:tc>
          <w:tcPr>
            <w:tcW w:w="2007" w:type="dxa"/>
          </w:tcPr>
          <w:p w14:paraId="10C81BD1">
            <w:pPr>
              <w:pStyle w:val="7"/>
              <w:spacing w:before="0"/>
              <w:rPr>
                <w:sz w:val="24"/>
              </w:rPr>
            </w:pPr>
          </w:p>
        </w:tc>
      </w:tr>
      <w:tr w14:paraId="04CC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3647C784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1466" w:type="dxa"/>
          </w:tcPr>
          <w:p w14:paraId="2DF28028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47 </w:t>
            </w:r>
            <w:r>
              <w:rPr>
                <w:spacing w:val="-2"/>
                <w:sz w:val="24"/>
              </w:rPr>
              <w:t>(76.7%)</w:t>
            </w:r>
          </w:p>
        </w:tc>
        <w:tc>
          <w:tcPr>
            <w:tcW w:w="2012" w:type="dxa"/>
          </w:tcPr>
          <w:p w14:paraId="75B2FA05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147 </w:t>
            </w:r>
            <w:r>
              <w:rPr>
                <w:spacing w:val="-2"/>
                <w:sz w:val="24"/>
              </w:rPr>
              <w:t>(81.7%)</w:t>
            </w:r>
          </w:p>
        </w:tc>
        <w:tc>
          <w:tcPr>
            <w:tcW w:w="833" w:type="dxa"/>
          </w:tcPr>
          <w:p w14:paraId="0740DBBB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00EAE690">
            <w:pPr>
              <w:pStyle w:val="7"/>
              <w:spacing w:before="0"/>
              <w:rPr>
                <w:sz w:val="24"/>
              </w:rPr>
            </w:pPr>
          </w:p>
        </w:tc>
      </w:tr>
      <w:tr w14:paraId="55F7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067FEFCF">
            <w:pPr>
              <w:pStyle w:val="7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Hypertension</w:t>
            </w:r>
          </w:p>
        </w:tc>
        <w:tc>
          <w:tcPr>
            <w:tcW w:w="1466" w:type="dxa"/>
          </w:tcPr>
          <w:p w14:paraId="2AA5B8E6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12" w:type="dxa"/>
          </w:tcPr>
          <w:p w14:paraId="3E74404B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833" w:type="dxa"/>
          </w:tcPr>
          <w:p w14:paraId="06E4C714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34BE5B68">
            <w:pPr>
              <w:pStyle w:val="7"/>
              <w:ind w:left="31"/>
              <w:rPr>
                <w:sz w:val="24"/>
              </w:rPr>
            </w:pPr>
            <w:r>
              <w:rPr>
                <w:sz w:val="24"/>
              </w:rPr>
              <w:t xml:space="preserve">Fisher's exact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34DB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6A875363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Hypertensive</w:t>
            </w:r>
          </w:p>
        </w:tc>
        <w:tc>
          <w:tcPr>
            <w:tcW w:w="1466" w:type="dxa"/>
          </w:tcPr>
          <w:p w14:paraId="3DC14D83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(3.39%)</w:t>
            </w:r>
          </w:p>
        </w:tc>
        <w:tc>
          <w:tcPr>
            <w:tcW w:w="2012" w:type="dxa"/>
          </w:tcPr>
          <w:p w14:paraId="03A02298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(6.11%)</w:t>
            </w:r>
          </w:p>
        </w:tc>
        <w:tc>
          <w:tcPr>
            <w:tcW w:w="833" w:type="dxa"/>
          </w:tcPr>
          <w:p w14:paraId="48BE35E2">
            <w:pPr>
              <w:pStyle w:val="7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0.53</w:t>
            </w:r>
          </w:p>
        </w:tc>
        <w:tc>
          <w:tcPr>
            <w:tcW w:w="2007" w:type="dxa"/>
          </w:tcPr>
          <w:p w14:paraId="23AF8F91">
            <w:pPr>
              <w:pStyle w:val="7"/>
              <w:spacing w:before="0"/>
              <w:rPr>
                <w:sz w:val="24"/>
              </w:rPr>
            </w:pPr>
          </w:p>
        </w:tc>
      </w:tr>
      <w:tr w14:paraId="77EA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729A28E5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Normal</w:t>
            </w:r>
          </w:p>
        </w:tc>
        <w:tc>
          <w:tcPr>
            <w:tcW w:w="1466" w:type="dxa"/>
          </w:tcPr>
          <w:p w14:paraId="75A18028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57 </w:t>
            </w:r>
            <w:r>
              <w:rPr>
                <w:spacing w:val="-2"/>
                <w:sz w:val="24"/>
              </w:rPr>
              <w:t>(96.61%)</w:t>
            </w:r>
          </w:p>
        </w:tc>
        <w:tc>
          <w:tcPr>
            <w:tcW w:w="2012" w:type="dxa"/>
          </w:tcPr>
          <w:p w14:paraId="184B82C0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169 </w:t>
            </w:r>
            <w:r>
              <w:rPr>
                <w:spacing w:val="-2"/>
                <w:sz w:val="24"/>
              </w:rPr>
              <w:t>(93.89%)</w:t>
            </w:r>
          </w:p>
        </w:tc>
        <w:tc>
          <w:tcPr>
            <w:tcW w:w="833" w:type="dxa"/>
          </w:tcPr>
          <w:p w14:paraId="3CC6A90E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03DD449B">
            <w:pPr>
              <w:pStyle w:val="7"/>
              <w:spacing w:before="0"/>
              <w:rPr>
                <w:sz w:val="24"/>
              </w:rPr>
            </w:pPr>
          </w:p>
        </w:tc>
      </w:tr>
      <w:tr w14:paraId="2092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42A2BE57">
            <w:pPr>
              <w:pStyle w:val="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Hydronephrosis</w:t>
            </w:r>
          </w:p>
        </w:tc>
        <w:tc>
          <w:tcPr>
            <w:tcW w:w="1466" w:type="dxa"/>
          </w:tcPr>
          <w:p w14:paraId="27AAE989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12" w:type="dxa"/>
          </w:tcPr>
          <w:p w14:paraId="311E5E22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833" w:type="dxa"/>
          </w:tcPr>
          <w:p w14:paraId="0345F9CD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745EA89F">
            <w:pPr>
              <w:pStyle w:val="7"/>
              <w:ind w:left="31"/>
              <w:rPr>
                <w:sz w:val="24"/>
              </w:rPr>
            </w:pPr>
            <w:r>
              <w:rPr>
                <w:sz w:val="24"/>
              </w:rPr>
              <w:t xml:space="preserve">Fisher's exact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4A24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3B609521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No/Mild</w:t>
            </w:r>
          </w:p>
        </w:tc>
        <w:tc>
          <w:tcPr>
            <w:tcW w:w="1466" w:type="dxa"/>
          </w:tcPr>
          <w:p w14:paraId="1E15BE11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55 </w:t>
            </w:r>
            <w:r>
              <w:rPr>
                <w:spacing w:val="-2"/>
                <w:sz w:val="24"/>
              </w:rPr>
              <w:t>(93.2%)</w:t>
            </w:r>
          </w:p>
        </w:tc>
        <w:tc>
          <w:tcPr>
            <w:tcW w:w="2012" w:type="dxa"/>
          </w:tcPr>
          <w:p w14:paraId="16BE04DB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164 </w:t>
            </w:r>
            <w:r>
              <w:rPr>
                <w:spacing w:val="-2"/>
                <w:sz w:val="24"/>
              </w:rPr>
              <w:t>(91.1%)</w:t>
            </w:r>
          </w:p>
        </w:tc>
        <w:tc>
          <w:tcPr>
            <w:tcW w:w="833" w:type="dxa"/>
          </w:tcPr>
          <w:p w14:paraId="64812F06">
            <w:pPr>
              <w:pStyle w:val="7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0.79</w:t>
            </w:r>
          </w:p>
        </w:tc>
        <w:tc>
          <w:tcPr>
            <w:tcW w:w="2007" w:type="dxa"/>
          </w:tcPr>
          <w:p w14:paraId="0CDA40D9">
            <w:pPr>
              <w:pStyle w:val="7"/>
              <w:spacing w:before="0"/>
              <w:rPr>
                <w:sz w:val="24"/>
              </w:rPr>
            </w:pPr>
          </w:p>
        </w:tc>
      </w:tr>
      <w:tr w14:paraId="258E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1F84C531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Moderate/Severe</w:t>
            </w:r>
          </w:p>
        </w:tc>
        <w:tc>
          <w:tcPr>
            <w:tcW w:w="1466" w:type="dxa"/>
          </w:tcPr>
          <w:p w14:paraId="2302EDFD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(6.8%)</w:t>
            </w:r>
          </w:p>
        </w:tc>
        <w:tc>
          <w:tcPr>
            <w:tcW w:w="2012" w:type="dxa"/>
          </w:tcPr>
          <w:p w14:paraId="7EA173AB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(8.9%)</w:t>
            </w:r>
          </w:p>
        </w:tc>
        <w:tc>
          <w:tcPr>
            <w:tcW w:w="833" w:type="dxa"/>
          </w:tcPr>
          <w:p w14:paraId="22C3F3D9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2C825A00">
            <w:pPr>
              <w:pStyle w:val="7"/>
              <w:spacing w:before="0"/>
              <w:rPr>
                <w:sz w:val="24"/>
              </w:rPr>
            </w:pPr>
          </w:p>
        </w:tc>
      </w:tr>
      <w:tr w14:paraId="19C31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596BEBDB">
            <w:pPr>
              <w:pStyle w:val="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Reoperation of </w:t>
            </w:r>
            <w:r>
              <w:rPr>
                <w:b/>
                <w:spacing w:val="-2"/>
                <w:sz w:val="24"/>
              </w:rPr>
              <w:t>Stone</w:t>
            </w:r>
          </w:p>
        </w:tc>
        <w:tc>
          <w:tcPr>
            <w:tcW w:w="1466" w:type="dxa"/>
          </w:tcPr>
          <w:p w14:paraId="29F993DA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12" w:type="dxa"/>
          </w:tcPr>
          <w:p w14:paraId="745DAAEC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833" w:type="dxa"/>
          </w:tcPr>
          <w:p w14:paraId="3FC57425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07" w:type="dxa"/>
          </w:tcPr>
          <w:p w14:paraId="7BDAC8F7">
            <w:pPr>
              <w:pStyle w:val="7"/>
              <w:ind w:left="31"/>
              <w:rPr>
                <w:sz w:val="24"/>
              </w:rPr>
            </w:pPr>
            <w:r>
              <w:rPr>
                <w:sz w:val="24"/>
              </w:rPr>
              <w:t xml:space="preserve">Chi-square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3BAF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66D259B2">
            <w:pPr>
              <w:pStyle w:val="7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66" w:type="dxa"/>
          </w:tcPr>
          <w:p w14:paraId="5E80FD9B">
            <w:pPr>
              <w:pStyle w:val="7"/>
              <w:ind w:left="30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(25.42%)</w:t>
            </w:r>
          </w:p>
        </w:tc>
        <w:tc>
          <w:tcPr>
            <w:tcW w:w="2012" w:type="dxa"/>
          </w:tcPr>
          <w:p w14:paraId="5F4AA8B8">
            <w:pPr>
              <w:pStyle w:val="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(16.11%)</w:t>
            </w:r>
          </w:p>
        </w:tc>
        <w:tc>
          <w:tcPr>
            <w:tcW w:w="833" w:type="dxa"/>
          </w:tcPr>
          <w:p w14:paraId="7FB712D5">
            <w:pPr>
              <w:pStyle w:val="7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0.16</w:t>
            </w:r>
          </w:p>
        </w:tc>
        <w:tc>
          <w:tcPr>
            <w:tcW w:w="2007" w:type="dxa"/>
          </w:tcPr>
          <w:p w14:paraId="4BBBBFA1">
            <w:pPr>
              <w:pStyle w:val="7"/>
              <w:spacing w:before="0"/>
              <w:rPr>
                <w:sz w:val="24"/>
              </w:rPr>
            </w:pPr>
          </w:p>
        </w:tc>
      </w:tr>
      <w:tr w14:paraId="2E65B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760" w:type="dxa"/>
          </w:tcPr>
          <w:p w14:paraId="7CF41618">
            <w:pPr>
              <w:pStyle w:val="7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66" w:type="dxa"/>
          </w:tcPr>
          <w:p w14:paraId="2DF74BA7">
            <w:pPr>
              <w:pStyle w:val="7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44 </w:t>
            </w:r>
            <w:r>
              <w:rPr>
                <w:spacing w:val="-2"/>
                <w:sz w:val="24"/>
              </w:rPr>
              <w:t>(74.6%)</w:t>
            </w:r>
          </w:p>
        </w:tc>
        <w:tc>
          <w:tcPr>
            <w:tcW w:w="2012" w:type="dxa"/>
          </w:tcPr>
          <w:p w14:paraId="1FA6C140">
            <w:pPr>
              <w:pStyle w:val="7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 xml:space="preserve">151 </w:t>
            </w:r>
            <w:r>
              <w:rPr>
                <w:spacing w:val="-2"/>
                <w:sz w:val="24"/>
              </w:rPr>
              <w:t>(83.9%)</w:t>
            </w:r>
          </w:p>
        </w:tc>
        <w:tc>
          <w:tcPr>
            <w:tcW w:w="833" w:type="dxa"/>
          </w:tcPr>
          <w:p w14:paraId="09A9CCB7">
            <w:pPr>
              <w:pStyle w:val="7"/>
              <w:spacing w:before="0"/>
              <w:rPr>
                <w:sz w:val="22"/>
              </w:rPr>
            </w:pPr>
          </w:p>
        </w:tc>
        <w:tc>
          <w:tcPr>
            <w:tcW w:w="2007" w:type="dxa"/>
          </w:tcPr>
          <w:p w14:paraId="71528EA0">
            <w:pPr>
              <w:pStyle w:val="7"/>
              <w:spacing w:before="0"/>
              <w:rPr>
                <w:sz w:val="22"/>
              </w:rPr>
            </w:pPr>
          </w:p>
        </w:tc>
      </w:tr>
      <w:tr w14:paraId="3F54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</w:tcPr>
          <w:p w14:paraId="2E122580">
            <w:pPr>
              <w:pStyle w:val="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Stone Burden </w:t>
            </w:r>
            <w:r>
              <w:rPr>
                <w:b/>
                <w:spacing w:val="-2"/>
                <w:sz w:val="24"/>
              </w:rPr>
              <w:t>Measurement</w:t>
            </w:r>
          </w:p>
        </w:tc>
        <w:tc>
          <w:tcPr>
            <w:tcW w:w="1466" w:type="dxa"/>
          </w:tcPr>
          <w:p w14:paraId="61B690C7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2012" w:type="dxa"/>
          </w:tcPr>
          <w:p w14:paraId="16F4EEC8">
            <w:pPr>
              <w:pStyle w:val="7"/>
              <w:spacing w:before="0"/>
              <w:rPr>
                <w:sz w:val="24"/>
              </w:rPr>
            </w:pPr>
          </w:p>
        </w:tc>
        <w:tc>
          <w:tcPr>
            <w:tcW w:w="833" w:type="dxa"/>
          </w:tcPr>
          <w:p w14:paraId="310C777B">
            <w:pPr>
              <w:pStyle w:val="7"/>
              <w:ind w:left="29"/>
              <w:rPr>
                <w:sz w:val="24"/>
              </w:rPr>
            </w:pPr>
          </w:p>
        </w:tc>
        <w:tc>
          <w:tcPr>
            <w:tcW w:w="2007" w:type="dxa"/>
          </w:tcPr>
          <w:p w14:paraId="6EBDB060">
            <w:pPr>
              <w:pStyle w:val="7"/>
              <w:ind w:left="29"/>
              <w:rPr>
                <w:sz w:val="24"/>
              </w:rPr>
            </w:pPr>
          </w:p>
        </w:tc>
      </w:tr>
      <w:tr w14:paraId="241A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  <w:shd w:val="clear" w:color="auto" w:fill="auto"/>
            <w:vAlign w:val="top"/>
          </w:tcPr>
          <w:p w14:paraId="30E99167">
            <w:pPr>
              <w:pStyle w:val="7"/>
              <w:ind w:left="5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- Mean ± </w:t>
            </w:r>
            <w:r>
              <w:rPr>
                <w:spacing w:val="-5"/>
                <w:sz w:val="24"/>
              </w:rPr>
              <w:t>SD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13F76B4C">
            <w:pPr>
              <w:pStyle w:val="7"/>
              <w:ind w:left="3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60 ±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12" w:type="dxa"/>
            <w:shd w:val="clear" w:color="auto" w:fill="auto"/>
            <w:vAlign w:val="top"/>
          </w:tcPr>
          <w:p w14:paraId="3952B0E2">
            <w:pPr>
              <w:pStyle w:val="7"/>
              <w:ind w:left="36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sz w:val="24"/>
                <w:lang w:val="en-US"/>
              </w:rPr>
              <w:t>67</w:t>
            </w:r>
            <w:r>
              <w:rPr>
                <w:sz w:val="24"/>
              </w:rPr>
              <w:t xml:space="preserve"> ± </w:t>
            </w:r>
            <w:r>
              <w:rPr>
                <w:rFonts w:hint="default"/>
                <w:sz w:val="24"/>
                <w:lang w:val="en-US"/>
              </w:rPr>
              <w:t>9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59D9E828">
            <w:pPr>
              <w:pStyle w:val="7"/>
              <w:ind w:left="29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en-US" w:eastAsia="en-US" w:bidi="ar-SA"/>
              </w:rPr>
              <w:t>0.63</w:t>
            </w:r>
          </w:p>
        </w:tc>
        <w:tc>
          <w:tcPr>
            <w:tcW w:w="2007" w:type="dxa"/>
            <w:shd w:val="clear" w:color="auto" w:fill="auto"/>
            <w:vAlign w:val="top"/>
          </w:tcPr>
          <w:p w14:paraId="05346201">
            <w:pPr>
              <w:pStyle w:val="7"/>
              <w:ind w:left="29" w:leftChars="0" w:right="0" w:rightChars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Mann-Whitney </w:t>
            </w:r>
            <w:r>
              <w:rPr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test</w:t>
            </w:r>
          </w:p>
        </w:tc>
      </w:tr>
      <w:tr w14:paraId="3668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60" w:type="dxa"/>
            <w:shd w:val="clear" w:color="auto" w:fill="auto"/>
            <w:vAlign w:val="top"/>
          </w:tcPr>
          <w:p w14:paraId="6299ACC6">
            <w:pPr>
              <w:pStyle w:val="7"/>
              <w:ind w:left="50" w:leftChars="0" w:right="0" w:righ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en-US" w:eastAsia="en-US" w:bidi="ar-SA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003CA981">
            <w:pPr>
              <w:pStyle w:val="7"/>
              <w:spacing w:before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012" w:type="dxa"/>
            <w:shd w:val="clear" w:color="auto" w:fill="auto"/>
            <w:vAlign w:val="top"/>
          </w:tcPr>
          <w:p w14:paraId="1D0A495E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833" w:type="dxa"/>
            <w:shd w:val="clear" w:color="auto" w:fill="auto"/>
            <w:vAlign w:val="top"/>
          </w:tcPr>
          <w:p w14:paraId="0597125F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2007" w:type="dxa"/>
            <w:shd w:val="clear" w:color="auto" w:fill="auto"/>
            <w:vAlign w:val="top"/>
          </w:tcPr>
          <w:p w14:paraId="34F430E0">
            <w:pPr>
              <w:pStyle w:val="7"/>
              <w:ind w:left="29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76F9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0" w:type="auto"/>
            <w:shd w:val="clear" w:color="auto" w:fill="auto"/>
            <w:vAlign w:val="top"/>
          </w:tcPr>
          <w:p w14:paraId="2896F547">
            <w:pPr>
              <w:pStyle w:val="7"/>
              <w:ind w:left="5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24BA1">
            <w:pPr>
              <w:pStyle w:val="7"/>
              <w:ind w:left="3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48 </w:t>
            </w:r>
            <w:r>
              <w:rPr>
                <w:spacing w:val="-2"/>
                <w:sz w:val="24"/>
              </w:rPr>
              <w:t>(81.4%)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6AC8E">
            <w:pPr>
              <w:pStyle w:val="7"/>
              <w:ind w:left="36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151 </w:t>
            </w:r>
            <w:r>
              <w:rPr>
                <w:spacing w:val="-2"/>
                <w:sz w:val="24"/>
              </w:rPr>
              <w:t>(83.9%)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66069">
            <w:pPr>
              <w:pStyle w:val="7"/>
              <w:ind w:left="29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pacing w:val="-4"/>
                <w:sz w:val="24"/>
              </w:rPr>
              <w:t>0.80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54311">
            <w:pPr>
              <w:pStyle w:val="7"/>
              <w:spacing w:before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Chi-square </w:t>
            </w:r>
            <w:r>
              <w:rPr>
                <w:spacing w:val="-4"/>
                <w:sz w:val="24"/>
              </w:rPr>
              <w:t>test</w:t>
            </w:r>
          </w:p>
        </w:tc>
      </w:tr>
      <w:tr w14:paraId="2C29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0" w:type="auto"/>
            <w:shd w:val="clear" w:color="auto" w:fill="auto"/>
            <w:vAlign w:val="top"/>
          </w:tcPr>
          <w:p w14:paraId="2AAC3EBD">
            <w:pPr>
              <w:pStyle w:val="7"/>
              <w:ind w:left="5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0E4A9">
            <w:pPr>
              <w:pStyle w:val="7"/>
              <w:ind w:left="3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(18.6%)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BAABC">
            <w:pPr>
              <w:pStyle w:val="7"/>
              <w:ind w:left="36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(16.11%)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17E8D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9E37C1">
            <w:pPr>
              <w:pStyle w:val="7"/>
              <w:spacing w:before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3980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0" w:type="auto"/>
            <w:shd w:val="clear" w:color="auto" w:fill="auto"/>
            <w:vAlign w:val="top"/>
          </w:tcPr>
          <w:p w14:paraId="0D7C4972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 xml:space="preserve">Stone distribution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5E935">
            <w:pPr>
              <w:pStyle w:val="7"/>
              <w:ind w:left="30" w:leftChars="0" w:right="0" w:rightChars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4441548">
            <w:pPr>
              <w:pStyle w:val="7"/>
              <w:ind w:left="36" w:leftChars="0" w:right="0" w:rightChars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B8287B7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D58A27E">
            <w:pPr>
              <w:pStyle w:val="7"/>
              <w:spacing w:before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</w:tr>
      <w:tr w14:paraId="53CC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0" w:type="auto"/>
            <w:shd w:val="clear" w:color="auto" w:fill="auto"/>
            <w:vAlign w:val="top"/>
          </w:tcPr>
          <w:p w14:paraId="08DDB71B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Pelvic</w:t>
            </w:r>
          </w:p>
          <w:p w14:paraId="3BCB9E70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Lower calyx</w:t>
            </w:r>
          </w:p>
          <w:p w14:paraId="73C90A23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Middle calyx</w:t>
            </w:r>
          </w:p>
          <w:p w14:paraId="13690B0E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Upper calyx</w:t>
            </w:r>
          </w:p>
          <w:p w14:paraId="6E60BE33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Mixed pelvic and calyces</w:t>
            </w:r>
          </w:p>
          <w:p w14:paraId="24FAE367">
            <w:pPr>
              <w:pStyle w:val="7"/>
              <w:ind w:left="50" w:leftChars="0" w:right="0" w:rightChars="0"/>
              <w:rPr>
                <w:rFonts w:hint="default" w:cs="Times New Roman"/>
                <w:b/>
                <w:bCs/>
                <w:sz w:val="24"/>
                <w:lang w:val="en-US" w:bidi="ar-EG"/>
              </w:rPr>
            </w:pPr>
            <w:r>
              <w:rPr>
                <w:rFonts w:hint="default" w:cs="Times New Roman"/>
                <w:b/>
                <w:bCs/>
                <w:sz w:val="24"/>
                <w:lang w:val="en-US" w:bidi="ar-EG"/>
              </w:rPr>
              <w:t>Mixed calyces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F9427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12</w:t>
            </w:r>
          </w:p>
          <w:p w14:paraId="12CC018E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5</w:t>
            </w:r>
          </w:p>
          <w:p w14:paraId="48BB4D18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</w:t>
            </w:r>
          </w:p>
          <w:p w14:paraId="6BCB3A8B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</w:t>
            </w:r>
            <w:bookmarkStart w:id="0" w:name="_GoBack"/>
            <w:bookmarkEnd w:id="0"/>
          </w:p>
          <w:p w14:paraId="4E2D9FB4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30</w:t>
            </w:r>
          </w:p>
          <w:p w14:paraId="54D2D411">
            <w:pPr>
              <w:pStyle w:val="7"/>
              <w:ind w:left="30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396EA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30</w:t>
            </w:r>
          </w:p>
          <w:p w14:paraId="06BBF424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19</w:t>
            </w:r>
          </w:p>
          <w:p w14:paraId="264672E9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</w:t>
            </w:r>
          </w:p>
          <w:p w14:paraId="7F4F7874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8</w:t>
            </w:r>
          </w:p>
          <w:p w14:paraId="2E37634E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92</w:t>
            </w:r>
          </w:p>
          <w:p w14:paraId="163BB3A1">
            <w:pPr>
              <w:pStyle w:val="7"/>
              <w:ind w:left="36" w:leftChars="0" w:right="0" w:rightChars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0F373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C7984C">
            <w:pPr>
              <w:pStyle w:val="7"/>
              <w:spacing w:before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en-US" w:eastAsia="en-US" w:bidi="ar-SA"/>
              </w:rPr>
              <w:t>P value= 0.95</w:t>
            </w:r>
          </w:p>
        </w:tc>
      </w:tr>
    </w:tbl>
    <w:p w14:paraId="4EEEAF3E">
      <w:pPr>
        <w:pStyle w:val="5"/>
        <w:rPr>
          <w:b/>
          <w:sz w:val="27"/>
        </w:rPr>
      </w:pPr>
    </w:p>
    <w:p w14:paraId="69BE34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528D"/>
    <w:rsid w:val="33207EF2"/>
    <w:rsid w:val="5AC0409E"/>
    <w:rsid w:val="640905FE"/>
    <w:rsid w:val="7DE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cs="Times New Roman" w:asciiTheme="minorHAnsi" w:hAnsiTheme="minorHAnsi" w:eastAsiaTheme="minorEastAsia"/>
      <w:kern w:val="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360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styleId="6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2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2024-04-12T19:40:00Z</dcterms:created>
  <dc:creator>96656</dc:creator>
  <cp:lastModifiedBy>Ahmed Ali</cp:lastModifiedBy>
  <dcterms:modified xsi:type="dcterms:W3CDTF">2025-03-16T20:00:11Z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275B5ACE59534C26B76235345B047248_12</vt:lpwstr>
  </property>
</Properties>
</file>