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EEB90A" w14:textId="77777777" w:rsidR="009A631E" w:rsidRPr="009A631E" w:rsidRDefault="009A631E" w:rsidP="009A631E">
      <w:pPr>
        <w:adjustRightInd w:val="0"/>
        <w:snapToGrid w:val="0"/>
        <w:spacing w:after="240" w:line="240" w:lineRule="atLeast"/>
        <w:rPr>
          <w:rFonts w:ascii="Arial" w:eastAsia="Times New Roman" w:hAnsi="Arial" w:cs="Arial"/>
          <w:b/>
          <w:snapToGrid w:val="0"/>
          <w:color w:val="000000"/>
          <w:sz w:val="36"/>
          <w:szCs w:val="20"/>
          <w:lang w:val="en-US" w:eastAsia="en-GB" w:bidi="en-US"/>
        </w:rPr>
      </w:pPr>
      <w:r w:rsidRPr="009A631E">
        <w:rPr>
          <w:rFonts w:ascii="Arial" w:eastAsia="Times New Roman" w:hAnsi="Arial" w:cs="Arial"/>
          <w:b/>
          <w:snapToGrid w:val="0"/>
          <w:color w:val="000000"/>
          <w:sz w:val="36"/>
          <w:szCs w:val="20"/>
          <w:lang w:val="en-US" w:eastAsia="en-GB" w:bidi="en-US"/>
        </w:rPr>
        <w:t>Reliability of genomic variants across different next-generation sequencing platforms and bioinformatic processing pipelines</w:t>
      </w:r>
    </w:p>
    <w:p w14:paraId="6F3DB116" w14:textId="619D4D1C" w:rsidR="009A631E" w:rsidRPr="00A15905" w:rsidRDefault="009A631E" w:rsidP="009A631E">
      <w:pPr>
        <w:spacing w:after="160" w:line="259" w:lineRule="auto"/>
        <w:jc w:val="both"/>
        <w:rPr>
          <w:rFonts w:ascii="Arial" w:eastAsia="Palatino Linotype" w:hAnsi="Arial" w:cs="Arial"/>
          <w:color w:val="000000"/>
          <w:sz w:val="20"/>
          <w:szCs w:val="20"/>
          <w:lang w:val="en-US"/>
        </w:rPr>
      </w:pPr>
      <w:r w:rsidRPr="009A631E">
        <w:rPr>
          <w:rFonts w:ascii="Arial" w:eastAsia="Palatino Linotype" w:hAnsi="Arial" w:cs="Arial"/>
          <w:color w:val="000000"/>
          <w:sz w:val="20"/>
          <w:szCs w:val="20"/>
          <w:lang w:val="en-US"/>
        </w:rPr>
        <w:t xml:space="preserve">Stephan </w:t>
      </w:r>
      <w:proofErr w:type="spellStart"/>
      <w:r w:rsidRPr="009A631E">
        <w:rPr>
          <w:rFonts w:ascii="Arial" w:eastAsia="Palatino Linotype" w:hAnsi="Arial" w:cs="Arial"/>
          <w:color w:val="000000"/>
          <w:sz w:val="20"/>
          <w:szCs w:val="20"/>
          <w:lang w:val="en-US"/>
        </w:rPr>
        <w:t>Weißbach</w:t>
      </w:r>
      <w:proofErr w:type="spellEnd"/>
      <w:r w:rsidRPr="009A631E">
        <w:rPr>
          <w:rFonts w:ascii="Arial" w:eastAsia="Palatino Linotype" w:hAnsi="Arial" w:cs="Arial"/>
          <w:color w:val="000000"/>
          <w:sz w:val="20"/>
          <w:szCs w:val="20"/>
          <w:lang w:val="en-US"/>
        </w:rPr>
        <w:t xml:space="preserve">, Stanislav Sys, Charlotte </w:t>
      </w:r>
      <w:proofErr w:type="spellStart"/>
      <w:r w:rsidRPr="009A631E">
        <w:rPr>
          <w:rFonts w:ascii="Arial" w:eastAsia="Palatino Linotype" w:hAnsi="Arial" w:cs="Arial"/>
          <w:color w:val="000000"/>
          <w:sz w:val="20"/>
          <w:szCs w:val="20"/>
          <w:lang w:val="en-US"/>
        </w:rPr>
        <w:t>Hewel</w:t>
      </w:r>
      <w:proofErr w:type="spellEnd"/>
      <w:r w:rsidRPr="009A631E">
        <w:rPr>
          <w:rFonts w:ascii="Arial" w:eastAsia="Palatino Linotype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9A631E">
        <w:rPr>
          <w:rFonts w:ascii="Arial" w:eastAsia="Palatino Linotype" w:hAnsi="Arial" w:cs="Arial"/>
          <w:color w:val="000000"/>
          <w:sz w:val="20"/>
          <w:szCs w:val="20"/>
          <w:lang w:val="en-US"/>
        </w:rPr>
        <w:t>Hristo</w:t>
      </w:r>
      <w:proofErr w:type="spellEnd"/>
      <w:r w:rsidRPr="009A631E">
        <w:rPr>
          <w:rFonts w:ascii="Arial" w:eastAsia="Palatino Linotype" w:hAnsi="Arial" w:cs="Arial"/>
          <w:color w:val="000000"/>
          <w:sz w:val="20"/>
          <w:szCs w:val="20"/>
          <w:lang w:val="en-US"/>
        </w:rPr>
        <w:t xml:space="preserve"> Todorov, Susann Schweiger, Jennifer Winter, Markus </w:t>
      </w:r>
      <w:proofErr w:type="spellStart"/>
      <w:r w:rsidRPr="009A631E">
        <w:rPr>
          <w:rFonts w:ascii="Arial" w:eastAsia="Palatino Linotype" w:hAnsi="Arial" w:cs="Arial"/>
          <w:color w:val="000000"/>
          <w:sz w:val="20"/>
          <w:szCs w:val="20"/>
          <w:lang w:val="en-US"/>
        </w:rPr>
        <w:t>Pfenninger</w:t>
      </w:r>
      <w:proofErr w:type="spellEnd"/>
      <w:r w:rsidRPr="009A631E">
        <w:rPr>
          <w:rFonts w:ascii="Arial" w:eastAsia="Palatino Linotype" w:hAnsi="Arial" w:cs="Arial"/>
          <w:color w:val="000000"/>
          <w:sz w:val="20"/>
          <w:szCs w:val="20"/>
          <w:lang w:val="en-US"/>
        </w:rPr>
        <w:t xml:space="preserve">, Ali </w:t>
      </w:r>
      <w:proofErr w:type="spellStart"/>
      <w:r w:rsidRPr="009A631E">
        <w:rPr>
          <w:rFonts w:ascii="Arial" w:eastAsia="Palatino Linotype" w:hAnsi="Arial" w:cs="Arial"/>
          <w:color w:val="000000"/>
          <w:sz w:val="20"/>
          <w:szCs w:val="20"/>
          <w:lang w:val="en-US"/>
        </w:rPr>
        <w:t>Torkamani</w:t>
      </w:r>
      <w:proofErr w:type="spellEnd"/>
      <w:r w:rsidRPr="009A631E">
        <w:rPr>
          <w:rFonts w:ascii="Arial" w:eastAsia="Palatino Linotype" w:hAnsi="Arial" w:cs="Arial"/>
          <w:color w:val="000000"/>
          <w:sz w:val="20"/>
          <w:szCs w:val="20"/>
          <w:lang w:val="en-US"/>
        </w:rPr>
        <w:t xml:space="preserve">, Doug Evans, Joachim Burger, Karin </w:t>
      </w:r>
      <w:proofErr w:type="spellStart"/>
      <w:r w:rsidRPr="009A631E">
        <w:rPr>
          <w:rFonts w:ascii="Arial" w:eastAsia="Palatino Linotype" w:hAnsi="Arial" w:cs="Arial"/>
          <w:color w:val="000000"/>
          <w:sz w:val="20"/>
          <w:szCs w:val="20"/>
          <w:lang w:val="en-US"/>
        </w:rPr>
        <w:t>Everschor-Sitte</w:t>
      </w:r>
      <w:proofErr w:type="spellEnd"/>
      <w:r w:rsidRPr="009A631E">
        <w:rPr>
          <w:rFonts w:ascii="Arial" w:eastAsia="Palatino Linotype" w:hAnsi="Arial" w:cs="Arial"/>
          <w:color w:val="000000"/>
          <w:sz w:val="20"/>
          <w:szCs w:val="20"/>
          <w:lang w:val="en-US"/>
        </w:rPr>
        <w:t>, Helen May-</w:t>
      </w:r>
      <w:proofErr w:type="spellStart"/>
      <w:r w:rsidRPr="009A631E">
        <w:rPr>
          <w:rFonts w:ascii="Arial" w:eastAsia="Palatino Linotype" w:hAnsi="Arial" w:cs="Arial"/>
          <w:color w:val="000000"/>
          <w:sz w:val="20"/>
          <w:szCs w:val="20"/>
          <w:lang w:val="en-US"/>
        </w:rPr>
        <w:t>Simera</w:t>
      </w:r>
      <w:proofErr w:type="spellEnd"/>
      <w:r w:rsidRPr="009A631E">
        <w:rPr>
          <w:rFonts w:ascii="Arial" w:eastAsia="Palatino Linotype" w:hAnsi="Arial" w:cs="Arial"/>
          <w:color w:val="000000"/>
          <w:sz w:val="20"/>
          <w:szCs w:val="20"/>
          <w:lang w:val="en-US"/>
        </w:rPr>
        <w:t xml:space="preserve"> and Susanne Gerber</w:t>
      </w:r>
    </w:p>
    <w:p w14:paraId="6AA40A07" w14:textId="3221AD19" w:rsidR="009A631E" w:rsidRPr="00A15905" w:rsidRDefault="009A631E" w:rsidP="009A631E">
      <w:pPr>
        <w:spacing w:after="160" w:line="259" w:lineRule="auto"/>
        <w:jc w:val="both"/>
        <w:rPr>
          <w:rFonts w:ascii="Arial" w:eastAsia="Palatino Linotype" w:hAnsi="Arial" w:cs="Arial"/>
          <w:color w:val="000000"/>
          <w:sz w:val="20"/>
          <w:szCs w:val="20"/>
          <w:lang w:val="en-US"/>
        </w:rPr>
      </w:pPr>
    </w:p>
    <w:p w14:paraId="50FA69E7" w14:textId="77777777" w:rsidR="009A631E" w:rsidRPr="009A631E" w:rsidRDefault="009A631E" w:rsidP="009A631E">
      <w:pPr>
        <w:spacing w:after="160" w:line="259" w:lineRule="auto"/>
        <w:jc w:val="both"/>
        <w:rPr>
          <w:rFonts w:ascii="Arial" w:eastAsia="Calibri" w:hAnsi="Arial" w:cs="Arial"/>
          <w:sz w:val="22"/>
          <w:szCs w:val="22"/>
          <w:lang w:val="en-US"/>
        </w:rPr>
      </w:pPr>
    </w:p>
    <w:p w14:paraId="577F8ACB" w14:textId="31BDAA3F" w:rsidR="00C05258" w:rsidRPr="00A15905" w:rsidRDefault="009A631E">
      <w:pPr>
        <w:rPr>
          <w:lang w:val="en-US"/>
        </w:rPr>
      </w:pPr>
      <w:r w:rsidRPr="00A15905">
        <w:rPr>
          <w:noProof/>
          <w:lang w:val="en-US"/>
        </w:rPr>
        <w:drawing>
          <wp:inline distT="0" distB="0" distL="0" distR="0" wp14:anchorId="14D8549B" wp14:editId="210922BF">
            <wp:extent cx="6070848" cy="4721770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0848" cy="472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38F8DE" w14:textId="28B04F84" w:rsidR="009A631E" w:rsidRPr="00A15905" w:rsidRDefault="009A631E">
      <w:pPr>
        <w:rPr>
          <w:lang w:val="en-US"/>
        </w:rPr>
      </w:pPr>
    </w:p>
    <w:p w14:paraId="0EE73FE4" w14:textId="6D66540A" w:rsidR="009A631E" w:rsidRPr="00A15905" w:rsidRDefault="009A631E" w:rsidP="009A631E">
      <w:pPr>
        <w:jc w:val="both"/>
        <w:rPr>
          <w:rFonts w:ascii="Arial" w:hAnsi="Arial" w:cs="Arial"/>
          <w:sz w:val="20"/>
          <w:szCs w:val="20"/>
          <w:lang w:val="en-US"/>
        </w:rPr>
      </w:pPr>
      <w:r w:rsidRPr="00A15905">
        <w:rPr>
          <w:rFonts w:ascii="Arial" w:hAnsi="Arial" w:cs="Arial"/>
          <w:b/>
          <w:bCs/>
          <w:sz w:val="20"/>
          <w:szCs w:val="20"/>
          <w:lang w:val="en-US"/>
        </w:rPr>
        <w:t>Fig</w:t>
      </w:r>
      <w:r w:rsidR="00C74D28" w:rsidRPr="00A15905">
        <w:rPr>
          <w:rFonts w:ascii="Arial" w:hAnsi="Arial" w:cs="Arial"/>
          <w:b/>
          <w:bCs/>
          <w:sz w:val="20"/>
          <w:szCs w:val="20"/>
          <w:lang w:val="en-US"/>
        </w:rPr>
        <w:t>.</w:t>
      </w:r>
      <w:r w:rsidRPr="00A15905">
        <w:rPr>
          <w:rFonts w:ascii="Arial" w:hAnsi="Arial" w:cs="Arial"/>
          <w:b/>
          <w:bCs/>
          <w:sz w:val="20"/>
          <w:szCs w:val="20"/>
          <w:lang w:val="en-US"/>
        </w:rPr>
        <w:t xml:space="preserve"> S1: Distribution of variants along the genome. </w:t>
      </w:r>
      <w:r w:rsidRPr="00A15905">
        <w:rPr>
          <w:rFonts w:ascii="Arial" w:hAnsi="Arial" w:cs="Arial"/>
          <w:sz w:val="20"/>
          <w:szCs w:val="20"/>
          <w:lang w:val="en-US"/>
        </w:rPr>
        <w:t xml:space="preserve">Bar graphs show the average number of variants for each setup in different genomic regions. </w:t>
      </w:r>
      <w:r w:rsidRPr="00924DDE">
        <w:rPr>
          <w:rFonts w:ascii="Arial" w:hAnsi="Arial" w:cs="Arial"/>
          <w:b/>
          <w:bCs/>
          <w:sz w:val="20"/>
          <w:szCs w:val="20"/>
          <w:lang w:val="en-US"/>
        </w:rPr>
        <w:t>a-b</w:t>
      </w:r>
      <w:r w:rsidR="00924DDE">
        <w:rPr>
          <w:rFonts w:ascii="Arial" w:hAnsi="Arial" w:cs="Arial"/>
          <w:sz w:val="20"/>
          <w:szCs w:val="20"/>
          <w:lang w:val="en-US"/>
        </w:rPr>
        <w:t>)</w:t>
      </w:r>
      <w:r w:rsidRPr="00A15905">
        <w:rPr>
          <w:rFonts w:ascii="Arial" w:hAnsi="Arial" w:cs="Arial"/>
          <w:sz w:val="20"/>
          <w:szCs w:val="20"/>
          <w:lang w:val="en-US"/>
        </w:rPr>
        <w:t xml:space="preserve"> Number of SNPs and </w:t>
      </w:r>
      <w:r w:rsidR="00AE1F85">
        <w:rPr>
          <w:rFonts w:ascii="Arial" w:hAnsi="Arial" w:cs="Arial"/>
          <w:sz w:val="20"/>
          <w:szCs w:val="20"/>
          <w:lang w:val="en-US"/>
        </w:rPr>
        <w:t>ind</w:t>
      </w:r>
      <w:r w:rsidRPr="00A15905">
        <w:rPr>
          <w:rFonts w:ascii="Arial" w:hAnsi="Arial" w:cs="Arial"/>
          <w:sz w:val="20"/>
          <w:szCs w:val="20"/>
          <w:lang w:val="en-US"/>
        </w:rPr>
        <w:t xml:space="preserve">els, </w:t>
      </w:r>
      <w:r w:rsidR="0025745C" w:rsidRPr="00A15905">
        <w:rPr>
          <w:rFonts w:ascii="Arial" w:hAnsi="Arial" w:cs="Arial"/>
          <w:sz w:val="20"/>
          <w:szCs w:val="20"/>
          <w:lang w:val="en-US"/>
        </w:rPr>
        <w:t>respectively</w:t>
      </w:r>
      <w:r w:rsidRPr="00A15905">
        <w:rPr>
          <w:rFonts w:ascii="Arial" w:hAnsi="Arial" w:cs="Arial"/>
          <w:sz w:val="20"/>
          <w:szCs w:val="20"/>
          <w:lang w:val="en-US"/>
        </w:rPr>
        <w:t xml:space="preserve">, in exons, introns and intergenic regions. c-d: Number of SNPs and </w:t>
      </w:r>
      <w:r w:rsidR="00AE1F85">
        <w:rPr>
          <w:rFonts w:ascii="Arial" w:hAnsi="Arial" w:cs="Arial"/>
          <w:sz w:val="20"/>
          <w:szCs w:val="20"/>
          <w:lang w:val="en-US"/>
        </w:rPr>
        <w:t>indel</w:t>
      </w:r>
      <w:r w:rsidRPr="00A15905">
        <w:rPr>
          <w:rFonts w:ascii="Arial" w:hAnsi="Arial" w:cs="Arial"/>
          <w:sz w:val="20"/>
          <w:szCs w:val="20"/>
          <w:lang w:val="en-US"/>
        </w:rPr>
        <w:t xml:space="preserve">s, </w:t>
      </w:r>
      <w:r w:rsidR="0025745C" w:rsidRPr="00A15905">
        <w:rPr>
          <w:rFonts w:ascii="Arial" w:hAnsi="Arial" w:cs="Arial"/>
          <w:sz w:val="20"/>
          <w:szCs w:val="20"/>
          <w:lang w:val="en-US"/>
        </w:rPr>
        <w:t>respectively</w:t>
      </w:r>
      <w:r w:rsidRPr="00A15905">
        <w:rPr>
          <w:rFonts w:ascii="Arial" w:hAnsi="Arial" w:cs="Arial"/>
          <w:sz w:val="20"/>
          <w:szCs w:val="20"/>
          <w:lang w:val="en-US"/>
        </w:rPr>
        <w:t xml:space="preserve">, in </w:t>
      </w:r>
      <w:proofErr w:type="spellStart"/>
      <w:r w:rsidRPr="00A15905">
        <w:rPr>
          <w:rFonts w:ascii="Arial" w:hAnsi="Arial" w:cs="Arial"/>
          <w:sz w:val="20"/>
          <w:szCs w:val="20"/>
          <w:lang w:val="en-US"/>
        </w:rPr>
        <w:t>RepeatMasker</w:t>
      </w:r>
      <w:proofErr w:type="spellEnd"/>
      <w:r w:rsidRPr="00A15905">
        <w:rPr>
          <w:rFonts w:ascii="Arial" w:hAnsi="Arial" w:cs="Arial"/>
          <w:sz w:val="20"/>
          <w:szCs w:val="20"/>
          <w:lang w:val="en-US"/>
        </w:rPr>
        <w:t xml:space="preserve"> regions. </w:t>
      </w:r>
      <w:r w:rsidRPr="00924DDE">
        <w:rPr>
          <w:rFonts w:ascii="Arial" w:hAnsi="Arial" w:cs="Arial"/>
          <w:b/>
          <w:bCs/>
          <w:sz w:val="20"/>
          <w:szCs w:val="20"/>
          <w:lang w:val="en-US"/>
        </w:rPr>
        <w:t>e-f</w:t>
      </w:r>
      <w:r w:rsidR="00924DDE">
        <w:rPr>
          <w:rFonts w:ascii="Arial" w:hAnsi="Arial" w:cs="Arial"/>
          <w:b/>
          <w:bCs/>
          <w:sz w:val="20"/>
          <w:szCs w:val="20"/>
          <w:lang w:val="en-US"/>
        </w:rPr>
        <w:t>)</w:t>
      </w:r>
      <w:r w:rsidRPr="00A15905">
        <w:rPr>
          <w:rFonts w:ascii="Arial" w:hAnsi="Arial" w:cs="Arial"/>
          <w:sz w:val="20"/>
          <w:szCs w:val="20"/>
          <w:lang w:val="en-US"/>
        </w:rPr>
        <w:t xml:space="preserve"> Number of SNPs and </w:t>
      </w:r>
      <w:r w:rsidR="00AE1F85">
        <w:rPr>
          <w:rFonts w:ascii="Arial" w:hAnsi="Arial" w:cs="Arial"/>
          <w:sz w:val="20"/>
          <w:szCs w:val="20"/>
          <w:lang w:val="en-US"/>
        </w:rPr>
        <w:t>indel</w:t>
      </w:r>
      <w:r w:rsidRPr="00A15905">
        <w:rPr>
          <w:rFonts w:ascii="Arial" w:hAnsi="Arial" w:cs="Arial"/>
          <w:sz w:val="20"/>
          <w:szCs w:val="20"/>
          <w:lang w:val="en-US"/>
        </w:rPr>
        <w:t xml:space="preserve">s, </w:t>
      </w:r>
      <w:r w:rsidR="0025745C" w:rsidRPr="00A15905">
        <w:rPr>
          <w:rFonts w:ascii="Arial" w:hAnsi="Arial" w:cs="Arial"/>
          <w:sz w:val="20"/>
          <w:szCs w:val="20"/>
          <w:lang w:val="en-US"/>
        </w:rPr>
        <w:t>respectively</w:t>
      </w:r>
      <w:r w:rsidRPr="00A15905">
        <w:rPr>
          <w:rFonts w:ascii="Arial" w:hAnsi="Arial" w:cs="Arial"/>
          <w:sz w:val="20"/>
          <w:szCs w:val="20"/>
          <w:lang w:val="en-US"/>
        </w:rPr>
        <w:t>, in genomic regions with low (</w:t>
      </w:r>
      <w:r w:rsidR="00D45D1D">
        <w:rPr>
          <w:rFonts w:ascii="Arial" w:hAnsi="Arial" w:cs="Arial"/>
          <w:sz w:val="20"/>
          <w:szCs w:val="20"/>
          <w:lang w:val="en-US"/>
        </w:rPr>
        <w:t xml:space="preserve">&lt;37% </w:t>
      </w:r>
      <w:r w:rsidRPr="00A15905">
        <w:rPr>
          <w:rFonts w:ascii="Arial" w:hAnsi="Arial" w:cs="Arial"/>
          <w:sz w:val="20"/>
          <w:szCs w:val="20"/>
          <w:lang w:val="en-US"/>
        </w:rPr>
        <w:t xml:space="preserve">per 100 </w:t>
      </w:r>
      <w:proofErr w:type="spellStart"/>
      <w:r w:rsidRPr="00A15905">
        <w:rPr>
          <w:rFonts w:ascii="Arial" w:hAnsi="Arial" w:cs="Arial"/>
          <w:sz w:val="20"/>
          <w:szCs w:val="20"/>
          <w:lang w:val="en-US"/>
        </w:rPr>
        <w:t>kbp</w:t>
      </w:r>
      <w:proofErr w:type="spellEnd"/>
      <w:r w:rsidRPr="00A15905">
        <w:rPr>
          <w:rFonts w:ascii="Arial" w:hAnsi="Arial" w:cs="Arial"/>
          <w:sz w:val="20"/>
          <w:szCs w:val="20"/>
          <w:lang w:val="en-US"/>
        </w:rPr>
        <w:t xml:space="preserve">), medium (between </w:t>
      </w:r>
      <w:r w:rsidR="00D45D1D">
        <w:rPr>
          <w:rFonts w:ascii="Arial" w:hAnsi="Arial" w:cs="Arial"/>
          <w:sz w:val="20"/>
          <w:szCs w:val="20"/>
          <w:lang w:val="en-US"/>
        </w:rPr>
        <w:t xml:space="preserve">37% </w:t>
      </w:r>
      <w:r w:rsidRPr="00A15905">
        <w:rPr>
          <w:rFonts w:ascii="Arial" w:hAnsi="Arial" w:cs="Arial"/>
          <w:sz w:val="20"/>
          <w:szCs w:val="20"/>
          <w:lang w:val="en-US"/>
        </w:rPr>
        <w:t xml:space="preserve">and </w:t>
      </w:r>
      <w:r w:rsidR="00D45D1D">
        <w:rPr>
          <w:rFonts w:ascii="Arial" w:hAnsi="Arial" w:cs="Arial"/>
          <w:sz w:val="20"/>
          <w:szCs w:val="20"/>
          <w:lang w:val="en-US"/>
        </w:rPr>
        <w:t>47%</w:t>
      </w:r>
      <w:r w:rsidRPr="00A15905">
        <w:rPr>
          <w:rFonts w:ascii="Arial" w:hAnsi="Arial" w:cs="Arial"/>
          <w:sz w:val="20"/>
          <w:szCs w:val="20"/>
          <w:lang w:val="en-US"/>
        </w:rPr>
        <w:t xml:space="preserve"> per 100 </w:t>
      </w:r>
      <w:proofErr w:type="spellStart"/>
      <w:r w:rsidRPr="00A15905">
        <w:rPr>
          <w:rFonts w:ascii="Arial" w:hAnsi="Arial" w:cs="Arial"/>
          <w:sz w:val="20"/>
          <w:szCs w:val="20"/>
          <w:lang w:val="en-US"/>
        </w:rPr>
        <w:t>kpb</w:t>
      </w:r>
      <w:proofErr w:type="spellEnd"/>
      <w:r w:rsidRPr="00A15905">
        <w:rPr>
          <w:rFonts w:ascii="Arial" w:hAnsi="Arial" w:cs="Arial"/>
          <w:sz w:val="20"/>
          <w:szCs w:val="20"/>
          <w:lang w:val="en-US"/>
        </w:rPr>
        <w:t>) and high GC (</w:t>
      </w:r>
      <w:r w:rsidR="00D45D1D">
        <w:rPr>
          <w:rFonts w:ascii="Arial" w:hAnsi="Arial" w:cs="Arial"/>
          <w:sz w:val="20"/>
          <w:szCs w:val="20"/>
          <w:lang w:val="en-US"/>
        </w:rPr>
        <w:t>&gt;47</w:t>
      </w:r>
      <w:r w:rsidRPr="00A15905">
        <w:rPr>
          <w:rFonts w:ascii="Arial" w:hAnsi="Arial" w:cs="Arial"/>
          <w:sz w:val="20"/>
          <w:szCs w:val="20"/>
          <w:lang w:val="en-US"/>
        </w:rPr>
        <w:t>%</w:t>
      </w:r>
      <w:r w:rsidR="00B74973">
        <w:rPr>
          <w:rFonts w:ascii="Arial" w:hAnsi="Arial" w:cs="Arial"/>
          <w:sz w:val="20"/>
          <w:szCs w:val="20"/>
          <w:lang w:val="en-US"/>
        </w:rPr>
        <w:t xml:space="preserve"> </w:t>
      </w:r>
      <w:r w:rsidR="00B74973" w:rsidRPr="00A15905">
        <w:rPr>
          <w:rFonts w:ascii="Arial" w:hAnsi="Arial" w:cs="Arial"/>
          <w:sz w:val="20"/>
          <w:szCs w:val="20"/>
          <w:lang w:val="en-US"/>
        </w:rPr>
        <w:t xml:space="preserve">per 100 </w:t>
      </w:r>
      <w:proofErr w:type="spellStart"/>
      <w:r w:rsidR="00B74973" w:rsidRPr="00A15905">
        <w:rPr>
          <w:rFonts w:ascii="Arial" w:hAnsi="Arial" w:cs="Arial"/>
          <w:sz w:val="20"/>
          <w:szCs w:val="20"/>
          <w:lang w:val="en-US"/>
        </w:rPr>
        <w:t>kpb</w:t>
      </w:r>
      <w:proofErr w:type="spellEnd"/>
      <w:r w:rsidRPr="00A15905">
        <w:rPr>
          <w:rFonts w:ascii="Arial" w:hAnsi="Arial" w:cs="Arial"/>
          <w:sz w:val="20"/>
          <w:szCs w:val="20"/>
          <w:lang w:val="en-US"/>
        </w:rPr>
        <w:t xml:space="preserve">) GC content. </w:t>
      </w:r>
      <w:r w:rsidR="00C74D28" w:rsidRPr="00A15905">
        <w:rPr>
          <w:rFonts w:ascii="Arial" w:hAnsi="Arial" w:cs="Arial"/>
          <w:sz w:val="20"/>
          <w:szCs w:val="20"/>
          <w:lang w:val="en-US"/>
        </w:rPr>
        <w:t xml:space="preserve">CG: Complete Genomics; MOL: Illumina </w:t>
      </w:r>
      <w:proofErr w:type="spellStart"/>
      <w:r w:rsidR="00C74D28" w:rsidRPr="00A15905">
        <w:rPr>
          <w:rFonts w:ascii="Arial" w:hAnsi="Arial" w:cs="Arial"/>
          <w:sz w:val="20"/>
          <w:szCs w:val="20"/>
          <w:lang w:val="en-US"/>
        </w:rPr>
        <w:t>HiSeq</w:t>
      </w:r>
      <w:proofErr w:type="spellEnd"/>
      <w:r w:rsidR="00C74D28" w:rsidRPr="00A15905">
        <w:rPr>
          <w:rFonts w:ascii="Arial" w:hAnsi="Arial" w:cs="Arial"/>
          <w:sz w:val="20"/>
          <w:szCs w:val="20"/>
          <w:lang w:val="en-US"/>
        </w:rPr>
        <w:t xml:space="preserve">; HSX: Illumina </w:t>
      </w:r>
      <w:proofErr w:type="spellStart"/>
      <w:r w:rsidR="00C74D28" w:rsidRPr="00A15905">
        <w:rPr>
          <w:rFonts w:ascii="Arial" w:hAnsi="Arial" w:cs="Arial"/>
          <w:sz w:val="20"/>
          <w:szCs w:val="20"/>
          <w:lang w:val="en-US"/>
        </w:rPr>
        <w:t>HiSeq</w:t>
      </w:r>
      <w:proofErr w:type="spellEnd"/>
      <w:r w:rsidR="00C74D28" w:rsidRPr="00A15905">
        <w:rPr>
          <w:rFonts w:ascii="Arial" w:hAnsi="Arial" w:cs="Arial"/>
          <w:sz w:val="20"/>
          <w:szCs w:val="20"/>
          <w:lang w:val="en-US"/>
        </w:rPr>
        <w:t xml:space="preserve"> X; </w:t>
      </w:r>
      <w:r w:rsidRPr="00A15905">
        <w:rPr>
          <w:rFonts w:ascii="Arial" w:hAnsi="Arial" w:cs="Arial"/>
          <w:sz w:val="20"/>
          <w:szCs w:val="20"/>
          <w:lang w:val="en-US"/>
        </w:rPr>
        <w:t>LINE: long interspersed nuclear elements; LTR: long terminal repeats.</w:t>
      </w:r>
    </w:p>
    <w:p w14:paraId="41DD8072" w14:textId="69955D1C" w:rsidR="00C74D28" w:rsidRPr="00A15905" w:rsidRDefault="00C74D28" w:rsidP="009A631E">
      <w:pPr>
        <w:jc w:val="both"/>
        <w:rPr>
          <w:rFonts w:ascii="Arial" w:hAnsi="Arial" w:cs="Arial"/>
          <w:sz w:val="20"/>
          <w:szCs w:val="20"/>
          <w:lang w:val="en-US"/>
        </w:rPr>
      </w:pPr>
    </w:p>
    <w:p w14:paraId="2221E592" w14:textId="0970E92F" w:rsidR="00C74D28" w:rsidRPr="00A15905" w:rsidRDefault="00C74D28">
      <w:pPr>
        <w:rPr>
          <w:rFonts w:ascii="Arial" w:hAnsi="Arial" w:cs="Arial"/>
          <w:sz w:val="20"/>
          <w:szCs w:val="20"/>
          <w:lang w:val="en-US"/>
        </w:rPr>
      </w:pPr>
      <w:r w:rsidRPr="00A15905">
        <w:rPr>
          <w:rFonts w:ascii="Arial" w:hAnsi="Arial" w:cs="Arial"/>
          <w:sz w:val="20"/>
          <w:szCs w:val="20"/>
          <w:lang w:val="en-US"/>
        </w:rPr>
        <w:br w:type="page"/>
      </w:r>
    </w:p>
    <w:p w14:paraId="4BAE6D11" w14:textId="43575A7E" w:rsidR="00C74D28" w:rsidRPr="00A15905" w:rsidRDefault="00C74D28" w:rsidP="009A631E">
      <w:pPr>
        <w:jc w:val="both"/>
        <w:rPr>
          <w:rFonts w:ascii="Arial" w:hAnsi="Arial" w:cs="Arial"/>
          <w:sz w:val="20"/>
          <w:szCs w:val="20"/>
          <w:lang w:val="en-US"/>
        </w:rPr>
      </w:pPr>
      <w:r w:rsidRPr="00A15905">
        <w:rPr>
          <w:rFonts w:ascii="Arial" w:hAnsi="Arial" w:cs="Arial"/>
          <w:noProof/>
          <w:sz w:val="20"/>
          <w:szCs w:val="20"/>
          <w:lang w:val="en-US"/>
        </w:rPr>
        <w:lastRenderedPageBreak/>
        <w:drawing>
          <wp:inline distT="0" distB="0" distL="0" distR="0" wp14:anchorId="6FD1586C" wp14:editId="27B96AED">
            <wp:extent cx="6088003" cy="487040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8003" cy="4870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76107" w14:textId="315F74AB" w:rsidR="00C74D28" w:rsidRPr="00A15905" w:rsidRDefault="00C74D28" w:rsidP="009A631E">
      <w:pPr>
        <w:jc w:val="both"/>
        <w:rPr>
          <w:rFonts w:ascii="Arial" w:hAnsi="Arial" w:cs="Arial"/>
          <w:sz w:val="20"/>
          <w:szCs w:val="20"/>
          <w:lang w:val="en-US"/>
        </w:rPr>
      </w:pPr>
      <w:r w:rsidRPr="00A15905">
        <w:rPr>
          <w:rFonts w:ascii="Arial" w:hAnsi="Arial" w:cs="Arial"/>
          <w:b/>
          <w:bCs/>
          <w:sz w:val="20"/>
          <w:szCs w:val="20"/>
          <w:lang w:val="en-US"/>
        </w:rPr>
        <w:t>Fig. S2: Correlation between GC content and number of variants detected.</w:t>
      </w:r>
      <w:r w:rsidRPr="00A15905">
        <w:rPr>
          <w:rFonts w:ascii="Arial" w:hAnsi="Arial" w:cs="Arial"/>
          <w:sz w:val="20"/>
          <w:szCs w:val="20"/>
          <w:lang w:val="en-US"/>
        </w:rPr>
        <w:t xml:space="preserve"> </w:t>
      </w:r>
      <w:r w:rsidRPr="005D7A7D">
        <w:rPr>
          <w:rFonts w:ascii="Arial" w:hAnsi="Arial" w:cs="Arial"/>
          <w:b/>
          <w:bCs/>
          <w:sz w:val="20"/>
          <w:szCs w:val="20"/>
          <w:lang w:val="en-US"/>
        </w:rPr>
        <w:t>a-j</w:t>
      </w:r>
      <w:r w:rsidRPr="00A15905">
        <w:rPr>
          <w:rFonts w:ascii="Arial" w:hAnsi="Arial" w:cs="Arial"/>
          <w:sz w:val="20"/>
          <w:szCs w:val="20"/>
          <w:lang w:val="en-US"/>
        </w:rPr>
        <w:t xml:space="preserve"> show the relationship between GC content and number of SNPs or </w:t>
      </w:r>
      <w:r w:rsidR="00AE1F85">
        <w:rPr>
          <w:rFonts w:ascii="Arial" w:hAnsi="Arial" w:cs="Arial"/>
          <w:sz w:val="20"/>
          <w:szCs w:val="20"/>
          <w:lang w:val="en-US"/>
        </w:rPr>
        <w:t>indel</w:t>
      </w:r>
      <w:r w:rsidRPr="00A15905">
        <w:rPr>
          <w:rFonts w:ascii="Arial" w:hAnsi="Arial" w:cs="Arial"/>
          <w:sz w:val="20"/>
          <w:szCs w:val="20"/>
          <w:lang w:val="en-US"/>
        </w:rPr>
        <w:t xml:space="preserve">s in genomic bins of 100 </w:t>
      </w:r>
      <w:proofErr w:type="spellStart"/>
      <w:r w:rsidRPr="00A15905">
        <w:rPr>
          <w:rFonts w:ascii="Arial" w:hAnsi="Arial" w:cs="Arial"/>
          <w:sz w:val="20"/>
          <w:szCs w:val="20"/>
          <w:lang w:val="en-US"/>
        </w:rPr>
        <w:t>kbp</w:t>
      </w:r>
      <w:proofErr w:type="spellEnd"/>
      <w:r w:rsidRPr="00A15905">
        <w:rPr>
          <w:rFonts w:ascii="Arial" w:hAnsi="Arial" w:cs="Arial"/>
          <w:sz w:val="20"/>
          <w:szCs w:val="20"/>
          <w:lang w:val="en-US"/>
        </w:rPr>
        <w:t xml:space="preserve"> for each experimental setup. Regression lines were fitted using general</w:t>
      </w:r>
      <w:r w:rsidR="008E7A92">
        <w:rPr>
          <w:rFonts w:ascii="Arial" w:hAnsi="Arial" w:cs="Arial"/>
          <w:sz w:val="20"/>
          <w:szCs w:val="20"/>
          <w:lang w:val="en-US"/>
        </w:rPr>
        <w:t>ized</w:t>
      </w:r>
      <w:r w:rsidRPr="00A15905">
        <w:rPr>
          <w:rFonts w:ascii="Arial" w:hAnsi="Arial" w:cs="Arial"/>
          <w:sz w:val="20"/>
          <w:szCs w:val="20"/>
          <w:lang w:val="en-US"/>
        </w:rPr>
        <w:t xml:space="preserve"> additive models. The correlation coefficient r w</w:t>
      </w:r>
      <w:r w:rsidR="00A15905">
        <w:rPr>
          <w:rFonts w:ascii="Arial" w:hAnsi="Arial" w:cs="Arial"/>
          <w:sz w:val="20"/>
          <w:szCs w:val="20"/>
          <w:lang w:val="en-US"/>
        </w:rPr>
        <w:t>as</w:t>
      </w:r>
      <w:r w:rsidRPr="00A15905">
        <w:rPr>
          <w:rFonts w:ascii="Arial" w:hAnsi="Arial" w:cs="Arial"/>
          <w:sz w:val="20"/>
          <w:szCs w:val="20"/>
          <w:lang w:val="en-US"/>
        </w:rPr>
        <w:t xml:space="preserve"> highly significant for each experimental setup (p&lt;2.2x10</w:t>
      </w:r>
      <w:r w:rsidRPr="00A15905">
        <w:rPr>
          <w:rFonts w:ascii="Arial" w:hAnsi="Arial" w:cs="Arial"/>
          <w:sz w:val="20"/>
          <w:szCs w:val="20"/>
          <w:vertAlign w:val="superscript"/>
          <w:lang w:val="en-US"/>
        </w:rPr>
        <w:t>-16</w:t>
      </w:r>
      <w:r w:rsidRPr="00A15905">
        <w:rPr>
          <w:rFonts w:ascii="Arial" w:hAnsi="Arial" w:cs="Arial"/>
          <w:sz w:val="20"/>
          <w:szCs w:val="20"/>
          <w:lang w:val="en-US"/>
        </w:rPr>
        <w:t xml:space="preserve">). </w:t>
      </w:r>
      <w:r w:rsidR="00A15905" w:rsidRPr="00A15905">
        <w:rPr>
          <w:rFonts w:ascii="Arial" w:hAnsi="Arial" w:cs="Arial"/>
          <w:sz w:val="20"/>
          <w:szCs w:val="20"/>
          <w:lang w:val="en-US"/>
        </w:rPr>
        <w:t>Correlation was calculated using the non-parametric Spearman coefficient</w:t>
      </w:r>
      <w:r w:rsidR="00F735D3">
        <w:rPr>
          <w:rFonts w:ascii="Arial" w:hAnsi="Arial" w:cs="Arial"/>
          <w:sz w:val="20"/>
          <w:szCs w:val="20"/>
          <w:lang w:val="en-US"/>
        </w:rPr>
        <w:t xml:space="preserve"> r</w:t>
      </w:r>
      <w:r w:rsidR="00A15905" w:rsidRPr="00A15905">
        <w:rPr>
          <w:rFonts w:ascii="Arial" w:hAnsi="Arial" w:cs="Arial"/>
          <w:sz w:val="20"/>
          <w:szCs w:val="20"/>
          <w:lang w:val="en-US"/>
        </w:rPr>
        <w:t xml:space="preserve">. </w:t>
      </w:r>
      <w:r w:rsidR="00A15905" w:rsidRPr="007D0347">
        <w:rPr>
          <w:rFonts w:ascii="Arial" w:hAnsi="Arial" w:cs="Arial"/>
          <w:b/>
          <w:bCs/>
          <w:sz w:val="20"/>
          <w:szCs w:val="20"/>
          <w:lang w:val="en-US"/>
        </w:rPr>
        <w:t>k</w:t>
      </w:r>
      <w:r w:rsidR="007D0347" w:rsidRPr="007D0347">
        <w:rPr>
          <w:rFonts w:ascii="Arial" w:hAnsi="Arial" w:cs="Arial"/>
          <w:b/>
          <w:bCs/>
          <w:sz w:val="20"/>
          <w:szCs w:val="20"/>
          <w:lang w:val="en-US"/>
        </w:rPr>
        <w:t>)</w:t>
      </w:r>
      <w:r w:rsidR="00A15905" w:rsidRPr="00A15905">
        <w:rPr>
          <w:rFonts w:ascii="Arial" w:hAnsi="Arial" w:cs="Arial"/>
          <w:sz w:val="20"/>
          <w:szCs w:val="20"/>
          <w:lang w:val="en-US"/>
        </w:rPr>
        <w:t xml:space="preserve"> Distribution of the base content (AT, GC or unknown) calculated based on genomic bins of 100 </w:t>
      </w:r>
      <w:proofErr w:type="spellStart"/>
      <w:r w:rsidR="00A15905" w:rsidRPr="00A15905">
        <w:rPr>
          <w:rFonts w:ascii="Arial" w:hAnsi="Arial" w:cs="Arial"/>
          <w:sz w:val="20"/>
          <w:szCs w:val="20"/>
          <w:lang w:val="en-US"/>
        </w:rPr>
        <w:t>kbp</w:t>
      </w:r>
      <w:proofErr w:type="spellEnd"/>
      <w:r w:rsidR="00A15905" w:rsidRPr="00A15905">
        <w:rPr>
          <w:rFonts w:ascii="Arial" w:hAnsi="Arial" w:cs="Arial"/>
          <w:sz w:val="20"/>
          <w:szCs w:val="20"/>
          <w:lang w:val="en-US"/>
        </w:rPr>
        <w:t xml:space="preserve">. The median GC content (0.394) is indicated by a vertical dashed line. CG: Complete Genomics; MOL: Illumina </w:t>
      </w:r>
      <w:proofErr w:type="spellStart"/>
      <w:r w:rsidR="00A15905" w:rsidRPr="00A15905">
        <w:rPr>
          <w:rFonts w:ascii="Arial" w:hAnsi="Arial" w:cs="Arial"/>
          <w:sz w:val="20"/>
          <w:szCs w:val="20"/>
          <w:lang w:val="en-US"/>
        </w:rPr>
        <w:t>HiSeq</w:t>
      </w:r>
      <w:proofErr w:type="spellEnd"/>
      <w:r w:rsidR="00A15905" w:rsidRPr="00A15905">
        <w:rPr>
          <w:rFonts w:ascii="Arial" w:hAnsi="Arial" w:cs="Arial"/>
          <w:sz w:val="20"/>
          <w:szCs w:val="20"/>
          <w:lang w:val="en-US"/>
        </w:rPr>
        <w:t xml:space="preserve">; HSX: Illumina </w:t>
      </w:r>
      <w:proofErr w:type="spellStart"/>
      <w:r w:rsidR="00A15905" w:rsidRPr="00A15905">
        <w:rPr>
          <w:rFonts w:ascii="Arial" w:hAnsi="Arial" w:cs="Arial"/>
          <w:sz w:val="20"/>
          <w:szCs w:val="20"/>
          <w:lang w:val="en-US"/>
        </w:rPr>
        <w:t>HiSeq</w:t>
      </w:r>
      <w:proofErr w:type="spellEnd"/>
    </w:p>
    <w:sectPr w:rsidR="00C74D28" w:rsidRPr="00A15905" w:rsidSect="0082704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31E"/>
    <w:rsid w:val="000F42B1"/>
    <w:rsid w:val="00137198"/>
    <w:rsid w:val="00212774"/>
    <w:rsid w:val="002469E2"/>
    <w:rsid w:val="00247A81"/>
    <w:rsid w:val="0025745C"/>
    <w:rsid w:val="00371EC5"/>
    <w:rsid w:val="003C6FA4"/>
    <w:rsid w:val="00412A6A"/>
    <w:rsid w:val="00575E9C"/>
    <w:rsid w:val="005972D9"/>
    <w:rsid w:val="005D7A7D"/>
    <w:rsid w:val="00652489"/>
    <w:rsid w:val="00672484"/>
    <w:rsid w:val="007A2E66"/>
    <w:rsid w:val="007D0347"/>
    <w:rsid w:val="00827047"/>
    <w:rsid w:val="008C638C"/>
    <w:rsid w:val="008D4CD5"/>
    <w:rsid w:val="008E7A92"/>
    <w:rsid w:val="00924DDE"/>
    <w:rsid w:val="00941BA9"/>
    <w:rsid w:val="009429D0"/>
    <w:rsid w:val="0099141F"/>
    <w:rsid w:val="009A631E"/>
    <w:rsid w:val="00A15905"/>
    <w:rsid w:val="00AA11D9"/>
    <w:rsid w:val="00AE1F85"/>
    <w:rsid w:val="00B41B2B"/>
    <w:rsid w:val="00B74973"/>
    <w:rsid w:val="00B803B4"/>
    <w:rsid w:val="00BB48C8"/>
    <w:rsid w:val="00C05258"/>
    <w:rsid w:val="00C74D28"/>
    <w:rsid w:val="00CB26B6"/>
    <w:rsid w:val="00D45D1D"/>
    <w:rsid w:val="00EE2503"/>
    <w:rsid w:val="00F47B32"/>
    <w:rsid w:val="00F735D3"/>
    <w:rsid w:val="00FE330E"/>
    <w:rsid w:val="00FF4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863282"/>
  <w15:chartTrackingRefBased/>
  <w15:docId w15:val="{43908854-4B1E-BC45-A93E-996802BDC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631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631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Todorov, Hristo</dc:creator>
  <cp:keywords/>
  <dc:description/>
  <cp:lastModifiedBy>Todorov, Hristo</cp:lastModifiedBy>
  <cp:revision>12</cp:revision>
  <dcterms:created xsi:type="dcterms:W3CDTF">2020-11-23T07:25:00Z</dcterms:created>
  <dcterms:modified xsi:type="dcterms:W3CDTF">2020-12-15T16:42:00Z</dcterms:modified>
</cp:coreProperties>
</file>