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C1ED8A" w14:textId="77777777" w:rsidR="003356FE" w:rsidRDefault="003356FE" w:rsidP="003356FE">
      <w:pPr>
        <w:jc w:val="center"/>
        <w:rPr>
          <w:rFonts w:asciiTheme="minorBidi" w:hAnsiTheme="minorBidi"/>
          <w:sz w:val="18"/>
          <w:szCs w:val="18"/>
        </w:rPr>
      </w:pPr>
      <w:r>
        <w:rPr>
          <w:rFonts w:asciiTheme="minorBidi" w:hAnsiTheme="minorBidi"/>
          <w:sz w:val="18"/>
          <w:szCs w:val="18"/>
        </w:rPr>
        <w:t>Supplementary information appendix</w:t>
      </w:r>
    </w:p>
    <w:p w14:paraId="56C279A2" w14:textId="4CC500A5" w:rsidR="002B5AA1" w:rsidRDefault="00B52FB7" w:rsidP="003356FE">
      <w:r>
        <w:rPr>
          <w:rFonts w:asciiTheme="minorBidi" w:hAnsiTheme="minorBidi"/>
          <w:sz w:val="18"/>
          <w:szCs w:val="18"/>
        </w:rPr>
        <w:t xml:space="preserve">Table </w:t>
      </w:r>
      <w:r w:rsidR="003356FE">
        <w:rPr>
          <w:rFonts w:asciiTheme="minorBidi" w:hAnsiTheme="minorBidi"/>
          <w:sz w:val="18"/>
          <w:szCs w:val="18"/>
        </w:rPr>
        <w:t>S</w:t>
      </w:r>
      <w:r w:rsidR="003356FE" w:rsidRPr="003356FE">
        <w:rPr>
          <w:rFonts w:asciiTheme="minorBidi" w:hAnsiTheme="minorBidi"/>
          <w:sz w:val="18"/>
          <w:szCs w:val="18"/>
        </w:rPr>
        <w:t>1. Systematic review and meta-analysis registered protocol in SYRCLE website: https://www.radboudumc.nl/en/research/technology-centers/animal-research-facility/systematic-review-center-for-laboratory-animal-experimentation/protocols NSAIDs effect on bone healing after bone fracture in animal models.</w:t>
      </w:r>
    </w:p>
    <w:tbl>
      <w:tblPr>
        <w:tblpPr w:leftFromText="141" w:rightFromText="141" w:vertAnchor="page" w:horzAnchor="page" w:tblpX="604" w:tblpY="2657"/>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5"/>
        <w:gridCol w:w="3585"/>
        <w:gridCol w:w="4560"/>
        <w:gridCol w:w="840"/>
        <w:gridCol w:w="1080"/>
      </w:tblGrid>
      <w:tr w:rsidR="003356FE" w:rsidRPr="00E367B2" w14:paraId="464B8183" w14:textId="77777777" w:rsidTr="00D341CD">
        <w:trPr>
          <w:trHeight w:val="1317"/>
        </w:trPr>
        <w:tc>
          <w:tcPr>
            <w:tcW w:w="10630" w:type="dxa"/>
            <w:gridSpan w:val="5"/>
            <w:tcBorders>
              <w:top w:val="nil"/>
              <w:left w:val="nil"/>
              <w:bottom w:val="single" w:sz="4" w:space="0" w:color="auto"/>
              <w:right w:val="nil"/>
            </w:tcBorders>
            <w:shd w:val="clear" w:color="auto" w:fill="auto"/>
            <w:noWrap/>
            <w:vAlign w:val="center"/>
            <w:hideMark/>
          </w:tcPr>
          <w:p w14:paraId="7DC12606" w14:textId="77777777" w:rsidR="003356FE" w:rsidRPr="00E367B2" w:rsidRDefault="003356FE" w:rsidP="00D341CD">
            <w:pPr>
              <w:jc w:val="center"/>
              <w:rPr>
                <w:rFonts w:ascii="Calibri" w:hAnsi="Calibri"/>
                <w:b/>
                <w:smallCaps/>
                <w:color w:val="2E025E"/>
                <w:sz w:val="32"/>
              </w:rPr>
            </w:pPr>
            <w:r w:rsidRPr="00E367B2">
              <w:rPr>
                <w:noProof/>
                <w:color w:val="2E025E"/>
                <w:lang w:val="en-GB" w:eastAsia="en-GB"/>
              </w:rPr>
              <w:drawing>
                <wp:anchor distT="0" distB="0" distL="114300" distR="114300" simplePos="0" relativeHeight="251659264" behindDoc="0" locked="0" layoutInCell="1" allowOverlap="1" wp14:anchorId="3A3FBD54" wp14:editId="3A4F06A0">
                  <wp:simplePos x="0" y="0"/>
                  <wp:positionH relativeFrom="column">
                    <wp:posOffset>5970270</wp:posOffset>
                  </wp:positionH>
                  <wp:positionV relativeFrom="paragraph">
                    <wp:posOffset>-41910</wp:posOffset>
                  </wp:positionV>
                  <wp:extent cx="819150" cy="819150"/>
                  <wp:effectExtent l="0" t="0" r="0" b="0"/>
                  <wp:wrapNone/>
                  <wp:docPr id="16" name="Picture 16" descr="logo%20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20klein"/>
                          <pic:cNvPicPr>
                            <a:picLocks noChangeAspect="1" noChangeArrowheads="1"/>
                          </pic:cNvPicPr>
                        </pic:nvPicPr>
                        <pic:blipFill>
                          <a:blip r:embed="rId7" cstate="print">
                            <a:clrChange>
                              <a:clrFrom>
                                <a:srgbClr val="FDFDFD"/>
                              </a:clrFrom>
                              <a:clrTo>
                                <a:srgbClr val="FDFDFD">
                                  <a:alpha val="0"/>
                                </a:srgbClr>
                              </a:clrTo>
                            </a:clrChange>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67B2">
              <w:rPr>
                <w:rFonts w:ascii="Calibri" w:hAnsi="Calibri"/>
                <w:b/>
                <w:smallCaps/>
                <w:color w:val="2E025E"/>
                <w:sz w:val="32"/>
              </w:rPr>
              <w:t xml:space="preserve"> Systematic Review Protocol for Animal Intervention Studies</w:t>
            </w:r>
          </w:p>
          <w:p w14:paraId="75DC9CC7" w14:textId="77777777" w:rsidR="003356FE" w:rsidRPr="00E367B2" w:rsidRDefault="003356FE" w:rsidP="00D341CD">
            <w:pPr>
              <w:jc w:val="center"/>
              <w:rPr>
                <w:rFonts w:ascii="Calibri" w:hAnsi="Calibri"/>
                <w:b/>
                <w:smallCaps/>
                <w:color w:val="2E025E"/>
                <w:sz w:val="24"/>
              </w:rPr>
            </w:pPr>
          </w:p>
          <w:p w14:paraId="2B776E03" w14:textId="77777777" w:rsidR="003356FE" w:rsidRPr="00E367B2" w:rsidRDefault="003356FE" w:rsidP="00D341CD">
            <w:pPr>
              <w:jc w:val="center"/>
              <w:rPr>
                <w:rFonts w:ascii="Calibri" w:hAnsi="Calibri"/>
                <w:b/>
                <w:smallCaps/>
                <w:color w:val="2E025E"/>
                <w:sz w:val="24"/>
              </w:rPr>
            </w:pPr>
            <w:r w:rsidRPr="00E367B2">
              <w:rPr>
                <w:rFonts w:ascii="Calibri" w:hAnsi="Calibri"/>
                <w:b/>
                <w:smallCaps/>
                <w:color w:val="2E025E"/>
                <w:sz w:val="24"/>
              </w:rPr>
              <w:t>Format by SYRCLE (</w:t>
            </w:r>
            <w:hyperlink r:id="rId8" w:history="1">
              <w:r w:rsidRPr="00E367B2">
                <w:rPr>
                  <w:rFonts w:ascii="Calibri" w:hAnsi="Calibri"/>
                  <w:b/>
                  <w:smallCaps/>
                  <w:color w:val="0000FF"/>
                  <w:sz w:val="24"/>
                  <w:u w:val="single"/>
                </w:rPr>
                <w:t>www.syrcle.nl</w:t>
              </w:r>
            </w:hyperlink>
            <w:r w:rsidRPr="00E367B2">
              <w:rPr>
                <w:rFonts w:ascii="Calibri" w:hAnsi="Calibri"/>
                <w:b/>
                <w:smallCaps/>
                <w:color w:val="2E025E"/>
                <w:sz w:val="24"/>
              </w:rPr>
              <w:t>)</w:t>
            </w:r>
          </w:p>
          <w:p w14:paraId="1FC43C56" w14:textId="77777777" w:rsidR="003356FE" w:rsidRPr="00E367B2" w:rsidRDefault="003356FE" w:rsidP="00D341CD">
            <w:pPr>
              <w:jc w:val="center"/>
              <w:rPr>
                <w:rFonts w:ascii="Calibri" w:hAnsi="Calibri"/>
                <w:color w:val="FFFFFF"/>
              </w:rPr>
            </w:pPr>
            <w:r w:rsidRPr="00E367B2">
              <w:rPr>
                <w:rFonts w:ascii="Calibri" w:hAnsi="Calibri"/>
                <w:b/>
                <w:smallCaps/>
                <w:color w:val="2E025E"/>
                <w:sz w:val="24"/>
              </w:rPr>
              <w:t>Version 2.0 (December 2014)</w:t>
            </w:r>
          </w:p>
        </w:tc>
      </w:tr>
      <w:tr w:rsidR="003356FE" w:rsidRPr="00E367B2" w14:paraId="5AE5C3C4" w14:textId="77777777" w:rsidTr="00D341CD">
        <w:trPr>
          <w:trHeight w:val="240"/>
        </w:trPr>
        <w:tc>
          <w:tcPr>
            <w:tcW w:w="565" w:type="dxa"/>
            <w:tcBorders>
              <w:top w:val="single" w:sz="4" w:space="0" w:color="auto"/>
              <w:left w:val="single" w:sz="4" w:space="0" w:color="auto"/>
            </w:tcBorders>
            <w:shd w:val="clear" w:color="auto" w:fill="auto"/>
            <w:noWrap/>
            <w:vAlign w:val="center"/>
            <w:hideMark/>
          </w:tcPr>
          <w:p w14:paraId="59B4695D" w14:textId="77777777" w:rsidR="003356FE" w:rsidRPr="00E367B2" w:rsidRDefault="003356FE" w:rsidP="00D341CD">
            <w:pPr>
              <w:jc w:val="center"/>
              <w:rPr>
                <w:rFonts w:ascii="Calibri" w:hAnsi="Calibri"/>
                <w:b/>
                <w:color w:val="000000"/>
              </w:rPr>
            </w:pPr>
            <w:r w:rsidRPr="00E367B2">
              <w:rPr>
                <w:rFonts w:ascii="Calibri" w:hAnsi="Calibri"/>
                <w:b/>
                <w:color w:val="000000"/>
              </w:rPr>
              <w:t>Item #</w:t>
            </w:r>
          </w:p>
        </w:tc>
        <w:tc>
          <w:tcPr>
            <w:tcW w:w="3585" w:type="dxa"/>
            <w:tcBorders>
              <w:top w:val="single" w:sz="4" w:space="0" w:color="auto"/>
            </w:tcBorders>
            <w:shd w:val="clear" w:color="auto" w:fill="auto"/>
            <w:vAlign w:val="center"/>
            <w:hideMark/>
          </w:tcPr>
          <w:p w14:paraId="793AE867" w14:textId="77777777" w:rsidR="003356FE" w:rsidRPr="00E367B2" w:rsidRDefault="003356FE" w:rsidP="00D341CD">
            <w:pPr>
              <w:rPr>
                <w:rFonts w:ascii="Calibri" w:hAnsi="Calibri"/>
                <w:b/>
                <w:color w:val="000000"/>
              </w:rPr>
            </w:pPr>
            <w:r w:rsidRPr="00E367B2">
              <w:rPr>
                <w:rFonts w:ascii="Calibri" w:hAnsi="Calibri"/>
                <w:b/>
                <w:color w:val="000000"/>
              </w:rPr>
              <w:t>Section/Subsection/Item</w:t>
            </w:r>
          </w:p>
        </w:tc>
        <w:tc>
          <w:tcPr>
            <w:tcW w:w="5400" w:type="dxa"/>
            <w:gridSpan w:val="2"/>
            <w:tcBorders>
              <w:top w:val="single" w:sz="4" w:space="0" w:color="auto"/>
            </w:tcBorders>
            <w:shd w:val="clear" w:color="auto" w:fill="auto"/>
            <w:noWrap/>
            <w:vAlign w:val="center"/>
            <w:hideMark/>
          </w:tcPr>
          <w:p w14:paraId="63F2AC87" w14:textId="77777777" w:rsidR="003356FE" w:rsidRPr="00E367B2" w:rsidRDefault="003356FE" w:rsidP="00D341CD">
            <w:pPr>
              <w:rPr>
                <w:rFonts w:ascii="Calibri" w:hAnsi="Calibri"/>
                <w:b/>
                <w:color w:val="000000"/>
              </w:rPr>
            </w:pPr>
            <w:r w:rsidRPr="00E367B2">
              <w:rPr>
                <w:rFonts w:ascii="Calibri" w:hAnsi="Calibri"/>
                <w:b/>
                <w:color w:val="000000"/>
              </w:rPr>
              <w:t>Description</w:t>
            </w:r>
          </w:p>
        </w:tc>
        <w:tc>
          <w:tcPr>
            <w:tcW w:w="1080" w:type="dxa"/>
            <w:tcBorders>
              <w:top w:val="single" w:sz="4" w:space="0" w:color="auto"/>
              <w:right w:val="single" w:sz="4" w:space="0" w:color="auto"/>
            </w:tcBorders>
            <w:shd w:val="clear" w:color="auto" w:fill="auto"/>
            <w:noWrap/>
            <w:vAlign w:val="center"/>
            <w:hideMark/>
          </w:tcPr>
          <w:p w14:paraId="6FD1B3A5" w14:textId="77777777" w:rsidR="003356FE" w:rsidRPr="00E367B2" w:rsidRDefault="003356FE" w:rsidP="00D341CD">
            <w:pPr>
              <w:jc w:val="center"/>
              <w:rPr>
                <w:rFonts w:ascii="Calibri" w:hAnsi="Calibri"/>
                <w:b/>
                <w:color w:val="000000"/>
              </w:rPr>
            </w:pPr>
            <w:r w:rsidRPr="00E367B2">
              <w:rPr>
                <w:rFonts w:ascii="Calibri" w:hAnsi="Calibri"/>
                <w:b/>
                <w:color w:val="000000"/>
              </w:rPr>
              <w:t>Check for approval</w:t>
            </w:r>
          </w:p>
        </w:tc>
      </w:tr>
      <w:tr w:rsidR="003356FE" w:rsidRPr="00E367B2" w14:paraId="5909B433" w14:textId="77777777" w:rsidTr="00D341CD">
        <w:trPr>
          <w:trHeight w:val="240"/>
        </w:trPr>
        <w:tc>
          <w:tcPr>
            <w:tcW w:w="565" w:type="dxa"/>
            <w:shd w:val="clear" w:color="auto" w:fill="2E025E"/>
            <w:noWrap/>
            <w:hideMark/>
          </w:tcPr>
          <w:p w14:paraId="3B9415BD" w14:textId="77777777" w:rsidR="003356FE" w:rsidRPr="00E367B2" w:rsidRDefault="003356FE" w:rsidP="00D341CD">
            <w:pPr>
              <w:rPr>
                <w:rFonts w:ascii="Calibri" w:hAnsi="Calibri"/>
                <w:color w:val="FFFFFF"/>
              </w:rPr>
            </w:pPr>
          </w:p>
        </w:tc>
        <w:tc>
          <w:tcPr>
            <w:tcW w:w="10065" w:type="dxa"/>
            <w:gridSpan w:val="4"/>
            <w:shd w:val="clear" w:color="auto" w:fill="2E025E"/>
            <w:vAlign w:val="center"/>
            <w:hideMark/>
          </w:tcPr>
          <w:p w14:paraId="3B12BDD7" w14:textId="77777777" w:rsidR="003356FE" w:rsidRPr="00E367B2" w:rsidRDefault="003356FE" w:rsidP="00D341CD">
            <w:pPr>
              <w:rPr>
                <w:rFonts w:ascii="Calibri" w:hAnsi="Calibri"/>
                <w:color w:val="FFFFFF"/>
              </w:rPr>
            </w:pPr>
            <w:r w:rsidRPr="00E367B2">
              <w:rPr>
                <w:rFonts w:ascii="Calibri" w:hAnsi="Calibri"/>
                <w:color w:val="FFFFFF"/>
              </w:rPr>
              <w:t xml:space="preserve">A. General </w:t>
            </w:r>
          </w:p>
        </w:tc>
      </w:tr>
      <w:tr w:rsidR="003356FE" w:rsidRPr="00E367B2" w14:paraId="7F303989" w14:textId="77777777" w:rsidTr="00D341CD">
        <w:trPr>
          <w:trHeight w:val="240"/>
        </w:trPr>
        <w:tc>
          <w:tcPr>
            <w:tcW w:w="565" w:type="dxa"/>
            <w:shd w:val="clear" w:color="auto" w:fill="auto"/>
            <w:noWrap/>
            <w:vAlign w:val="center"/>
            <w:hideMark/>
          </w:tcPr>
          <w:p w14:paraId="6452F339" w14:textId="77777777" w:rsidR="003356FE" w:rsidRPr="00E367B2" w:rsidRDefault="003356FE" w:rsidP="00D341CD">
            <w:pPr>
              <w:rPr>
                <w:rFonts w:ascii="Calibri" w:hAnsi="Calibri"/>
                <w:color w:val="000000"/>
              </w:rPr>
            </w:pPr>
            <w:r w:rsidRPr="00E367B2">
              <w:rPr>
                <w:rFonts w:ascii="Calibri" w:hAnsi="Calibri"/>
                <w:color w:val="000000"/>
              </w:rPr>
              <w:t>1.</w:t>
            </w:r>
          </w:p>
        </w:tc>
        <w:tc>
          <w:tcPr>
            <w:tcW w:w="3585" w:type="dxa"/>
            <w:shd w:val="clear" w:color="auto" w:fill="auto"/>
            <w:vAlign w:val="center"/>
            <w:hideMark/>
          </w:tcPr>
          <w:p w14:paraId="5D49C4B8" w14:textId="77777777" w:rsidR="003356FE" w:rsidRPr="00E367B2" w:rsidRDefault="003356FE" w:rsidP="00D341CD">
            <w:pPr>
              <w:rPr>
                <w:rFonts w:ascii="Calibri" w:hAnsi="Calibri"/>
                <w:color w:val="000000"/>
              </w:rPr>
            </w:pPr>
            <w:r w:rsidRPr="00E367B2">
              <w:rPr>
                <w:rFonts w:ascii="Calibri" w:hAnsi="Calibri"/>
                <w:color w:val="000000"/>
              </w:rPr>
              <w:t>Title of the review</w:t>
            </w:r>
          </w:p>
        </w:tc>
        <w:tc>
          <w:tcPr>
            <w:tcW w:w="5400" w:type="dxa"/>
            <w:gridSpan w:val="2"/>
            <w:shd w:val="clear" w:color="auto" w:fill="auto"/>
            <w:noWrap/>
            <w:vAlign w:val="bottom"/>
            <w:hideMark/>
          </w:tcPr>
          <w:p w14:paraId="720CC013" w14:textId="77777777" w:rsidR="003356FE" w:rsidRPr="00E367B2" w:rsidRDefault="003356FE" w:rsidP="00D341CD">
            <w:pPr>
              <w:rPr>
                <w:rFonts w:ascii="Calibri" w:hAnsi="Calibri"/>
                <w:color w:val="000000"/>
              </w:rPr>
            </w:pPr>
            <w:r w:rsidRPr="00E367B2">
              <w:rPr>
                <w:rFonts w:ascii="Calibri" w:hAnsi="Calibri"/>
                <w:color w:val="000000"/>
              </w:rPr>
              <w:t>Non-Steroidal Anti-inflammatory Drugs and bone healing in animal Models - Systematic Review and Meta-Analysis</w:t>
            </w:r>
          </w:p>
        </w:tc>
        <w:tc>
          <w:tcPr>
            <w:tcW w:w="1080" w:type="dxa"/>
            <w:shd w:val="clear" w:color="auto" w:fill="auto"/>
            <w:noWrap/>
            <w:vAlign w:val="center"/>
            <w:hideMark/>
          </w:tcPr>
          <w:p w14:paraId="6E31950E" w14:textId="77777777" w:rsidR="003356FE" w:rsidRPr="00E367B2" w:rsidRDefault="003356FE" w:rsidP="00D341CD">
            <w:pPr>
              <w:jc w:val="center"/>
              <w:rPr>
                <w:rFonts w:ascii="Calibri" w:hAnsi="Calibri"/>
                <w:color w:val="000000"/>
              </w:rPr>
            </w:pPr>
          </w:p>
        </w:tc>
      </w:tr>
      <w:tr w:rsidR="003356FE" w:rsidRPr="00E367B2" w14:paraId="77D26A7C" w14:textId="77777777" w:rsidTr="00D341CD">
        <w:trPr>
          <w:trHeight w:val="240"/>
        </w:trPr>
        <w:tc>
          <w:tcPr>
            <w:tcW w:w="565" w:type="dxa"/>
            <w:shd w:val="clear" w:color="auto" w:fill="auto"/>
            <w:noWrap/>
            <w:vAlign w:val="center"/>
            <w:hideMark/>
          </w:tcPr>
          <w:p w14:paraId="781C3BEB" w14:textId="77777777" w:rsidR="003356FE" w:rsidRPr="00E367B2" w:rsidRDefault="003356FE" w:rsidP="00D341CD">
            <w:pPr>
              <w:rPr>
                <w:rFonts w:ascii="Calibri" w:hAnsi="Calibri"/>
                <w:color w:val="000000"/>
              </w:rPr>
            </w:pPr>
            <w:r w:rsidRPr="00E367B2">
              <w:rPr>
                <w:rFonts w:ascii="Calibri" w:hAnsi="Calibri"/>
                <w:color w:val="000000"/>
              </w:rPr>
              <w:t>2.</w:t>
            </w:r>
          </w:p>
        </w:tc>
        <w:tc>
          <w:tcPr>
            <w:tcW w:w="3585" w:type="dxa"/>
            <w:shd w:val="clear" w:color="auto" w:fill="auto"/>
            <w:vAlign w:val="center"/>
            <w:hideMark/>
          </w:tcPr>
          <w:p w14:paraId="6E33B003" w14:textId="77777777" w:rsidR="003356FE" w:rsidRPr="00E367B2" w:rsidRDefault="003356FE" w:rsidP="00D341CD">
            <w:pPr>
              <w:rPr>
                <w:rFonts w:ascii="Calibri" w:hAnsi="Calibri"/>
                <w:color w:val="000000"/>
              </w:rPr>
            </w:pPr>
            <w:r w:rsidRPr="00E367B2">
              <w:rPr>
                <w:rFonts w:ascii="Calibri" w:hAnsi="Calibri"/>
                <w:color w:val="000000"/>
              </w:rPr>
              <w:t>Authors (names, affiliations, contributions)</w:t>
            </w:r>
          </w:p>
        </w:tc>
        <w:tc>
          <w:tcPr>
            <w:tcW w:w="5400" w:type="dxa"/>
            <w:gridSpan w:val="2"/>
            <w:shd w:val="clear" w:color="auto" w:fill="auto"/>
            <w:noWrap/>
            <w:vAlign w:val="center"/>
            <w:hideMark/>
          </w:tcPr>
          <w:p w14:paraId="4FF456DA" w14:textId="77777777" w:rsidR="003356FE" w:rsidRPr="00E367B2" w:rsidRDefault="003356FE" w:rsidP="00D341CD">
            <w:pPr>
              <w:rPr>
                <w:rFonts w:ascii="Calibri" w:hAnsi="Calibri" w:cs="Calibri"/>
                <w:color w:val="000000"/>
              </w:rPr>
            </w:pPr>
            <w:r w:rsidRPr="00E367B2">
              <w:rPr>
                <w:rFonts w:ascii="Calibri" w:hAnsi="Calibri" w:cs="Calibri"/>
                <w:color w:val="000000"/>
              </w:rPr>
              <w:t>Haider Al-Waeli: PhD Candidate, Faculty of Dentistry, McGill University, Canada. (writing manuscripts, reviewer of the first and full text screening, data extraction and meta-analysis)</w:t>
            </w:r>
          </w:p>
          <w:p w14:paraId="6BB4DB75" w14:textId="77777777" w:rsidR="003356FE" w:rsidRPr="00E367B2" w:rsidRDefault="003356FE" w:rsidP="00D341CD">
            <w:pPr>
              <w:rPr>
                <w:rFonts w:ascii="Calibri" w:hAnsi="Calibri" w:cs="Calibri"/>
                <w:color w:val="000000"/>
              </w:rPr>
            </w:pPr>
            <w:r w:rsidRPr="00E367B2">
              <w:rPr>
                <w:rFonts w:ascii="Calibri" w:hAnsi="Calibri" w:cs="Calibri"/>
                <w:color w:val="000000"/>
              </w:rPr>
              <w:t>Ana Paula Reboucas – MS Department of Pediatric Dentistry and Orthodontics, Faculty of Dentistry, Federal University of Minas Gerais, Belo Horizonte, Brazil. (reviewer of the first and full text screening, data extraction).</w:t>
            </w:r>
          </w:p>
          <w:p w14:paraId="145417C9" w14:textId="77777777" w:rsidR="003356FE" w:rsidRPr="00E367B2" w:rsidRDefault="003356FE" w:rsidP="00D341CD">
            <w:pPr>
              <w:rPr>
                <w:rFonts w:ascii="Calibri" w:hAnsi="Calibri" w:cs="Calibri"/>
                <w:color w:val="000000"/>
              </w:rPr>
            </w:pPr>
            <w:r w:rsidRPr="00E367B2">
              <w:rPr>
                <w:rFonts w:ascii="Calibri" w:hAnsi="Calibri" w:cs="Calibri"/>
                <w:color w:val="000000"/>
              </w:rPr>
              <w:t>Martin Morris- Liaison Librarian, Schulich Library of Physical Sciences, McGill University, Canada. (search strategy, writing the methods and Prisma generation and optimizing search strategy)</w:t>
            </w:r>
          </w:p>
          <w:p w14:paraId="79212C4B" w14:textId="77777777" w:rsidR="003356FE" w:rsidRPr="00E367B2" w:rsidRDefault="003356FE" w:rsidP="00D341CD">
            <w:pPr>
              <w:rPr>
                <w:rFonts w:ascii="Calibri" w:hAnsi="Calibri"/>
                <w:color w:val="000000"/>
              </w:rPr>
            </w:pPr>
            <w:r w:rsidRPr="00E367B2">
              <w:rPr>
                <w:rFonts w:ascii="Calibri" w:hAnsi="Calibri" w:cs="Calibri"/>
                <w:color w:val="000000"/>
              </w:rPr>
              <w:t>Belinda Nicolau – Associate Professor at Faculty of Dentistry, McGill University, Canada. (Supervisor professor for the project, editing manuscripts)</w:t>
            </w:r>
          </w:p>
        </w:tc>
        <w:tc>
          <w:tcPr>
            <w:tcW w:w="1080" w:type="dxa"/>
            <w:shd w:val="clear" w:color="auto" w:fill="auto"/>
            <w:noWrap/>
            <w:vAlign w:val="center"/>
            <w:hideMark/>
          </w:tcPr>
          <w:p w14:paraId="08AD34E2" w14:textId="77777777" w:rsidR="003356FE" w:rsidRPr="00E367B2" w:rsidRDefault="003356FE" w:rsidP="00D341CD">
            <w:pPr>
              <w:rPr>
                <w:rFonts w:ascii="Calibri" w:hAnsi="Calibri"/>
                <w:color w:val="000000"/>
              </w:rPr>
            </w:pPr>
          </w:p>
        </w:tc>
      </w:tr>
      <w:tr w:rsidR="003356FE" w:rsidRPr="00E367B2" w14:paraId="039D7147" w14:textId="77777777" w:rsidTr="00D341CD">
        <w:trPr>
          <w:trHeight w:val="240"/>
        </w:trPr>
        <w:tc>
          <w:tcPr>
            <w:tcW w:w="565" w:type="dxa"/>
            <w:shd w:val="clear" w:color="auto" w:fill="auto"/>
            <w:noWrap/>
            <w:vAlign w:val="center"/>
            <w:hideMark/>
          </w:tcPr>
          <w:p w14:paraId="5E4C1394" w14:textId="77777777" w:rsidR="003356FE" w:rsidRPr="00E367B2" w:rsidRDefault="003356FE" w:rsidP="00D341CD">
            <w:pPr>
              <w:rPr>
                <w:rFonts w:ascii="Calibri" w:hAnsi="Calibri"/>
                <w:color w:val="000000"/>
              </w:rPr>
            </w:pPr>
            <w:r w:rsidRPr="00E367B2">
              <w:rPr>
                <w:rFonts w:ascii="Calibri" w:hAnsi="Calibri"/>
                <w:color w:val="000000"/>
              </w:rPr>
              <w:t>3.</w:t>
            </w:r>
          </w:p>
        </w:tc>
        <w:tc>
          <w:tcPr>
            <w:tcW w:w="3585" w:type="dxa"/>
            <w:shd w:val="clear" w:color="auto" w:fill="auto"/>
            <w:vAlign w:val="center"/>
            <w:hideMark/>
          </w:tcPr>
          <w:p w14:paraId="2797EA69" w14:textId="77777777" w:rsidR="003356FE" w:rsidRPr="00E367B2" w:rsidRDefault="003356FE" w:rsidP="00D341CD">
            <w:pPr>
              <w:rPr>
                <w:rFonts w:ascii="Calibri" w:hAnsi="Calibri"/>
                <w:color w:val="000000"/>
              </w:rPr>
            </w:pPr>
            <w:r w:rsidRPr="00E367B2">
              <w:rPr>
                <w:rFonts w:ascii="Calibri" w:hAnsi="Calibri"/>
                <w:color w:val="000000"/>
              </w:rPr>
              <w:t>Other contributors (names, affiliations, contributions)</w:t>
            </w:r>
          </w:p>
        </w:tc>
        <w:tc>
          <w:tcPr>
            <w:tcW w:w="5400" w:type="dxa"/>
            <w:gridSpan w:val="2"/>
            <w:shd w:val="clear" w:color="auto" w:fill="auto"/>
            <w:noWrap/>
            <w:vAlign w:val="bottom"/>
            <w:hideMark/>
          </w:tcPr>
          <w:p w14:paraId="0A08893A" w14:textId="77777777" w:rsidR="003356FE" w:rsidRPr="00E367B2" w:rsidRDefault="003356FE" w:rsidP="00D341CD">
            <w:pPr>
              <w:rPr>
                <w:rFonts w:ascii="Calibri" w:hAnsi="Calibri"/>
                <w:color w:val="000000"/>
              </w:rPr>
            </w:pPr>
            <w:r w:rsidRPr="00E367B2">
              <w:rPr>
                <w:rFonts w:ascii="Calibri" w:hAnsi="Calibri"/>
                <w:color w:val="000000"/>
              </w:rPr>
              <w:t>Alaa Mansour- PhD candidate, McGill University (second reviewer for the study quality extraction)</w:t>
            </w:r>
          </w:p>
        </w:tc>
        <w:tc>
          <w:tcPr>
            <w:tcW w:w="1080" w:type="dxa"/>
            <w:shd w:val="clear" w:color="auto" w:fill="auto"/>
            <w:noWrap/>
            <w:vAlign w:val="center"/>
            <w:hideMark/>
          </w:tcPr>
          <w:p w14:paraId="048529B3" w14:textId="77777777" w:rsidR="003356FE" w:rsidRPr="00E367B2" w:rsidRDefault="003356FE" w:rsidP="00D341CD">
            <w:pPr>
              <w:jc w:val="center"/>
              <w:rPr>
                <w:rFonts w:ascii="Calibri" w:hAnsi="Calibri"/>
                <w:color w:val="000000"/>
              </w:rPr>
            </w:pPr>
          </w:p>
        </w:tc>
      </w:tr>
      <w:tr w:rsidR="003356FE" w:rsidRPr="00E367B2" w14:paraId="6A7B5739" w14:textId="77777777" w:rsidTr="00D341CD">
        <w:trPr>
          <w:trHeight w:val="240"/>
        </w:trPr>
        <w:tc>
          <w:tcPr>
            <w:tcW w:w="565" w:type="dxa"/>
            <w:shd w:val="clear" w:color="auto" w:fill="auto"/>
            <w:noWrap/>
            <w:vAlign w:val="center"/>
            <w:hideMark/>
          </w:tcPr>
          <w:p w14:paraId="4A0F5B94" w14:textId="77777777" w:rsidR="003356FE" w:rsidRPr="00E367B2" w:rsidRDefault="003356FE" w:rsidP="00D341CD">
            <w:pPr>
              <w:rPr>
                <w:rFonts w:ascii="Calibri" w:hAnsi="Calibri"/>
                <w:color w:val="000000"/>
              </w:rPr>
            </w:pPr>
            <w:r w:rsidRPr="00E367B2">
              <w:rPr>
                <w:rFonts w:ascii="Calibri" w:hAnsi="Calibri"/>
                <w:color w:val="000000"/>
              </w:rPr>
              <w:t>4.</w:t>
            </w:r>
          </w:p>
        </w:tc>
        <w:tc>
          <w:tcPr>
            <w:tcW w:w="3585" w:type="dxa"/>
            <w:shd w:val="clear" w:color="auto" w:fill="auto"/>
            <w:vAlign w:val="center"/>
            <w:hideMark/>
          </w:tcPr>
          <w:p w14:paraId="4A390BBD" w14:textId="77777777" w:rsidR="003356FE" w:rsidRPr="00E367B2" w:rsidRDefault="003356FE" w:rsidP="00D341CD">
            <w:pPr>
              <w:rPr>
                <w:rFonts w:ascii="Calibri" w:hAnsi="Calibri"/>
                <w:color w:val="000000"/>
              </w:rPr>
            </w:pPr>
            <w:r w:rsidRPr="00E367B2">
              <w:rPr>
                <w:rFonts w:ascii="Calibri" w:hAnsi="Calibri"/>
                <w:color w:val="000000"/>
              </w:rPr>
              <w:t>Contact person + e-mail address</w:t>
            </w:r>
          </w:p>
        </w:tc>
        <w:tc>
          <w:tcPr>
            <w:tcW w:w="5400" w:type="dxa"/>
            <w:gridSpan w:val="2"/>
            <w:shd w:val="clear" w:color="auto" w:fill="auto"/>
            <w:noWrap/>
            <w:vAlign w:val="bottom"/>
            <w:hideMark/>
          </w:tcPr>
          <w:p w14:paraId="09843CBD" w14:textId="77777777" w:rsidR="003356FE" w:rsidRPr="00E367B2" w:rsidRDefault="003356FE" w:rsidP="00D341CD">
            <w:pPr>
              <w:rPr>
                <w:rFonts w:ascii="Calibri" w:hAnsi="Calibri"/>
                <w:color w:val="000000"/>
              </w:rPr>
            </w:pPr>
            <w:r w:rsidRPr="00E367B2">
              <w:rPr>
                <w:rFonts w:ascii="Calibri" w:hAnsi="Calibri"/>
                <w:color w:val="000000"/>
              </w:rPr>
              <w:t>Haider Al-Waeli+haider.al-waeli@mail.mcgill.ca</w:t>
            </w:r>
          </w:p>
        </w:tc>
        <w:tc>
          <w:tcPr>
            <w:tcW w:w="1080" w:type="dxa"/>
            <w:shd w:val="clear" w:color="auto" w:fill="auto"/>
            <w:noWrap/>
            <w:vAlign w:val="center"/>
            <w:hideMark/>
          </w:tcPr>
          <w:p w14:paraId="311AC16E" w14:textId="77777777" w:rsidR="003356FE" w:rsidRPr="00E367B2" w:rsidRDefault="003356FE" w:rsidP="00D341CD">
            <w:pPr>
              <w:jc w:val="center"/>
              <w:rPr>
                <w:rFonts w:ascii="Calibri" w:hAnsi="Calibri"/>
                <w:color w:val="000000"/>
              </w:rPr>
            </w:pPr>
          </w:p>
        </w:tc>
      </w:tr>
      <w:tr w:rsidR="003356FE" w:rsidRPr="00E367B2" w14:paraId="1B499B39" w14:textId="77777777" w:rsidTr="00D341CD">
        <w:trPr>
          <w:trHeight w:val="240"/>
        </w:trPr>
        <w:tc>
          <w:tcPr>
            <w:tcW w:w="565" w:type="dxa"/>
            <w:shd w:val="clear" w:color="auto" w:fill="auto"/>
            <w:noWrap/>
            <w:vAlign w:val="center"/>
            <w:hideMark/>
          </w:tcPr>
          <w:p w14:paraId="18CE23BD" w14:textId="77777777" w:rsidR="003356FE" w:rsidRPr="00E367B2" w:rsidRDefault="003356FE" w:rsidP="00D341CD">
            <w:pPr>
              <w:rPr>
                <w:rFonts w:ascii="Calibri" w:hAnsi="Calibri"/>
                <w:color w:val="000000"/>
              </w:rPr>
            </w:pPr>
            <w:r w:rsidRPr="00E367B2">
              <w:rPr>
                <w:rFonts w:ascii="Calibri" w:hAnsi="Calibri"/>
                <w:color w:val="000000"/>
              </w:rPr>
              <w:t>5.</w:t>
            </w:r>
          </w:p>
        </w:tc>
        <w:tc>
          <w:tcPr>
            <w:tcW w:w="3585" w:type="dxa"/>
            <w:shd w:val="clear" w:color="auto" w:fill="auto"/>
            <w:vAlign w:val="center"/>
            <w:hideMark/>
          </w:tcPr>
          <w:p w14:paraId="373DD111" w14:textId="77777777" w:rsidR="003356FE" w:rsidRPr="00E367B2" w:rsidRDefault="003356FE" w:rsidP="00D341CD">
            <w:pPr>
              <w:rPr>
                <w:rFonts w:ascii="Calibri" w:hAnsi="Calibri"/>
                <w:color w:val="000000"/>
              </w:rPr>
            </w:pPr>
            <w:r w:rsidRPr="00E367B2">
              <w:rPr>
                <w:rFonts w:ascii="Calibri" w:hAnsi="Calibri"/>
                <w:color w:val="000000"/>
              </w:rPr>
              <w:t>Funding sources/sponsors</w:t>
            </w:r>
          </w:p>
        </w:tc>
        <w:tc>
          <w:tcPr>
            <w:tcW w:w="5400" w:type="dxa"/>
            <w:gridSpan w:val="2"/>
            <w:shd w:val="clear" w:color="auto" w:fill="auto"/>
            <w:noWrap/>
            <w:vAlign w:val="bottom"/>
            <w:hideMark/>
          </w:tcPr>
          <w:p w14:paraId="598A56FC" w14:textId="77777777" w:rsidR="003356FE" w:rsidRPr="00E367B2" w:rsidRDefault="003356FE" w:rsidP="00D341CD">
            <w:pPr>
              <w:rPr>
                <w:rFonts w:ascii="Calibri" w:hAnsi="Calibri"/>
                <w:color w:val="000000"/>
              </w:rPr>
            </w:pPr>
            <w:r w:rsidRPr="00E367B2">
              <w:rPr>
                <w:rFonts w:ascii="Calibri" w:hAnsi="Calibri"/>
                <w:color w:val="000000"/>
              </w:rPr>
              <w:t>None</w:t>
            </w:r>
          </w:p>
        </w:tc>
        <w:tc>
          <w:tcPr>
            <w:tcW w:w="1080" w:type="dxa"/>
            <w:shd w:val="clear" w:color="auto" w:fill="auto"/>
            <w:noWrap/>
            <w:vAlign w:val="center"/>
            <w:hideMark/>
          </w:tcPr>
          <w:p w14:paraId="2B37EB46" w14:textId="77777777" w:rsidR="003356FE" w:rsidRPr="00E367B2" w:rsidRDefault="003356FE" w:rsidP="00D341CD">
            <w:pPr>
              <w:jc w:val="center"/>
              <w:rPr>
                <w:rFonts w:ascii="Calibri" w:hAnsi="Calibri"/>
                <w:color w:val="000000"/>
              </w:rPr>
            </w:pPr>
          </w:p>
        </w:tc>
      </w:tr>
      <w:tr w:rsidR="003356FE" w:rsidRPr="00E367B2" w14:paraId="122605A9" w14:textId="77777777" w:rsidTr="00D341CD">
        <w:trPr>
          <w:trHeight w:val="240"/>
        </w:trPr>
        <w:tc>
          <w:tcPr>
            <w:tcW w:w="565" w:type="dxa"/>
            <w:shd w:val="clear" w:color="auto" w:fill="auto"/>
            <w:noWrap/>
            <w:vAlign w:val="center"/>
            <w:hideMark/>
          </w:tcPr>
          <w:p w14:paraId="71D4956C" w14:textId="77777777" w:rsidR="003356FE" w:rsidRPr="00E367B2" w:rsidRDefault="003356FE" w:rsidP="00D341CD">
            <w:pPr>
              <w:rPr>
                <w:rFonts w:ascii="Calibri" w:hAnsi="Calibri"/>
                <w:color w:val="000000"/>
              </w:rPr>
            </w:pPr>
            <w:r w:rsidRPr="00E367B2">
              <w:rPr>
                <w:rFonts w:ascii="Calibri" w:hAnsi="Calibri"/>
                <w:color w:val="000000"/>
              </w:rPr>
              <w:t>6.</w:t>
            </w:r>
          </w:p>
        </w:tc>
        <w:tc>
          <w:tcPr>
            <w:tcW w:w="3585" w:type="dxa"/>
            <w:shd w:val="clear" w:color="auto" w:fill="auto"/>
            <w:vAlign w:val="center"/>
            <w:hideMark/>
          </w:tcPr>
          <w:p w14:paraId="03754786" w14:textId="77777777" w:rsidR="003356FE" w:rsidRPr="00E367B2" w:rsidRDefault="003356FE" w:rsidP="00D341CD">
            <w:pPr>
              <w:rPr>
                <w:rFonts w:ascii="Calibri" w:hAnsi="Calibri"/>
                <w:color w:val="000000"/>
              </w:rPr>
            </w:pPr>
            <w:r w:rsidRPr="00E367B2">
              <w:rPr>
                <w:rFonts w:ascii="Calibri" w:hAnsi="Calibri"/>
                <w:color w:val="000000"/>
              </w:rPr>
              <w:t>Conflicts of interest</w:t>
            </w:r>
          </w:p>
        </w:tc>
        <w:tc>
          <w:tcPr>
            <w:tcW w:w="5400" w:type="dxa"/>
            <w:gridSpan w:val="2"/>
            <w:shd w:val="clear" w:color="auto" w:fill="auto"/>
            <w:noWrap/>
            <w:vAlign w:val="bottom"/>
            <w:hideMark/>
          </w:tcPr>
          <w:p w14:paraId="454599C0" w14:textId="77777777" w:rsidR="003356FE" w:rsidRPr="00E367B2" w:rsidRDefault="003356FE" w:rsidP="00D341CD">
            <w:pPr>
              <w:rPr>
                <w:rFonts w:ascii="Calibri" w:hAnsi="Calibri"/>
                <w:color w:val="000000"/>
              </w:rPr>
            </w:pPr>
            <w:r w:rsidRPr="00E367B2">
              <w:rPr>
                <w:rFonts w:ascii="Calibri" w:hAnsi="Calibri"/>
                <w:color w:val="000000"/>
              </w:rPr>
              <w:t>None</w:t>
            </w:r>
          </w:p>
        </w:tc>
        <w:tc>
          <w:tcPr>
            <w:tcW w:w="1080" w:type="dxa"/>
            <w:shd w:val="clear" w:color="auto" w:fill="auto"/>
            <w:noWrap/>
            <w:vAlign w:val="center"/>
            <w:hideMark/>
          </w:tcPr>
          <w:p w14:paraId="1A282BD3" w14:textId="77777777" w:rsidR="003356FE" w:rsidRPr="00E367B2" w:rsidRDefault="003356FE" w:rsidP="00D341CD">
            <w:pPr>
              <w:jc w:val="center"/>
              <w:rPr>
                <w:rFonts w:ascii="Calibri" w:hAnsi="Calibri"/>
                <w:color w:val="000000"/>
              </w:rPr>
            </w:pPr>
          </w:p>
        </w:tc>
      </w:tr>
      <w:tr w:rsidR="003356FE" w:rsidRPr="00E367B2" w14:paraId="4A7208EB" w14:textId="77777777" w:rsidTr="00D341CD">
        <w:trPr>
          <w:trHeight w:val="240"/>
        </w:trPr>
        <w:tc>
          <w:tcPr>
            <w:tcW w:w="565" w:type="dxa"/>
            <w:shd w:val="clear" w:color="auto" w:fill="auto"/>
            <w:noWrap/>
            <w:vAlign w:val="center"/>
            <w:hideMark/>
          </w:tcPr>
          <w:p w14:paraId="57B3ED39" w14:textId="77777777" w:rsidR="003356FE" w:rsidRPr="00E367B2" w:rsidRDefault="003356FE" w:rsidP="00D341CD">
            <w:pPr>
              <w:rPr>
                <w:rFonts w:ascii="Calibri" w:hAnsi="Calibri"/>
                <w:color w:val="000000"/>
              </w:rPr>
            </w:pPr>
            <w:r w:rsidRPr="00E367B2">
              <w:rPr>
                <w:rFonts w:ascii="Calibri" w:hAnsi="Calibri"/>
                <w:color w:val="000000"/>
              </w:rPr>
              <w:lastRenderedPageBreak/>
              <w:t>7.</w:t>
            </w:r>
          </w:p>
        </w:tc>
        <w:tc>
          <w:tcPr>
            <w:tcW w:w="3585" w:type="dxa"/>
            <w:shd w:val="clear" w:color="auto" w:fill="auto"/>
            <w:vAlign w:val="center"/>
            <w:hideMark/>
          </w:tcPr>
          <w:p w14:paraId="2CA092D4" w14:textId="77777777" w:rsidR="003356FE" w:rsidRPr="00E367B2" w:rsidRDefault="003356FE" w:rsidP="00D341CD">
            <w:pPr>
              <w:rPr>
                <w:rFonts w:ascii="Calibri" w:hAnsi="Calibri"/>
                <w:color w:val="000000"/>
              </w:rPr>
            </w:pPr>
            <w:r w:rsidRPr="00E367B2">
              <w:rPr>
                <w:rFonts w:ascii="Calibri" w:hAnsi="Calibri"/>
                <w:color w:val="000000"/>
              </w:rPr>
              <w:t>Date and location of protocol registration</w:t>
            </w:r>
          </w:p>
        </w:tc>
        <w:tc>
          <w:tcPr>
            <w:tcW w:w="5400" w:type="dxa"/>
            <w:gridSpan w:val="2"/>
            <w:shd w:val="clear" w:color="auto" w:fill="auto"/>
            <w:noWrap/>
            <w:vAlign w:val="bottom"/>
            <w:hideMark/>
          </w:tcPr>
          <w:p w14:paraId="272D90CE" w14:textId="77777777" w:rsidR="003356FE" w:rsidRPr="00E367B2" w:rsidRDefault="003356FE" w:rsidP="00D341CD">
            <w:pPr>
              <w:rPr>
                <w:rFonts w:ascii="Calibri" w:hAnsi="Calibri"/>
                <w:color w:val="000000"/>
              </w:rPr>
            </w:pPr>
            <w:r w:rsidRPr="00E367B2">
              <w:rPr>
                <w:rFonts w:ascii="Calibri" w:hAnsi="Calibri"/>
                <w:color w:val="000000"/>
              </w:rPr>
              <w:t>N</w:t>
            </w:r>
          </w:p>
        </w:tc>
        <w:tc>
          <w:tcPr>
            <w:tcW w:w="1080" w:type="dxa"/>
            <w:shd w:val="clear" w:color="auto" w:fill="auto"/>
            <w:noWrap/>
            <w:vAlign w:val="center"/>
            <w:hideMark/>
          </w:tcPr>
          <w:p w14:paraId="1A18F4BF" w14:textId="77777777" w:rsidR="003356FE" w:rsidRPr="00E367B2" w:rsidRDefault="003356FE" w:rsidP="00D341CD">
            <w:pPr>
              <w:jc w:val="center"/>
              <w:rPr>
                <w:rFonts w:ascii="Calibri" w:hAnsi="Calibri"/>
                <w:color w:val="000000"/>
              </w:rPr>
            </w:pPr>
          </w:p>
        </w:tc>
      </w:tr>
      <w:tr w:rsidR="003356FE" w:rsidRPr="00E367B2" w14:paraId="09A2C80F" w14:textId="77777777" w:rsidTr="00D341CD">
        <w:trPr>
          <w:trHeight w:val="240"/>
        </w:trPr>
        <w:tc>
          <w:tcPr>
            <w:tcW w:w="565" w:type="dxa"/>
            <w:shd w:val="clear" w:color="auto" w:fill="auto"/>
            <w:noWrap/>
            <w:vAlign w:val="center"/>
            <w:hideMark/>
          </w:tcPr>
          <w:p w14:paraId="13CD0ECB" w14:textId="77777777" w:rsidR="003356FE" w:rsidRPr="00E367B2" w:rsidRDefault="003356FE" w:rsidP="00D341CD">
            <w:pPr>
              <w:rPr>
                <w:rFonts w:ascii="Calibri" w:hAnsi="Calibri"/>
                <w:color w:val="000000"/>
              </w:rPr>
            </w:pPr>
            <w:r w:rsidRPr="00E367B2">
              <w:rPr>
                <w:rFonts w:ascii="Calibri" w:hAnsi="Calibri"/>
                <w:color w:val="000000"/>
              </w:rPr>
              <w:t>8.</w:t>
            </w:r>
          </w:p>
        </w:tc>
        <w:tc>
          <w:tcPr>
            <w:tcW w:w="3585" w:type="dxa"/>
            <w:shd w:val="clear" w:color="auto" w:fill="auto"/>
            <w:vAlign w:val="center"/>
            <w:hideMark/>
          </w:tcPr>
          <w:p w14:paraId="3CBD390B" w14:textId="77777777" w:rsidR="003356FE" w:rsidRPr="00E367B2" w:rsidRDefault="003356FE" w:rsidP="00D341CD">
            <w:pPr>
              <w:rPr>
                <w:rFonts w:ascii="Calibri" w:hAnsi="Calibri"/>
                <w:color w:val="000000"/>
              </w:rPr>
            </w:pPr>
            <w:r w:rsidRPr="00E367B2">
              <w:rPr>
                <w:rFonts w:ascii="Calibri" w:hAnsi="Calibri"/>
                <w:color w:val="000000"/>
              </w:rPr>
              <w:t>Registration number (if applicable)</w:t>
            </w:r>
          </w:p>
        </w:tc>
        <w:tc>
          <w:tcPr>
            <w:tcW w:w="5400" w:type="dxa"/>
            <w:gridSpan w:val="2"/>
            <w:shd w:val="clear" w:color="auto" w:fill="auto"/>
            <w:noWrap/>
            <w:vAlign w:val="bottom"/>
            <w:hideMark/>
          </w:tcPr>
          <w:p w14:paraId="424236C9" w14:textId="77777777" w:rsidR="003356FE" w:rsidRPr="00E367B2" w:rsidRDefault="003356FE" w:rsidP="00D341CD">
            <w:pPr>
              <w:rPr>
                <w:rFonts w:ascii="Calibri" w:hAnsi="Calibri"/>
                <w:color w:val="000000"/>
              </w:rPr>
            </w:pPr>
            <w:r w:rsidRPr="00E367B2">
              <w:rPr>
                <w:rFonts w:ascii="Calibri" w:hAnsi="Calibri"/>
                <w:color w:val="000000"/>
              </w:rPr>
              <w:t>N.A.</w:t>
            </w:r>
          </w:p>
        </w:tc>
        <w:tc>
          <w:tcPr>
            <w:tcW w:w="1080" w:type="dxa"/>
            <w:shd w:val="clear" w:color="auto" w:fill="auto"/>
            <w:noWrap/>
            <w:vAlign w:val="center"/>
            <w:hideMark/>
          </w:tcPr>
          <w:p w14:paraId="013C840E" w14:textId="77777777" w:rsidR="003356FE" w:rsidRPr="00E367B2" w:rsidRDefault="003356FE" w:rsidP="00D341CD">
            <w:pPr>
              <w:jc w:val="center"/>
              <w:rPr>
                <w:rFonts w:ascii="Calibri" w:hAnsi="Calibri"/>
                <w:color w:val="000000"/>
              </w:rPr>
            </w:pPr>
          </w:p>
        </w:tc>
      </w:tr>
      <w:tr w:rsidR="003356FE" w:rsidRPr="00E367B2" w14:paraId="79A9691A" w14:textId="77777777" w:rsidTr="00D341CD">
        <w:trPr>
          <w:trHeight w:val="240"/>
        </w:trPr>
        <w:tc>
          <w:tcPr>
            <w:tcW w:w="565" w:type="dxa"/>
            <w:shd w:val="clear" w:color="auto" w:fill="auto"/>
            <w:noWrap/>
            <w:vAlign w:val="center"/>
            <w:hideMark/>
          </w:tcPr>
          <w:p w14:paraId="44E1990E" w14:textId="77777777" w:rsidR="003356FE" w:rsidRPr="00E367B2" w:rsidRDefault="003356FE" w:rsidP="00D341CD">
            <w:pPr>
              <w:rPr>
                <w:rFonts w:ascii="Calibri" w:hAnsi="Calibri"/>
                <w:color w:val="000000"/>
              </w:rPr>
            </w:pPr>
            <w:r w:rsidRPr="00E367B2">
              <w:rPr>
                <w:rFonts w:ascii="Calibri" w:hAnsi="Calibri"/>
                <w:color w:val="000000"/>
              </w:rPr>
              <w:t>9.</w:t>
            </w:r>
          </w:p>
        </w:tc>
        <w:tc>
          <w:tcPr>
            <w:tcW w:w="3585" w:type="dxa"/>
            <w:shd w:val="clear" w:color="auto" w:fill="auto"/>
            <w:vAlign w:val="center"/>
            <w:hideMark/>
          </w:tcPr>
          <w:p w14:paraId="1DB97682" w14:textId="77777777" w:rsidR="003356FE" w:rsidRPr="00E367B2" w:rsidRDefault="003356FE" w:rsidP="00D341CD">
            <w:pPr>
              <w:rPr>
                <w:rFonts w:ascii="Calibri" w:hAnsi="Calibri"/>
                <w:color w:val="000000"/>
              </w:rPr>
            </w:pPr>
            <w:r w:rsidRPr="00E367B2">
              <w:rPr>
                <w:rFonts w:ascii="Calibri" w:hAnsi="Calibri"/>
                <w:color w:val="000000"/>
              </w:rPr>
              <w:t>Stage of review at time of registration</w:t>
            </w:r>
          </w:p>
        </w:tc>
        <w:tc>
          <w:tcPr>
            <w:tcW w:w="5400" w:type="dxa"/>
            <w:gridSpan w:val="2"/>
            <w:shd w:val="clear" w:color="auto" w:fill="auto"/>
            <w:noWrap/>
            <w:vAlign w:val="bottom"/>
            <w:hideMark/>
          </w:tcPr>
          <w:p w14:paraId="6F040EDF" w14:textId="77777777" w:rsidR="003356FE" w:rsidRPr="00E367B2" w:rsidRDefault="003356FE" w:rsidP="00D341CD">
            <w:pPr>
              <w:rPr>
                <w:rFonts w:ascii="Calibri" w:hAnsi="Calibri"/>
                <w:color w:val="000000"/>
              </w:rPr>
            </w:pPr>
            <w:r w:rsidRPr="00E367B2">
              <w:rPr>
                <w:rFonts w:ascii="Calibri" w:hAnsi="Calibri"/>
                <w:noProof/>
                <w:color w:val="000000"/>
              </w:rPr>
              <w:t>Full text</w:t>
            </w:r>
            <w:r w:rsidRPr="00E367B2">
              <w:rPr>
                <w:rFonts w:ascii="Calibri" w:hAnsi="Calibri"/>
                <w:color w:val="000000"/>
              </w:rPr>
              <w:t xml:space="preserve"> screening</w:t>
            </w:r>
          </w:p>
        </w:tc>
        <w:tc>
          <w:tcPr>
            <w:tcW w:w="1080" w:type="dxa"/>
            <w:shd w:val="clear" w:color="auto" w:fill="auto"/>
            <w:noWrap/>
            <w:vAlign w:val="center"/>
            <w:hideMark/>
          </w:tcPr>
          <w:p w14:paraId="09BB8351" w14:textId="77777777" w:rsidR="003356FE" w:rsidRPr="00E367B2" w:rsidRDefault="003356FE" w:rsidP="00D341CD">
            <w:pPr>
              <w:jc w:val="center"/>
              <w:rPr>
                <w:rFonts w:ascii="Calibri" w:hAnsi="Calibri"/>
                <w:color w:val="000000"/>
              </w:rPr>
            </w:pPr>
          </w:p>
        </w:tc>
      </w:tr>
      <w:tr w:rsidR="003356FE" w:rsidRPr="00E367B2" w14:paraId="2AAF8BF4" w14:textId="77777777" w:rsidTr="00D341CD">
        <w:trPr>
          <w:trHeight w:val="240"/>
        </w:trPr>
        <w:tc>
          <w:tcPr>
            <w:tcW w:w="565" w:type="dxa"/>
            <w:shd w:val="clear" w:color="auto" w:fill="2E025E"/>
            <w:noWrap/>
            <w:vAlign w:val="center"/>
            <w:hideMark/>
          </w:tcPr>
          <w:p w14:paraId="733210DD" w14:textId="77777777" w:rsidR="003356FE" w:rsidRPr="00E367B2" w:rsidRDefault="003356FE" w:rsidP="00D341CD">
            <w:pPr>
              <w:rPr>
                <w:rFonts w:ascii="Calibri" w:hAnsi="Calibri"/>
                <w:color w:val="FFFFFF"/>
              </w:rPr>
            </w:pPr>
          </w:p>
        </w:tc>
        <w:tc>
          <w:tcPr>
            <w:tcW w:w="10065" w:type="dxa"/>
            <w:gridSpan w:val="4"/>
            <w:shd w:val="clear" w:color="auto" w:fill="2E025E"/>
            <w:vAlign w:val="center"/>
            <w:hideMark/>
          </w:tcPr>
          <w:p w14:paraId="62BDE964" w14:textId="77777777" w:rsidR="003356FE" w:rsidRPr="00E367B2" w:rsidRDefault="003356FE" w:rsidP="00D341CD">
            <w:pPr>
              <w:rPr>
                <w:rFonts w:ascii="Calibri" w:hAnsi="Calibri"/>
                <w:color w:val="FFFFFF"/>
              </w:rPr>
            </w:pPr>
            <w:r w:rsidRPr="00E367B2">
              <w:rPr>
                <w:rFonts w:ascii="Calibri" w:hAnsi="Calibri"/>
                <w:color w:val="FFFFFF"/>
              </w:rPr>
              <w:t>B. Objectives</w:t>
            </w:r>
          </w:p>
        </w:tc>
      </w:tr>
      <w:tr w:rsidR="003356FE" w:rsidRPr="00E367B2" w14:paraId="2F0B68DC" w14:textId="77777777" w:rsidTr="00D341CD">
        <w:trPr>
          <w:trHeight w:val="240"/>
        </w:trPr>
        <w:tc>
          <w:tcPr>
            <w:tcW w:w="565" w:type="dxa"/>
            <w:shd w:val="clear" w:color="auto" w:fill="BFBFBF"/>
            <w:noWrap/>
            <w:vAlign w:val="center"/>
            <w:hideMark/>
          </w:tcPr>
          <w:p w14:paraId="2B98D553" w14:textId="77777777" w:rsidR="003356FE" w:rsidRPr="00E367B2" w:rsidRDefault="003356FE" w:rsidP="00D341CD">
            <w:pPr>
              <w:rPr>
                <w:rFonts w:ascii="Calibri" w:hAnsi="Calibri"/>
                <w:color w:val="FFFFFF"/>
              </w:rPr>
            </w:pPr>
          </w:p>
        </w:tc>
        <w:tc>
          <w:tcPr>
            <w:tcW w:w="10065" w:type="dxa"/>
            <w:gridSpan w:val="4"/>
            <w:shd w:val="clear" w:color="auto" w:fill="BFBFBF"/>
            <w:vAlign w:val="center"/>
            <w:hideMark/>
          </w:tcPr>
          <w:p w14:paraId="213CA825" w14:textId="77777777" w:rsidR="003356FE" w:rsidRPr="00E367B2" w:rsidRDefault="003356FE" w:rsidP="00D341CD">
            <w:pPr>
              <w:rPr>
                <w:rFonts w:ascii="Calibri" w:hAnsi="Calibri"/>
                <w:color w:val="FFFFFF"/>
              </w:rPr>
            </w:pPr>
            <w:r w:rsidRPr="00E367B2">
              <w:rPr>
                <w:rFonts w:ascii="Calibri" w:hAnsi="Calibri"/>
              </w:rPr>
              <w:t>Background</w:t>
            </w:r>
          </w:p>
        </w:tc>
      </w:tr>
      <w:tr w:rsidR="003356FE" w:rsidRPr="00E367B2" w14:paraId="5C0550C8" w14:textId="77777777" w:rsidTr="00D341CD">
        <w:trPr>
          <w:trHeight w:val="240"/>
        </w:trPr>
        <w:tc>
          <w:tcPr>
            <w:tcW w:w="565" w:type="dxa"/>
            <w:shd w:val="clear" w:color="auto" w:fill="auto"/>
            <w:noWrap/>
            <w:vAlign w:val="center"/>
            <w:hideMark/>
          </w:tcPr>
          <w:p w14:paraId="63C29C75" w14:textId="77777777" w:rsidR="003356FE" w:rsidRPr="00E367B2" w:rsidRDefault="003356FE" w:rsidP="00D341CD">
            <w:pPr>
              <w:rPr>
                <w:rFonts w:ascii="Calibri" w:hAnsi="Calibri"/>
                <w:color w:val="000000"/>
              </w:rPr>
            </w:pPr>
            <w:r w:rsidRPr="00E367B2">
              <w:rPr>
                <w:rFonts w:ascii="Calibri" w:hAnsi="Calibri"/>
                <w:color w:val="000000"/>
              </w:rPr>
              <w:t>10.</w:t>
            </w:r>
          </w:p>
        </w:tc>
        <w:tc>
          <w:tcPr>
            <w:tcW w:w="3585" w:type="dxa"/>
            <w:shd w:val="clear" w:color="auto" w:fill="auto"/>
            <w:vAlign w:val="center"/>
            <w:hideMark/>
          </w:tcPr>
          <w:p w14:paraId="3BF91ADB" w14:textId="77777777" w:rsidR="003356FE" w:rsidRPr="00E367B2" w:rsidRDefault="003356FE" w:rsidP="00D341CD">
            <w:pPr>
              <w:rPr>
                <w:rFonts w:ascii="Calibri" w:hAnsi="Calibri"/>
                <w:iCs/>
                <w:color w:val="000000"/>
              </w:rPr>
            </w:pPr>
            <w:r w:rsidRPr="00E367B2">
              <w:rPr>
                <w:rFonts w:ascii="Calibri" w:hAnsi="Calibri"/>
                <w:iCs/>
                <w:color w:val="000000"/>
              </w:rPr>
              <w:t xml:space="preserve">What </w:t>
            </w:r>
            <w:r w:rsidRPr="00E367B2">
              <w:rPr>
                <w:rFonts w:ascii="Calibri" w:hAnsi="Calibri"/>
                <w:iCs/>
                <w:noProof/>
                <w:color w:val="000000"/>
              </w:rPr>
              <w:t>is already known</w:t>
            </w:r>
            <w:r w:rsidRPr="00E367B2">
              <w:rPr>
                <w:rFonts w:ascii="Calibri" w:hAnsi="Calibri"/>
                <w:iCs/>
                <w:color w:val="000000"/>
              </w:rPr>
              <w:t xml:space="preserve"> about this disease/model/intervention? Why is it important to do this review?</w:t>
            </w:r>
          </w:p>
        </w:tc>
        <w:tc>
          <w:tcPr>
            <w:tcW w:w="5400" w:type="dxa"/>
            <w:gridSpan w:val="2"/>
            <w:shd w:val="clear" w:color="auto" w:fill="auto"/>
            <w:noWrap/>
            <w:vAlign w:val="center"/>
            <w:hideMark/>
          </w:tcPr>
          <w:p w14:paraId="5E88220B" w14:textId="77777777" w:rsidR="003356FE" w:rsidRPr="00E367B2" w:rsidRDefault="003356FE" w:rsidP="00D341CD">
            <w:pPr>
              <w:jc w:val="both"/>
              <w:rPr>
                <w:rFonts w:ascii="Calibri" w:hAnsi="Calibri"/>
                <w:color w:val="000000"/>
              </w:rPr>
            </w:pPr>
          </w:p>
          <w:p w14:paraId="278EDBB6" w14:textId="77777777" w:rsidR="003356FE" w:rsidRPr="00E367B2" w:rsidRDefault="003356FE" w:rsidP="00D341CD">
            <w:pPr>
              <w:spacing w:after="0"/>
              <w:rPr>
                <w:rFonts w:ascii="Calibri" w:hAnsi="Calibri"/>
                <w:noProof/>
                <w:color w:val="000000"/>
              </w:rPr>
            </w:pPr>
            <w:r w:rsidRPr="00E367B2">
              <w:rPr>
                <w:rFonts w:ascii="Calibri" w:hAnsi="Calibri"/>
                <w:noProof/>
                <w:color w:val="000000"/>
              </w:rPr>
              <w:t>Nonsteroidal anti-inflammatory is a widely prescribed drug for pain relief and inflammation in bone healing cases. Although some studies had associate its use to inhibition of fracture healing and to delay union bone. The effect of anti-inflammatory drugs administration in animal studies for bone healing is controversial, as some researches showed no effects using the drug. The aim of</w:t>
            </w:r>
          </w:p>
          <w:p w14:paraId="2E8F952F" w14:textId="77777777" w:rsidR="003356FE" w:rsidRPr="00E367B2" w:rsidRDefault="003356FE" w:rsidP="00D341CD">
            <w:pPr>
              <w:spacing w:after="0"/>
              <w:rPr>
                <w:rFonts w:ascii="Calibri" w:hAnsi="Calibri"/>
                <w:noProof/>
                <w:color w:val="000000"/>
              </w:rPr>
            </w:pPr>
            <w:r w:rsidRPr="00E367B2">
              <w:rPr>
                <w:rFonts w:ascii="Calibri" w:hAnsi="Calibri"/>
                <w:noProof/>
                <w:color w:val="000000"/>
              </w:rPr>
              <w:t>this systematic review and meta -analysis is to assess the</w:t>
            </w:r>
          </w:p>
          <w:p w14:paraId="555AEB2A" w14:textId="77777777" w:rsidR="003356FE" w:rsidRPr="00E367B2" w:rsidRDefault="003356FE" w:rsidP="00D341CD">
            <w:pPr>
              <w:spacing w:after="0"/>
              <w:rPr>
                <w:rFonts w:ascii="Calibri" w:hAnsi="Calibri"/>
                <w:noProof/>
                <w:color w:val="000000"/>
              </w:rPr>
            </w:pPr>
            <w:r w:rsidRPr="00E367B2">
              <w:rPr>
                <w:rFonts w:ascii="Calibri" w:hAnsi="Calibri"/>
                <w:noProof/>
                <w:color w:val="000000"/>
              </w:rPr>
              <w:t>outcomes correlated to nonsteroidal anti-inflammatory</w:t>
            </w:r>
          </w:p>
          <w:p w14:paraId="1BFC81DA" w14:textId="77777777" w:rsidR="003356FE" w:rsidRPr="00E367B2" w:rsidRDefault="003356FE" w:rsidP="00D341CD">
            <w:pPr>
              <w:spacing w:after="0"/>
              <w:jc w:val="both"/>
              <w:rPr>
                <w:rFonts w:ascii="Calibri" w:hAnsi="Calibri"/>
                <w:color w:val="000000"/>
              </w:rPr>
            </w:pPr>
            <w:r w:rsidRPr="00E367B2">
              <w:rPr>
                <w:rFonts w:ascii="Calibri" w:hAnsi="Calibri"/>
                <w:noProof/>
                <w:color w:val="000000"/>
              </w:rPr>
              <w:t>therapy and bone healing in animal studies.</w:t>
            </w:r>
          </w:p>
        </w:tc>
        <w:tc>
          <w:tcPr>
            <w:tcW w:w="1080" w:type="dxa"/>
            <w:shd w:val="clear" w:color="auto" w:fill="auto"/>
            <w:noWrap/>
            <w:vAlign w:val="center"/>
            <w:hideMark/>
          </w:tcPr>
          <w:p w14:paraId="410E48A2" w14:textId="77777777" w:rsidR="003356FE" w:rsidRPr="00E367B2" w:rsidRDefault="003356FE" w:rsidP="00D341CD">
            <w:pPr>
              <w:jc w:val="both"/>
              <w:rPr>
                <w:rFonts w:ascii="Calibri" w:hAnsi="Calibri"/>
                <w:color w:val="000000"/>
              </w:rPr>
            </w:pPr>
          </w:p>
        </w:tc>
      </w:tr>
      <w:tr w:rsidR="003356FE" w:rsidRPr="00E367B2" w14:paraId="5D26C4F4" w14:textId="77777777" w:rsidTr="00D341CD">
        <w:trPr>
          <w:trHeight w:val="240"/>
        </w:trPr>
        <w:tc>
          <w:tcPr>
            <w:tcW w:w="565" w:type="dxa"/>
            <w:shd w:val="clear" w:color="auto" w:fill="BFBFBF"/>
            <w:noWrap/>
            <w:vAlign w:val="center"/>
            <w:hideMark/>
          </w:tcPr>
          <w:p w14:paraId="52F8F201" w14:textId="77777777" w:rsidR="003356FE" w:rsidRPr="00E367B2" w:rsidRDefault="003356FE" w:rsidP="00D341CD">
            <w:pPr>
              <w:rPr>
                <w:rFonts w:ascii="Calibri" w:hAnsi="Calibri"/>
                <w:color w:val="FFFFFF"/>
              </w:rPr>
            </w:pPr>
          </w:p>
        </w:tc>
        <w:tc>
          <w:tcPr>
            <w:tcW w:w="10065" w:type="dxa"/>
            <w:gridSpan w:val="4"/>
            <w:shd w:val="clear" w:color="auto" w:fill="BFBFBF"/>
            <w:vAlign w:val="center"/>
            <w:hideMark/>
          </w:tcPr>
          <w:p w14:paraId="3368F90A" w14:textId="77777777" w:rsidR="003356FE" w:rsidRPr="00E367B2" w:rsidRDefault="003356FE" w:rsidP="00D341CD">
            <w:pPr>
              <w:rPr>
                <w:rFonts w:ascii="Calibri" w:hAnsi="Calibri"/>
                <w:color w:val="FFFFFF"/>
              </w:rPr>
            </w:pPr>
            <w:r w:rsidRPr="00E367B2">
              <w:rPr>
                <w:rFonts w:ascii="Calibri" w:hAnsi="Calibri"/>
              </w:rPr>
              <w:t>Research question</w:t>
            </w:r>
          </w:p>
        </w:tc>
      </w:tr>
      <w:tr w:rsidR="003356FE" w:rsidRPr="00E367B2" w14:paraId="3E6CC5E8" w14:textId="77777777" w:rsidTr="00D341CD">
        <w:trPr>
          <w:trHeight w:val="240"/>
        </w:trPr>
        <w:tc>
          <w:tcPr>
            <w:tcW w:w="565" w:type="dxa"/>
            <w:shd w:val="clear" w:color="auto" w:fill="auto"/>
            <w:noWrap/>
            <w:vAlign w:val="center"/>
            <w:hideMark/>
          </w:tcPr>
          <w:p w14:paraId="335EBA0E" w14:textId="77777777" w:rsidR="003356FE" w:rsidRPr="00E367B2" w:rsidRDefault="003356FE" w:rsidP="00D341CD">
            <w:pPr>
              <w:rPr>
                <w:rFonts w:ascii="Calibri" w:hAnsi="Calibri"/>
                <w:color w:val="000000"/>
              </w:rPr>
            </w:pPr>
            <w:r w:rsidRPr="00E367B2">
              <w:rPr>
                <w:rFonts w:ascii="Calibri" w:hAnsi="Calibri"/>
                <w:color w:val="000000"/>
              </w:rPr>
              <w:t>11.</w:t>
            </w:r>
          </w:p>
        </w:tc>
        <w:tc>
          <w:tcPr>
            <w:tcW w:w="3585" w:type="dxa"/>
            <w:shd w:val="clear" w:color="auto" w:fill="auto"/>
            <w:vAlign w:val="center"/>
            <w:hideMark/>
          </w:tcPr>
          <w:p w14:paraId="541476C3" w14:textId="77777777" w:rsidR="003356FE" w:rsidRPr="00E367B2" w:rsidRDefault="003356FE" w:rsidP="00D341CD">
            <w:pPr>
              <w:rPr>
                <w:rFonts w:ascii="Calibri" w:hAnsi="Calibri"/>
                <w:color w:val="000000"/>
              </w:rPr>
            </w:pPr>
            <w:r w:rsidRPr="00E367B2">
              <w:rPr>
                <w:rFonts w:ascii="Calibri" w:hAnsi="Calibri"/>
                <w:color w:val="000000"/>
              </w:rPr>
              <w:t>Specify the disease/health problem of interest</w:t>
            </w:r>
          </w:p>
        </w:tc>
        <w:tc>
          <w:tcPr>
            <w:tcW w:w="5400" w:type="dxa"/>
            <w:gridSpan w:val="2"/>
            <w:shd w:val="clear" w:color="auto" w:fill="auto"/>
            <w:noWrap/>
            <w:vAlign w:val="bottom"/>
            <w:hideMark/>
          </w:tcPr>
          <w:p w14:paraId="301D0237" w14:textId="77777777" w:rsidR="003356FE" w:rsidRPr="00E367B2" w:rsidRDefault="003356FE" w:rsidP="00D341CD">
            <w:pPr>
              <w:rPr>
                <w:rFonts w:ascii="Calibri" w:hAnsi="Calibri"/>
                <w:color w:val="000000"/>
              </w:rPr>
            </w:pPr>
            <w:r w:rsidRPr="00E367B2">
              <w:rPr>
                <w:rFonts w:ascii="Calibri" w:hAnsi="Calibri"/>
                <w:color w:val="000000"/>
              </w:rPr>
              <w:t>Bone fracture surgery</w:t>
            </w:r>
          </w:p>
        </w:tc>
        <w:tc>
          <w:tcPr>
            <w:tcW w:w="1080" w:type="dxa"/>
            <w:shd w:val="clear" w:color="auto" w:fill="auto"/>
            <w:noWrap/>
            <w:vAlign w:val="center"/>
            <w:hideMark/>
          </w:tcPr>
          <w:p w14:paraId="63EAB69E" w14:textId="77777777" w:rsidR="003356FE" w:rsidRPr="00E367B2" w:rsidRDefault="003356FE" w:rsidP="00D341CD">
            <w:pPr>
              <w:jc w:val="center"/>
              <w:rPr>
                <w:rFonts w:ascii="Calibri" w:hAnsi="Calibri"/>
                <w:color w:val="000000"/>
              </w:rPr>
            </w:pPr>
          </w:p>
        </w:tc>
      </w:tr>
      <w:tr w:rsidR="003356FE" w:rsidRPr="00E367B2" w14:paraId="7A301793" w14:textId="77777777" w:rsidTr="00D341CD">
        <w:trPr>
          <w:trHeight w:val="240"/>
        </w:trPr>
        <w:tc>
          <w:tcPr>
            <w:tcW w:w="565" w:type="dxa"/>
            <w:shd w:val="clear" w:color="auto" w:fill="auto"/>
            <w:noWrap/>
            <w:vAlign w:val="center"/>
            <w:hideMark/>
          </w:tcPr>
          <w:p w14:paraId="6DF12E72" w14:textId="77777777" w:rsidR="003356FE" w:rsidRPr="00E367B2" w:rsidRDefault="003356FE" w:rsidP="00D341CD">
            <w:pPr>
              <w:rPr>
                <w:rFonts w:ascii="Calibri" w:hAnsi="Calibri"/>
                <w:color w:val="000000"/>
              </w:rPr>
            </w:pPr>
            <w:r w:rsidRPr="00E367B2">
              <w:rPr>
                <w:rFonts w:ascii="Calibri" w:hAnsi="Calibri"/>
                <w:color w:val="000000"/>
              </w:rPr>
              <w:t>12.</w:t>
            </w:r>
          </w:p>
        </w:tc>
        <w:tc>
          <w:tcPr>
            <w:tcW w:w="3585" w:type="dxa"/>
            <w:shd w:val="clear" w:color="auto" w:fill="auto"/>
            <w:vAlign w:val="center"/>
            <w:hideMark/>
          </w:tcPr>
          <w:p w14:paraId="588FAB19" w14:textId="77777777" w:rsidR="003356FE" w:rsidRPr="00E367B2" w:rsidRDefault="003356FE" w:rsidP="00D341CD">
            <w:pPr>
              <w:rPr>
                <w:rFonts w:ascii="Calibri" w:hAnsi="Calibri"/>
                <w:color w:val="000000"/>
              </w:rPr>
            </w:pPr>
            <w:r w:rsidRPr="00E367B2">
              <w:rPr>
                <w:rFonts w:ascii="Calibri" w:hAnsi="Calibri"/>
                <w:color w:val="000000"/>
              </w:rPr>
              <w:t>Specify the  population/species studied</w:t>
            </w:r>
          </w:p>
        </w:tc>
        <w:tc>
          <w:tcPr>
            <w:tcW w:w="5400" w:type="dxa"/>
            <w:gridSpan w:val="2"/>
            <w:shd w:val="clear" w:color="auto" w:fill="auto"/>
            <w:noWrap/>
            <w:vAlign w:val="center"/>
            <w:hideMark/>
          </w:tcPr>
          <w:p w14:paraId="1AA3B646" w14:textId="77777777" w:rsidR="003356FE" w:rsidRPr="00E367B2" w:rsidRDefault="003356FE" w:rsidP="00D341CD">
            <w:pPr>
              <w:rPr>
                <w:rFonts w:ascii="Calibri" w:hAnsi="Calibri"/>
                <w:color w:val="000000"/>
              </w:rPr>
            </w:pPr>
            <w:r w:rsidRPr="00E367B2">
              <w:rPr>
                <w:rFonts w:ascii="Calibri" w:hAnsi="Calibri"/>
                <w:color w:val="000000"/>
              </w:rPr>
              <w:t>Animal models</w:t>
            </w:r>
          </w:p>
        </w:tc>
        <w:tc>
          <w:tcPr>
            <w:tcW w:w="1080" w:type="dxa"/>
            <w:shd w:val="clear" w:color="auto" w:fill="auto"/>
            <w:noWrap/>
            <w:vAlign w:val="center"/>
            <w:hideMark/>
          </w:tcPr>
          <w:p w14:paraId="15946D41" w14:textId="77777777" w:rsidR="003356FE" w:rsidRPr="00E367B2" w:rsidRDefault="003356FE" w:rsidP="00D341CD">
            <w:pPr>
              <w:jc w:val="center"/>
              <w:rPr>
                <w:rFonts w:ascii="Calibri" w:hAnsi="Calibri"/>
                <w:color w:val="000000"/>
              </w:rPr>
            </w:pPr>
          </w:p>
        </w:tc>
      </w:tr>
      <w:tr w:rsidR="003356FE" w:rsidRPr="00E367B2" w14:paraId="645FDBEF" w14:textId="77777777" w:rsidTr="00D341CD">
        <w:trPr>
          <w:trHeight w:val="240"/>
        </w:trPr>
        <w:tc>
          <w:tcPr>
            <w:tcW w:w="565" w:type="dxa"/>
            <w:shd w:val="clear" w:color="auto" w:fill="auto"/>
            <w:noWrap/>
            <w:vAlign w:val="center"/>
            <w:hideMark/>
          </w:tcPr>
          <w:p w14:paraId="22054EC0" w14:textId="77777777" w:rsidR="003356FE" w:rsidRPr="00E367B2" w:rsidRDefault="003356FE" w:rsidP="00D341CD">
            <w:pPr>
              <w:rPr>
                <w:rFonts w:ascii="Calibri" w:hAnsi="Calibri"/>
                <w:color w:val="000000"/>
              </w:rPr>
            </w:pPr>
            <w:r w:rsidRPr="00E367B2">
              <w:rPr>
                <w:rFonts w:ascii="Calibri" w:hAnsi="Calibri"/>
                <w:color w:val="000000"/>
              </w:rPr>
              <w:t>13.</w:t>
            </w:r>
          </w:p>
        </w:tc>
        <w:tc>
          <w:tcPr>
            <w:tcW w:w="3585" w:type="dxa"/>
            <w:shd w:val="clear" w:color="auto" w:fill="auto"/>
            <w:vAlign w:val="center"/>
            <w:hideMark/>
          </w:tcPr>
          <w:p w14:paraId="40AAE867" w14:textId="77777777" w:rsidR="003356FE" w:rsidRPr="00E367B2" w:rsidRDefault="003356FE" w:rsidP="00D341CD">
            <w:pPr>
              <w:rPr>
                <w:rFonts w:ascii="Calibri" w:hAnsi="Calibri"/>
                <w:color w:val="000000"/>
              </w:rPr>
            </w:pPr>
            <w:r w:rsidRPr="00E367B2">
              <w:rPr>
                <w:rFonts w:ascii="Calibri" w:hAnsi="Calibri"/>
                <w:color w:val="000000"/>
              </w:rPr>
              <w:t>Specify the intervention/exposure</w:t>
            </w:r>
          </w:p>
        </w:tc>
        <w:tc>
          <w:tcPr>
            <w:tcW w:w="5400" w:type="dxa"/>
            <w:gridSpan w:val="2"/>
            <w:shd w:val="clear" w:color="auto" w:fill="auto"/>
            <w:noWrap/>
            <w:vAlign w:val="center"/>
            <w:hideMark/>
          </w:tcPr>
          <w:p w14:paraId="77A28A49" w14:textId="77777777" w:rsidR="003356FE" w:rsidRPr="00E367B2" w:rsidRDefault="003356FE" w:rsidP="00D341CD">
            <w:pPr>
              <w:rPr>
                <w:rFonts w:ascii="Calibri" w:hAnsi="Calibri"/>
                <w:color w:val="000000"/>
              </w:rPr>
            </w:pPr>
            <w:r w:rsidRPr="00E367B2">
              <w:rPr>
                <w:rFonts w:ascii="Calibri" w:hAnsi="Calibri"/>
                <w:color w:val="000000"/>
              </w:rPr>
              <w:t xml:space="preserve">Nonsteroidal anti-inflammatory agents </w:t>
            </w:r>
          </w:p>
        </w:tc>
        <w:tc>
          <w:tcPr>
            <w:tcW w:w="1080" w:type="dxa"/>
            <w:shd w:val="clear" w:color="auto" w:fill="auto"/>
            <w:noWrap/>
            <w:vAlign w:val="center"/>
            <w:hideMark/>
          </w:tcPr>
          <w:p w14:paraId="31A00EAD" w14:textId="77777777" w:rsidR="003356FE" w:rsidRPr="00E367B2" w:rsidRDefault="003356FE" w:rsidP="00D341CD">
            <w:pPr>
              <w:jc w:val="center"/>
              <w:rPr>
                <w:rFonts w:ascii="Calibri" w:hAnsi="Calibri"/>
                <w:color w:val="000000"/>
              </w:rPr>
            </w:pPr>
          </w:p>
        </w:tc>
      </w:tr>
      <w:tr w:rsidR="003356FE" w:rsidRPr="00E367B2" w14:paraId="0BCDE6E2" w14:textId="77777777" w:rsidTr="00D341CD">
        <w:trPr>
          <w:trHeight w:val="240"/>
        </w:trPr>
        <w:tc>
          <w:tcPr>
            <w:tcW w:w="565" w:type="dxa"/>
            <w:shd w:val="clear" w:color="auto" w:fill="auto"/>
            <w:noWrap/>
            <w:vAlign w:val="center"/>
            <w:hideMark/>
          </w:tcPr>
          <w:p w14:paraId="4C855EE7" w14:textId="77777777" w:rsidR="003356FE" w:rsidRPr="00E367B2" w:rsidRDefault="003356FE" w:rsidP="00D341CD">
            <w:pPr>
              <w:rPr>
                <w:rFonts w:ascii="Calibri" w:hAnsi="Calibri"/>
                <w:color w:val="000000"/>
              </w:rPr>
            </w:pPr>
            <w:r w:rsidRPr="00E367B2">
              <w:rPr>
                <w:rFonts w:ascii="Calibri" w:hAnsi="Calibri"/>
                <w:color w:val="000000"/>
              </w:rPr>
              <w:t>14.</w:t>
            </w:r>
          </w:p>
        </w:tc>
        <w:tc>
          <w:tcPr>
            <w:tcW w:w="3585" w:type="dxa"/>
            <w:shd w:val="clear" w:color="auto" w:fill="auto"/>
            <w:vAlign w:val="center"/>
            <w:hideMark/>
          </w:tcPr>
          <w:p w14:paraId="3396A028" w14:textId="77777777" w:rsidR="003356FE" w:rsidRPr="00E367B2" w:rsidRDefault="003356FE" w:rsidP="00D341CD">
            <w:pPr>
              <w:rPr>
                <w:rFonts w:ascii="Calibri" w:hAnsi="Calibri"/>
              </w:rPr>
            </w:pPr>
            <w:r w:rsidRPr="00E367B2">
              <w:rPr>
                <w:rFonts w:ascii="Calibri" w:hAnsi="Calibri"/>
                <w:color w:val="000000"/>
              </w:rPr>
              <w:t>Specify the</w:t>
            </w:r>
            <w:r w:rsidRPr="00E367B2">
              <w:rPr>
                <w:rFonts w:ascii="Calibri" w:hAnsi="Calibri"/>
              </w:rPr>
              <w:t xml:space="preserve"> control population</w:t>
            </w:r>
          </w:p>
        </w:tc>
        <w:tc>
          <w:tcPr>
            <w:tcW w:w="5400" w:type="dxa"/>
            <w:gridSpan w:val="2"/>
            <w:shd w:val="clear" w:color="auto" w:fill="auto"/>
            <w:noWrap/>
            <w:vAlign w:val="bottom"/>
            <w:hideMark/>
          </w:tcPr>
          <w:p w14:paraId="348AE903" w14:textId="77777777" w:rsidR="003356FE" w:rsidRPr="00E367B2" w:rsidRDefault="003356FE" w:rsidP="00D341CD">
            <w:pPr>
              <w:rPr>
                <w:rFonts w:ascii="Calibri" w:hAnsi="Calibri"/>
                <w:color w:val="000000"/>
              </w:rPr>
            </w:pPr>
            <w:r w:rsidRPr="00E367B2">
              <w:rPr>
                <w:rFonts w:ascii="Calibri" w:hAnsi="Calibri"/>
                <w:color w:val="000000"/>
              </w:rPr>
              <w:t>Use of placebo solution</w:t>
            </w:r>
          </w:p>
        </w:tc>
        <w:tc>
          <w:tcPr>
            <w:tcW w:w="1080" w:type="dxa"/>
            <w:shd w:val="clear" w:color="auto" w:fill="auto"/>
            <w:noWrap/>
            <w:vAlign w:val="center"/>
            <w:hideMark/>
          </w:tcPr>
          <w:p w14:paraId="5019E0B2" w14:textId="77777777" w:rsidR="003356FE" w:rsidRPr="00E367B2" w:rsidRDefault="003356FE" w:rsidP="00D341CD">
            <w:pPr>
              <w:jc w:val="center"/>
              <w:rPr>
                <w:rFonts w:ascii="Calibri" w:hAnsi="Calibri"/>
                <w:color w:val="000000"/>
              </w:rPr>
            </w:pPr>
          </w:p>
        </w:tc>
      </w:tr>
      <w:tr w:rsidR="003356FE" w:rsidRPr="00E367B2" w14:paraId="337B38BF" w14:textId="77777777" w:rsidTr="00D341CD">
        <w:trPr>
          <w:trHeight w:val="240"/>
        </w:trPr>
        <w:tc>
          <w:tcPr>
            <w:tcW w:w="565" w:type="dxa"/>
            <w:shd w:val="clear" w:color="auto" w:fill="auto"/>
            <w:noWrap/>
            <w:vAlign w:val="center"/>
            <w:hideMark/>
          </w:tcPr>
          <w:p w14:paraId="751F13E3" w14:textId="77777777" w:rsidR="003356FE" w:rsidRPr="00E367B2" w:rsidRDefault="003356FE" w:rsidP="00D341CD">
            <w:pPr>
              <w:rPr>
                <w:rFonts w:ascii="Calibri" w:hAnsi="Calibri"/>
                <w:color w:val="000000"/>
              </w:rPr>
            </w:pPr>
            <w:r w:rsidRPr="00E367B2">
              <w:rPr>
                <w:rFonts w:ascii="Calibri" w:hAnsi="Calibri"/>
                <w:color w:val="000000"/>
              </w:rPr>
              <w:t>15.</w:t>
            </w:r>
          </w:p>
        </w:tc>
        <w:tc>
          <w:tcPr>
            <w:tcW w:w="3585" w:type="dxa"/>
            <w:shd w:val="clear" w:color="auto" w:fill="auto"/>
            <w:vAlign w:val="center"/>
            <w:hideMark/>
          </w:tcPr>
          <w:p w14:paraId="444AD69D" w14:textId="77777777" w:rsidR="003356FE" w:rsidRPr="00E367B2" w:rsidRDefault="003356FE" w:rsidP="00D341CD">
            <w:pPr>
              <w:rPr>
                <w:rFonts w:ascii="Calibri" w:hAnsi="Calibri"/>
              </w:rPr>
            </w:pPr>
            <w:r w:rsidRPr="00E367B2">
              <w:rPr>
                <w:rFonts w:ascii="Calibri" w:hAnsi="Calibri"/>
                <w:color w:val="000000"/>
              </w:rPr>
              <w:t>Specify the</w:t>
            </w:r>
            <w:r w:rsidRPr="00E367B2">
              <w:rPr>
                <w:rFonts w:ascii="Calibri" w:hAnsi="Calibri"/>
              </w:rPr>
              <w:t xml:space="preserve"> outcome measures</w:t>
            </w:r>
          </w:p>
        </w:tc>
        <w:tc>
          <w:tcPr>
            <w:tcW w:w="5400" w:type="dxa"/>
            <w:gridSpan w:val="2"/>
            <w:shd w:val="clear" w:color="auto" w:fill="auto"/>
            <w:noWrap/>
            <w:vAlign w:val="bottom"/>
            <w:hideMark/>
          </w:tcPr>
          <w:p w14:paraId="0618154A" w14:textId="77777777" w:rsidR="003356FE" w:rsidRPr="00E367B2" w:rsidRDefault="003356FE" w:rsidP="00D341CD">
            <w:pPr>
              <w:rPr>
                <w:rFonts w:ascii="Calibri" w:hAnsi="Calibri"/>
                <w:color w:val="000000"/>
              </w:rPr>
            </w:pPr>
            <w:r w:rsidRPr="00E367B2">
              <w:rPr>
                <w:rFonts w:ascii="Calibri" w:hAnsi="Calibri"/>
                <w:color w:val="000000"/>
              </w:rPr>
              <w:t>Bone biomechanical (primary Outcome), Bone volume or area (Histology grade or Micro CT) (second outcome)</w:t>
            </w:r>
          </w:p>
        </w:tc>
        <w:tc>
          <w:tcPr>
            <w:tcW w:w="1080" w:type="dxa"/>
            <w:shd w:val="clear" w:color="auto" w:fill="auto"/>
            <w:noWrap/>
            <w:vAlign w:val="center"/>
            <w:hideMark/>
          </w:tcPr>
          <w:p w14:paraId="64F55999" w14:textId="77777777" w:rsidR="003356FE" w:rsidRPr="00E367B2" w:rsidRDefault="003356FE" w:rsidP="00D341CD">
            <w:pPr>
              <w:jc w:val="center"/>
              <w:rPr>
                <w:rFonts w:ascii="Calibri" w:hAnsi="Calibri"/>
                <w:color w:val="000000"/>
              </w:rPr>
            </w:pPr>
          </w:p>
        </w:tc>
      </w:tr>
      <w:tr w:rsidR="003356FE" w:rsidRPr="00E367B2" w14:paraId="1D2A13EE" w14:textId="77777777" w:rsidTr="00D341CD">
        <w:trPr>
          <w:trHeight w:val="240"/>
        </w:trPr>
        <w:tc>
          <w:tcPr>
            <w:tcW w:w="565" w:type="dxa"/>
            <w:shd w:val="clear" w:color="auto" w:fill="auto"/>
            <w:noWrap/>
            <w:vAlign w:val="center"/>
            <w:hideMark/>
          </w:tcPr>
          <w:p w14:paraId="193CBC06" w14:textId="77777777" w:rsidR="003356FE" w:rsidRPr="00E367B2" w:rsidRDefault="003356FE" w:rsidP="00D341CD">
            <w:pPr>
              <w:spacing w:after="0"/>
              <w:rPr>
                <w:rFonts w:ascii="Calibri" w:hAnsi="Calibri"/>
                <w:color w:val="000000"/>
              </w:rPr>
            </w:pPr>
            <w:r w:rsidRPr="00E367B2">
              <w:rPr>
                <w:rFonts w:ascii="Calibri" w:hAnsi="Calibri"/>
                <w:color w:val="000000"/>
              </w:rPr>
              <w:t>16.</w:t>
            </w:r>
          </w:p>
        </w:tc>
        <w:tc>
          <w:tcPr>
            <w:tcW w:w="3585" w:type="dxa"/>
            <w:shd w:val="clear" w:color="auto" w:fill="auto"/>
            <w:vAlign w:val="center"/>
            <w:hideMark/>
          </w:tcPr>
          <w:p w14:paraId="4A05F457" w14:textId="77777777" w:rsidR="003356FE" w:rsidRPr="00E367B2" w:rsidRDefault="003356FE" w:rsidP="00D341CD">
            <w:pPr>
              <w:spacing w:after="0"/>
              <w:rPr>
                <w:rFonts w:ascii="Calibri" w:hAnsi="Calibri"/>
                <w:iCs/>
                <w:color w:val="000000"/>
              </w:rPr>
            </w:pPr>
            <w:r w:rsidRPr="00E367B2">
              <w:rPr>
                <w:rFonts w:ascii="Calibri" w:hAnsi="Calibri"/>
                <w:iCs/>
                <w:color w:val="000000"/>
              </w:rPr>
              <w:t xml:space="preserve">State </w:t>
            </w:r>
            <w:r w:rsidRPr="00E367B2">
              <w:rPr>
                <w:rFonts w:ascii="Calibri" w:hAnsi="Calibri"/>
                <w:iCs/>
                <w:noProof/>
                <w:color w:val="000000"/>
              </w:rPr>
              <w:t>your</w:t>
            </w:r>
            <w:r w:rsidRPr="00E367B2">
              <w:rPr>
                <w:rFonts w:ascii="Calibri" w:hAnsi="Calibri"/>
                <w:iCs/>
                <w:color w:val="000000"/>
              </w:rPr>
              <w:t xml:space="preserve"> research question (based on items 11-15)</w:t>
            </w:r>
          </w:p>
        </w:tc>
        <w:tc>
          <w:tcPr>
            <w:tcW w:w="5400" w:type="dxa"/>
            <w:gridSpan w:val="2"/>
            <w:shd w:val="clear" w:color="auto" w:fill="auto"/>
            <w:noWrap/>
            <w:vAlign w:val="bottom"/>
          </w:tcPr>
          <w:p w14:paraId="617B965A" w14:textId="77777777" w:rsidR="003356FE" w:rsidRPr="00E367B2" w:rsidRDefault="003356FE" w:rsidP="00D341CD">
            <w:pPr>
              <w:spacing w:after="0"/>
              <w:rPr>
                <w:rFonts w:ascii="Calibri" w:hAnsi="Calibri" w:cs="Calibri"/>
                <w:color w:val="000000"/>
              </w:rPr>
            </w:pPr>
            <w:r w:rsidRPr="00E367B2">
              <w:rPr>
                <w:rFonts w:ascii="Calibri" w:hAnsi="Calibri" w:cs="Calibri"/>
                <w:color w:val="000000"/>
              </w:rPr>
              <w:t>Does administration of NSAIDs after fracture bone surgery</w:t>
            </w:r>
          </w:p>
          <w:p w14:paraId="5D43F859" w14:textId="77777777" w:rsidR="003356FE" w:rsidRPr="00E367B2" w:rsidRDefault="003356FE" w:rsidP="00D341CD">
            <w:pPr>
              <w:spacing w:after="0"/>
              <w:rPr>
                <w:rFonts w:ascii="Calibri" w:hAnsi="Calibri" w:cs="Calibri"/>
                <w:color w:val="000000"/>
              </w:rPr>
            </w:pPr>
            <w:r w:rsidRPr="00E367B2">
              <w:rPr>
                <w:rFonts w:ascii="Calibri" w:hAnsi="Calibri" w:cs="Calibri"/>
                <w:color w:val="000000"/>
              </w:rPr>
              <w:t>resulted in lower bone morphometric and/or the</w:t>
            </w:r>
          </w:p>
          <w:p w14:paraId="139B5FA0" w14:textId="77777777" w:rsidR="003356FE" w:rsidRPr="00E367B2" w:rsidRDefault="003356FE" w:rsidP="00D341CD">
            <w:pPr>
              <w:spacing w:after="0"/>
              <w:rPr>
                <w:rFonts w:ascii="Calibri" w:hAnsi="Calibri" w:cs="Calibri"/>
                <w:color w:val="000000"/>
              </w:rPr>
            </w:pPr>
            <w:r w:rsidRPr="00E367B2">
              <w:rPr>
                <w:rFonts w:ascii="Calibri" w:hAnsi="Calibri" w:cs="Calibri"/>
                <w:color w:val="000000"/>
              </w:rPr>
              <w:t>biomechanical outcome measurements in comparison to</w:t>
            </w:r>
          </w:p>
          <w:p w14:paraId="4AB0492D" w14:textId="77777777" w:rsidR="003356FE" w:rsidRPr="00E367B2" w:rsidRDefault="003356FE" w:rsidP="00D341CD">
            <w:pPr>
              <w:spacing w:after="0"/>
              <w:jc w:val="both"/>
              <w:rPr>
                <w:rFonts w:ascii="Calibri" w:hAnsi="Calibri"/>
                <w:color w:val="7F7F7F"/>
              </w:rPr>
            </w:pPr>
            <w:r w:rsidRPr="00E367B2">
              <w:rPr>
                <w:rFonts w:ascii="Calibri" w:hAnsi="Calibri" w:cs="Calibri"/>
                <w:color w:val="000000"/>
              </w:rPr>
              <w:t>control (placebo) administration in rodents animal model?</w:t>
            </w:r>
          </w:p>
        </w:tc>
        <w:tc>
          <w:tcPr>
            <w:tcW w:w="1080" w:type="dxa"/>
            <w:shd w:val="clear" w:color="auto" w:fill="auto"/>
            <w:noWrap/>
            <w:vAlign w:val="center"/>
            <w:hideMark/>
          </w:tcPr>
          <w:p w14:paraId="67F42B32" w14:textId="77777777" w:rsidR="003356FE" w:rsidRPr="00E367B2" w:rsidRDefault="003356FE" w:rsidP="00D341CD">
            <w:pPr>
              <w:spacing w:after="0"/>
              <w:jc w:val="center"/>
              <w:rPr>
                <w:rFonts w:ascii="Calibri" w:hAnsi="Calibri"/>
                <w:color w:val="000000"/>
              </w:rPr>
            </w:pPr>
          </w:p>
        </w:tc>
      </w:tr>
      <w:tr w:rsidR="003356FE" w:rsidRPr="00E367B2" w14:paraId="4BDBC4F6" w14:textId="77777777" w:rsidTr="00D341CD">
        <w:trPr>
          <w:trHeight w:val="240"/>
        </w:trPr>
        <w:tc>
          <w:tcPr>
            <w:tcW w:w="565" w:type="dxa"/>
            <w:shd w:val="clear" w:color="auto" w:fill="2E025E"/>
            <w:noWrap/>
            <w:vAlign w:val="center"/>
            <w:hideMark/>
          </w:tcPr>
          <w:p w14:paraId="724B411D" w14:textId="77777777" w:rsidR="003356FE" w:rsidRPr="00E367B2" w:rsidRDefault="003356FE" w:rsidP="00D341CD">
            <w:pPr>
              <w:spacing w:after="0"/>
              <w:rPr>
                <w:rFonts w:ascii="Calibri" w:hAnsi="Calibri"/>
                <w:color w:val="FFFFFF"/>
              </w:rPr>
            </w:pPr>
          </w:p>
        </w:tc>
        <w:tc>
          <w:tcPr>
            <w:tcW w:w="10065" w:type="dxa"/>
            <w:gridSpan w:val="4"/>
            <w:shd w:val="clear" w:color="auto" w:fill="2E025E"/>
            <w:vAlign w:val="center"/>
            <w:hideMark/>
          </w:tcPr>
          <w:p w14:paraId="4C0DE374" w14:textId="77777777" w:rsidR="003356FE" w:rsidRPr="00E367B2" w:rsidRDefault="003356FE" w:rsidP="00D341CD">
            <w:pPr>
              <w:spacing w:after="0"/>
              <w:rPr>
                <w:rFonts w:ascii="Calibri" w:hAnsi="Calibri"/>
                <w:color w:val="FFFFFF"/>
              </w:rPr>
            </w:pPr>
            <w:r w:rsidRPr="00E367B2">
              <w:rPr>
                <w:rFonts w:ascii="Calibri" w:hAnsi="Calibri"/>
                <w:color w:val="FFFFFF"/>
              </w:rPr>
              <w:t>C. Methods</w:t>
            </w:r>
          </w:p>
        </w:tc>
      </w:tr>
      <w:tr w:rsidR="003356FE" w:rsidRPr="00E367B2" w14:paraId="55B8032A" w14:textId="77777777" w:rsidTr="00D341CD">
        <w:trPr>
          <w:trHeight w:val="240"/>
        </w:trPr>
        <w:tc>
          <w:tcPr>
            <w:tcW w:w="565" w:type="dxa"/>
            <w:shd w:val="clear" w:color="auto" w:fill="BFBFBF"/>
            <w:noWrap/>
            <w:vAlign w:val="center"/>
            <w:hideMark/>
          </w:tcPr>
          <w:p w14:paraId="491FF9D1" w14:textId="77777777" w:rsidR="003356FE" w:rsidRPr="00E367B2" w:rsidRDefault="003356FE" w:rsidP="00D341CD">
            <w:pPr>
              <w:rPr>
                <w:rFonts w:ascii="Calibri" w:hAnsi="Calibri"/>
                <w:color w:val="000000"/>
              </w:rPr>
            </w:pPr>
          </w:p>
        </w:tc>
        <w:tc>
          <w:tcPr>
            <w:tcW w:w="10065" w:type="dxa"/>
            <w:gridSpan w:val="4"/>
            <w:shd w:val="clear" w:color="auto" w:fill="BFBFBF"/>
            <w:vAlign w:val="center"/>
            <w:hideMark/>
          </w:tcPr>
          <w:p w14:paraId="6ABFA8B4" w14:textId="77777777" w:rsidR="003356FE" w:rsidRPr="00E367B2" w:rsidRDefault="003356FE" w:rsidP="00D341CD">
            <w:pPr>
              <w:rPr>
                <w:rFonts w:ascii="Calibri" w:hAnsi="Calibri"/>
                <w:color w:val="000000"/>
              </w:rPr>
            </w:pPr>
            <w:r w:rsidRPr="00E367B2">
              <w:rPr>
                <w:rFonts w:ascii="Calibri" w:hAnsi="Calibri"/>
                <w:color w:val="000000"/>
              </w:rPr>
              <w:t>Search and study identification</w:t>
            </w:r>
          </w:p>
        </w:tc>
      </w:tr>
      <w:tr w:rsidR="003356FE" w:rsidRPr="00E367B2" w14:paraId="7BDC2888" w14:textId="77777777" w:rsidTr="00D341CD">
        <w:trPr>
          <w:trHeight w:val="1019"/>
        </w:trPr>
        <w:tc>
          <w:tcPr>
            <w:tcW w:w="565" w:type="dxa"/>
            <w:shd w:val="clear" w:color="auto" w:fill="auto"/>
            <w:noWrap/>
            <w:vAlign w:val="center"/>
            <w:hideMark/>
          </w:tcPr>
          <w:p w14:paraId="0F5E532E" w14:textId="77777777" w:rsidR="003356FE" w:rsidRPr="00E367B2" w:rsidRDefault="003356FE" w:rsidP="00D341CD">
            <w:pPr>
              <w:rPr>
                <w:rFonts w:ascii="Calibri" w:hAnsi="Calibri"/>
                <w:color w:val="000000"/>
              </w:rPr>
            </w:pPr>
            <w:r w:rsidRPr="00E367B2">
              <w:rPr>
                <w:rFonts w:ascii="Calibri" w:hAnsi="Calibri"/>
                <w:color w:val="000000"/>
              </w:rPr>
              <w:t>17.</w:t>
            </w:r>
          </w:p>
        </w:tc>
        <w:tc>
          <w:tcPr>
            <w:tcW w:w="3585" w:type="dxa"/>
            <w:shd w:val="clear" w:color="auto" w:fill="auto"/>
            <w:vAlign w:val="center"/>
            <w:hideMark/>
          </w:tcPr>
          <w:p w14:paraId="30A9B4EC" w14:textId="77777777" w:rsidR="003356FE" w:rsidRPr="00E367B2" w:rsidRDefault="003356FE" w:rsidP="00D341CD">
            <w:pPr>
              <w:rPr>
                <w:rFonts w:ascii="Calibri" w:hAnsi="Calibri"/>
              </w:rPr>
            </w:pPr>
            <w:r w:rsidRPr="00E367B2">
              <w:rPr>
                <w:rFonts w:ascii="Calibri" w:hAnsi="Calibri"/>
              </w:rPr>
              <w:t>Identify literature databases to search (</w:t>
            </w:r>
            <w:r w:rsidRPr="00E367B2">
              <w:rPr>
                <w:rFonts w:ascii="Calibri" w:hAnsi="Calibri"/>
                <w:i/>
              </w:rPr>
              <w:t>e.g.</w:t>
            </w:r>
            <w:r w:rsidRPr="00E367B2">
              <w:rPr>
                <w:rFonts w:ascii="Calibri" w:hAnsi="Calibri"/>
              </w:rPr>
              <w:t xml:space="preserve"> Pubmed, Embase, Web of science)</w:t>
            </w:r>
          </w:p>
        </w:tc>
        <w:tc>
          <w:tcPr>
            <w:tcW w:w="5400" w:type="dxa"/>
            <w:gridSpan w:val="2"/>
            <w:shd w:val="clear" w:color="auto" w:fill="auto"/>
            <w:noWrap/>
            <w:vAlign w:val="center"/>
            <w:hideMark/>
          </w:tcPr>
          <w:p w14:paraId="798E97D3" w14:textId="77777777" w:rsidR="003356FE" w:rsidRPr="00E367B2" w:rsidRDefault="003356FE" w:rsidP="003356FE">
            <w:pPr>
              <w:numPr>
                <w:ilvl w:val="0"/>
                <w:numId w:val="3"/>
              </w:numPr>
              <w:spacing w:after="0" w:line="192" w:lineRule="auto"/>
              <w:contextualSpacing/>
              <w:rPr>
                <w:rFonts w:ascii="Calibri" w:hAnsi="Calibri"/>
                <w:color w:val="000000"/>
              </w:rPr>
            </w:pPr>
            <w:r w:rsidRPr="00E367B2">
              <w:rPr>
                <w:rFonts w:ascii="Calibri" w:hAnsi="Calibri"/>
                <w:color w:val="000000"/>
              </w:rPr>
              <w:t xml:space="preserve">MEDLINE via PubMed         </w:t>
            </w:r>
          </w:p>
          <w:p w14:paraId="6E636E8A" w14:textId="77777777" w:rsidR="003356FE" w:rsidRPr="00E367B2" w:rsidRDefault="003356FE" w:rsidP="003356FE">
            <w:pPr>
              <w:numPr>
                <w:ilvl w:val="0"/>
                <w:numId w:val="3"/>
              </w:numPr>
              <w:spacing w:after="0" w:line="192" w:lineRule="auto"/>
              <w:contextualSpacing/>
              <w:rPr>
                <w:rFonts w:ascii="Calibri" w:hAnsi="Calibri"/>
                <w:color w:val="000000"/>
              </w:rPr>
            </w:pPr>
            <w:r w:rsidRPr="00E367B2">
              <w:rPr>
                <w:rFonts w:ascii="Calibri" w:hAnsi="Calibri"/>
                <w:color w:val="000000"/>
              </w:rPr>
              <w:t xml:space="preserve">SCOPUS                     </w:t>
            </w:r>
          </w:p>
          <w:p w14:paraId="77948BC1" w14:textId="77777777" w:rsidR="003356FE" w:rsidRPr="00E367B2" w:rsidRDefault="003356FE" w:rsidP="003356FE">
            <w:pPr>
              <w:numPr>
                <w:ilvl w:val="0"/>
                <w:numId w:val="3"/>
              </w:numPr>
              <w:spacing w:after="0" w:line="192" w:lineRule="auto"/>
              <w:contextualSpacing/>
              <w:rPr>
                <w:rFonts w:ascii="Calibri" w:hAnsi="Calibri"/>
                <w:color w:val="000000"/>
              </w:rPr>
            </w:pPr>
            <w:r w:rsidRPr="00E367B2">
              <w:rPr>
                <w:rFonts w:ascii="Calibri" w:hAnsi="Calibri"/>
                <w:color w:val="000000"/>
              </w:rPr>
              <w:t xml:space="preserve">EMBASE       </w:t>
            </w:r>
          </w:p>
          <w:p w14:paraId="18C27369" w14:textId="77777777" w:rsidR="003356FE" w:rsidRPr="00E367B2" w:rsidRDefault="003356FE" w:rsidP="003356FE">
            <w:pPr>
              <w:numPr>
                <w:ilvl w:val="0"/>
                <w:numId w:val="3"/>
              </w:numPr>
              <w:spacing w:after="0" w:line="192" w:lineRule="auto"/>
              <w:contextualSpacing/>
              <w:rPr>
                <w:rFonts w:ascii="Calibri" w:hAnsi="Calibri"/>
                <w:color w:val="000000"/>
              </w:rPr>
            </w:pPr>
            <w:r w:rsidRPr="00E367B2">
              <w:rPr>
                <w:rFonts w:ascii="Calibri" w:hAnsi="Calibri"/>
                <w:color w:val="000000"/>
              </w:rPr>
              <w:t xml:space="preserve">Ovid        </w:t>
            </w:r>
          </w:p>
        </w:tc>
        <w:tc>
          <w:tcPr>
            <w:tcW w:w="1080" w:type="dxa"/>
            <w:shd w:val="clear" w:color="auto" w:fill="auto"/>
            <w:noWrap/>
            <w:vAlign w:val="center"/>
            <w:hideMark/>
          </w:tcPr>
          <w:p w14:paraId="76D24634" w14:textId="77777777" w:rsidR="003356FE" w:rsidRPr="00E367B2" w:rsidRDefault="003356FE" w:rsidP="00D341CD">
            <w:pPr>
              <w:jc w:val="center"/>
              <w:rPr>
                <w:rFonts w:ascii="Calibri" w:hAnsi="Calibri"/>
                <w:color w:val="000000"/>
              </w:rPr>
            </w:pPr>
          </w:p>
        </w:tc>
      </w:tr>
      <w:tr w:rsidR="003356FE" w:rsidRPr="00E367B2" w14:paraId="38C0ACD8" w14:textId="77777777" w:rsidTr="00D341CD">
        <w:trPr>
          <w:trHeight w:val="240"/>
        </w:trPr>
        <w:tc>
          <w:tcPr>
            <w:tcW w:w="565" w:type="dxa"/>
            <w:shd w:val="clear" w:color="auto" w:fill="auto"/>
            <w:noWrap/>
            <w:vAlign w:val="center"/>
            <w:hideMark/>
          </w:tcPr>
          <w:p w14:paraId="480BDC1F" w14:textId="77777777" w:rsidR="003356FE" w:rsidRPr="00E367B2" w:rsidRDefault="003356FE" w:rsidP="00D341CD">
            <w:pPr>
              <w:rPr>
                <w:rFonts w:ascii="Calibri" w:hAnsi="Calibri"/>
                <w:color w:val="000000"/>
              </w:rPr>
            </w:pPr>
            <w:r w:rsidRPr="00E367B2">
              <w:rPr>
                <w:rFonts w:ascii="Calibri" w:hAnsi="Calibri"/>
                <w:color w:val="000000"/>
              </w:rPr>
              <w:lastRenderedPageBreak/>
              <w:t>18.</w:t>
            </w:r>
          </w:p>
        </w:tc>
        <w:tc>
          <w:tcPr>
            <w:tcW w:w="3585" w:type="dxa"/>
            <w:shd w:val="clear" w:color="auto" w:fill="auto"/>
            <w:vAlign w:val="center"/>
            <w:hideMark/>
          </w:tcPr>
          <w:p w14:paraId="0A086EB3" w14:textId="77777777" w:rsidR="003356FE" w:rsidRPr="00E367B2" w:rsidRDefault="003356FE" w:rsidP="00D341CD">
            <w:pPr>
              <w:rPr>
                <w:rFonts w:ascii="Calibri" w:hAnsi="Calibri"/>
              </w:rPr>
            </w:pPr>
            <w:r w:rsidRPr="00E367B2">
              <w:rPr>
                <w:rFonts w:ascii="Calibri" w:hAnsi="Calibri"/>
              </w:rPr>
              <w:t>Define electronic search strategies (</w:t>
            </w:r>
            <w:r w:rsidRPr="00E367B2">
              <w:rPr>
                <w:rFonts w:ascii="Calibri" w:hAnsi="Calibri"/>
                <w:i/>
              </w:rPr>
              <w:t>e.g.</w:t>
            </w:r>
            <w:r w:rsidRPr="00E367B2">
              <w:rPr>
                <w:rFonts w:ascii="Calibri" w:hAnsi="Calibri"/>
              </w:rPr>
              <w:t xml:space="preserve"> use the </w:t>
            </w:r>
            <w:hyperlink r:id="rId9" w:history="1">
              <w:r w:rsidRPr="00E367B2">
                <w:rPr>
                  <w:rFonts w:ascii="Calibri" w:hAnsi="Calibri"/>
                  <w:color w:val="0000FF"/>
                  <w:u w:val="single"/>
                </w:rPr>
                <w:t>step by step search guide</w:t>
              </w:r>
              <w:r w:rsidRPr="00E367B2">
                <w:rPr>
                  <w:rFonts w:ascii="Calibri" w:hAnsi="Calibri"/>
                  <w:color w:val="0000FF"/>
                  <w:u w:val="single"/>
                  <w:vertAlign w:val="superscript"/>
                </w:rPr>
                <w:t>15</w:t>
              </w:r>
              <w:r w:rsidRPr="00E367B2">
                <w:rPr>
                  <w:rFonts w:ascii="Calibri" w:hAnsi="Calibri"/>
                  <w:color w:val="0000FF"/>
                  <w:u w:val="single"/>
                </w:rPr>
                <w:t xml:space="preserve"> </w:t>
              </w:r>
            </w:hyperlink>
            <w:r w:rsidRPr="00E367B2">
              <w:rPr>
                <w:rFonts w:ascii="Calibri" w:hAnsi="Calibri"/>
              </w:rPr>
              <w:t>and animal search filters</w:t>
            </w:r>
            <w:hyperlink r:id="rId10" w:history="1">
              <w:r w:rsidRPr="00E367B2">
                <w:rPr>
                  <w:rFonts w:ascii="Calibri" w:hAnsi="Calibri"/>
                  <w:color w:val="0000FF"/>
                  <w:u w:val="single"/>
                  <w:vertAlign w:val="superscript"/>
                </w:rPr>
                <w:t>20,</w:t>
              </w:r>
            </w:hyperlink>
            <w:r w:rsidRPr="00E367B2">
              <w:rPr>
                <w:rFonts w:ascii="Calibri" w:hAnsi="Calibri"/>
                <w:vertAlign w:val="superscript"/>
              </w:rPr>
              <w:t xml:space="preserve"> </w:t>
            </w:r>
            <w:hyperlink r:id="rId11" w:history="1">
              <w:r w:rsidRPr="00E367B2">
                <w:rPr>
                  <w:rFonts w:ascii="Calibri" w:hAnsi="Calibri"/>
                  <w:color w:val="0000FF"/>
                  <w:u w:val="single"/>
                  <w:vertAlign w:val="superscript"/>
                </w:rPr>
                <w:t>21</w:t>
              </w:r>
            </w:hyperlink>
            <w:r w:rsidRPr="00E367B2">
              <w:rPr>
                <w:rFonts w:ascii="Calibri" w:hAnsi="Calibri"/>
              </w:rPr>
              <w:t>)</w:t>
            </w:r>
          </w:p>
        </w:tc>
        <w:tc>
          <w:tcPr>
            <w:tcW w:w="5400" w:type="dxa"/>
            <w:gridSpan w:val="2"/>
            <w:shd w:val="clear" w:color="auto" w:fill="auto"/>
            <w:noWrap/>
            <w:vAlign w:val="center"/>
            <w:hideMark/>
          </w:tcPr>
          <w:p w14:paraId="008B8FEA" w14:textId="77777777" w:rsidR="003356FE" w:rsidRPr="00E367B2" w:rsidRDefault="003356FE" w:rsidP="00D341CD">
            <w:pPr>
              <w:rPr>
                <w:rFonts w:ascii="Calibri" w:hAnsi="Calibri"/>
                <w:color w:val="000000"/>
              </w:rPr>
            </w:pPr>
            <w:r w:rsidRPr="00E367B2">
              <w:rPr>
                <w:rFonts w:ascii="Calibri" w:hAnsi="Calibri"/>
                <w:color w:val="000000"/>
              </w:rPr>
              <w:t xml:space="preserve">When available, please add a supplementary file containing </w:t>
            </w:r>
            <w:r w:rsidRPr="00E367B2">
              <w:rPr>
                <w:rFonts w:ascii="Calibri" w:hAnsi="Calibri"/>
                <w:noProof/>
                <w:color w:val="000000"/>
              </w:rPr>
              <w:t>your</w:t>
            </w:r>
            <w:r w:rsidRPr="00E367B2">
              <w:rPr>
                <w:rFonts w:ascii="Calibri" w:hAnsi="Calibri"/>
                <w:color w:val="000000"/>
              </w:rPr>
              <w:t xml:space="preserve"> search strategy: [Search Strategy Appendix]</w:t>
            </w:r>
          </w:p>
        </w:tc>
        <w:tc>
          <w:tcPr>
            <w:tcW w:w="1080" w:type="dxa"/>
            <w:shd w:val="clear" w:color="auto" w:fill="auto"/>
            <w:noWrap/>
            <w:vAlign w:val="center"/>
            <w:hideMark/>
          </w:tcPr>
          <w:p w14:paraId="051CB10B" w14:textId="77777777" w:rsidR="003356FE" w:rsidRPr="00E367B2" w:rsidRDefault="003356FE" w:rsidP="00D341CD">
            <w:pPr>
              <w:jc w:val="center"/>
              <w:rPr>
                <w:rFonts w:ascii="Calibri" w:hAnsi="Calibri"/>
                <w:color w:val="000000"/>
              </w:rPr>
            </w:pPr>
          </w:p>
        </w:tc>
      </w:tr>
      <w:tr w:rsidR="003356FE" w:rsidRPr="00E367B2" w14:paraId="1B983BD0" w14:textId="77777777" w:rsidTr="00D341CD">
        <w:trPr>
          <w:trHeight w:val="1463"/>
        </w:trPr>
        <w:tc>
          <w:tcPr>
            <w:tcW w:w="565" w:type="dxa"/>
            <w:shd w:val="clear" w:color="auto" w:fill="auto"/>
            <w:noWrap/>
            <w:vAlign w:val="center"/>
            <w:hideMark/>
          </w:tcPr>
          <w:p w14:paraId="52B3A222" w14:textId="77777777" w:rsidR="003356FE" w:rsidRPr="00E367B2" w:rsidRDefault="003356FE" w:rsidP="00D341CD">
            <w:pPr>
              <w:rPr>
                <w:rFonts w:ascii="Calibri" w:hAnsi="Calibri"/>
                <w:color w:val="000000"/>
              </w:rPr>
            </w:pPr>
            <w:r w:rsidRPr="00E367B2">
              <w:rPr>
                <w:rFonts w:ascii="Calibri" w:hAnsi="Calibri"/>
                <w:color w:val="000000"/>
              </w:rPr>
              <w:t>19.</w:t>
            </w:r>
          </w:p>
        </w:tc>
        <w:tc>
          <w:tcPr>
            <w:tcW w:w="3585" w:type="dxa"/>
            <w:shd w:val="clear" w:color="auto" w:fill="auto"/>
            <w:vAlign w:val="center"/>
            <w:hideMark/>
          </w:tcPr>
          <w:p w14:paraId="505FCDC3" w14:textId="77777777" w:rsidR="003356FE" w:rsidRPr="00E367B2" w:rsidRDefault="003356FE" w:rsidP="00D341CD">
            <w:pPr>
              <w:rPr>
                <w:rFonts w:ascii="Calibri" w:hAnsi="Calibri"/>
                <w:color w:val="000000"/>
              </w:rPr>
            </w:pPr>
            <w:r w:rsidRPr="00E367B2">
              <w:rPr>
                <w:rFonts w:ascii="Calibri" w:hAnsi="Calibri"/>
                <w:color w:val="000000"/>
              </w:rPr>
              <w:t xml:space="preserve">Identify other sources for study identification </w:t>
            </w:r>
          </w:p>
        </w:tc>
        <w:tc>
          <w:tcPr>
            <w:tcW w:w="5400" w:type="dxa"/>
            <w:gridSpan w:val="2"/>
            <w:shd w:val="clear" w:color="auto" w:fill="auto"/>
            <w:noWrap/>
            <w:vAlign w:val="center"/>
            <w:hideMark/>
          </w:tcPr>
          <w:p w14:paraId="0665A2C3" w14:textId="77777777" w:rsidR="003356FE" w:rsidRPr="00E367B2" w:rsidRDefault="003356FE" w:rsidP="00D341CD">
            <w:pPr>
              <w:spacing w:line="192" w:lineRule="auto"/>
              <w:rPr>
                <w:rFonts w:ascii="Calibri" w:hAnsi="Calibri"/>
                <w:color w:val="000000"/>
              </w:rPr>
            </w:pPr>
            <w:r w:rsidRPr="00E367B2">
              <w:rPr>
                <w:rFonts w:ascii="Calibri" w:hAnsi="Calibri"/>
                <w:color w:val="000000"/>
                <w:sz w:val="40"/>
                <w:shd w:val="clear" w:color="auto" w:fill="000000" w:themeFill="text1"/>
              </w:rPr>
              <w:t>□</w:t>
            </w:r>
            <w:r w:rsidRPr="00E367B2">
              <w:rPr>
                <w:rFonts w:ascii="Calibri" w:hAnsi="Calibri"/>
                <w:color w:val="000000"/>
              </w:rPr>
              <w:t xml:space="preserve">Reference lists of included studies           </w:t>
            </w:r>
            <w:r w:rsidRPr="00E367B2">
              <w:rPr>
                <w:rFonts w:ascii="Calibri" w:hAnsi="Calibri"/>
                <w:color w:val="000000"/>
                <w:sz w:val="40"/>
              </w:rPr>
              <w:t>□</w:t>
            </w:r>
            <w:r w:rsidRPr="00E367B2">
              <w:rPr>
                <w:rFonts w:ascii="Calibri" w:hAnsi="Calibri"/>
                <w:color w:val="000000"/>
              </w:rPr>
              <w:t xml:space="preserve">Books </w:t>
            </w:r>
          </w:p>
          <w:p w14:paraId="0421BC0E" w14:textId="77777777" w:rsidR="003356FE" w:rsidRPr="00E367B2" w:rsidRDefault="003356FE" w:rsidP="00D341CD">
            <w:pPr>
              <w:spacing w:line="192" w:lineRule="auto"/>
              <w:rPr>
                <w:rFonts w:ascii="Calibri" w:hAnsi="Calibri"/>
                <w:color w:val="000000"/>
              </w:rPr>
            </w:pPr>
            <w:r w:rsidRPr="00E367B2">
              <w:rPr>
                <w:rFonts w:ascii="Calibri" w:hAnsi="Calibri"/>
                <w:color w:val="000000"/>
                <w:sz w:val="40"/>
              </w:rPr>
              <w:t>□</w:t>
            </w:r>
            <w:r w:rsidRPr="00E367B2">
              <w:rPr>
                <w:rFonts w:ascii="Calibri" w:hAnsi="Calibri"/>
                <w:color w:val="000000"/>
              </w:rPr>
              <w:t>Reference lists of relevant reviews</w:t>
            </w:r>
          </w:p>
          <w:p w14:paraId="1D3814D1" w14:textId="77777777" w:rsidR="003356FE" w:rsidRPr="00E367B2" w:rsidRDefault="003356FE" w:rsidP="00D341CD">
            <w:pPr>
              <w:spacing w:line="192" w:lineRule="auto"/>
              <w:rPr>
                <w:rFonts w:ascii="Calibri" w:hAnsi="Calibri"/>
                <w:color w:val="000000"/>
              </w:rPr>
            </w:pPr>
            <w:r w:rsidRPr="00E367B2">
              <w:rPr>
                <w:rFonts w:ascii="Calibri" w:hAnsi="Calibri"/>
                <w:color w:val="000000"/>
                <w:sz w:val="40"/>
              </w:rPr>
              <w:t>□</w:t>
            </w:r>
            <w:r w:rsidRPr="00E367B2">
              <w:rPr>
                <w:rFonts w:ascii="Calibri" w:hAnsi="Calibri"/>
                <w:color w:val="000000"/>
              </w:rPr>
              <w:t>Conference proceedings, namely:</w:t>
            </w:r>
          </w:p>
          <w:p w14:paraId="0B836474" w14:textId="77777777" w:rsidR="003356FE" w:rsidRPr="00E367B2" w:rsidRDefault="003356FE" w:rsidP="00D341CD">
            <w:pPr>
              <w:spacing w:line="192" w:lineRule="auto"/>
              <w:rPr>
                <w:rFonts w:ascii="Calibri" w:hAnsi="Calibri"/>
                <w:color w:val="000000"/>
              </w:rPr>
            </w:pPr>
            <w:r w:rsidRPr="00E367B2">
              <w:rPr>
                <w:rFonts w:ascii="Calibri" w:hAnsi="Calibri"/>
                <w:color w:val="000000"/>
                <w:sz w:val="40"/>
              </w:rPr>
              <w:t>□</w:t>
            </w:r>
            <w:r w:rsidRPr="00E367B2">
              <w:rPr>
                <w:rFonts w:ascii="Calibri" w:hAnsi="Calibri"/>
                <w:color w:val="000000"/>
              </w:rPr>
              <w:t>Contacting authors/ organisations, namely:</w:t>
            </w:r>
          </w:p>
          <w:p w14:paraId="4AB17767" w14:textId="77777777" w:rsidR="003356FE" w:rsidRPr="00E367B2" w:rsidRDefault="003356FE" w:rsidP="00D341CD">
            <w:pPr>
              <w:spacing w:line="192" w:lineRule="auto"/>
              <w:rPr>
                <w:rFonts w:ascii="Calibri" w:hAnsi="Calibri"/>
                <w:color w:val="000000"/>
              </w:rPr>
            </w:pPr>
            <w:r w:rsidRPr="00E367B2">
              <w:rPr>
                <w:rFonts w:ascii="Calibri" w:hAnsi="Calibri"/>
                <w:color w:val="000000"/>
                <w:sz w:val="40"/>
              </w:rPr>
              <w:t>□</w:t>
            </w:r>
            <w:r w:rsidRPr="00E367B2">
              <w:rPr>
                <w:rFonts w:ascii="Calibri" w:hAnsi="Calibri"/>
                <w:color w:val="000000"/>
              </w:rPr>
              <w:t>Other, namely:</w:t>
            </w:r>
          </w:p>
        </w:tc>
        <w:tc>
          <w:tcPr>
            <w:tcW w:w="1080" w:type="dxa"/>
            <w:shd w:val="clear" w:color="auto" w:fill="auto"/>
            <w:noWrap/>
            <w:vAlign w:val="center"/>
            <w:hideMark/>
          </w:tcPr>
          <w:p w14:paraId="153E8C47" w14:textId="77777777" w:rsidR="003356FE" w:rsidRPr="00E367B2" w:rsidRDefault="003356FE" w:rsidP="00D341CD">
            <w:pPr>
              <w:jc w:val="center"/>
              <w:rPr>
                <w:rFonts w:ascii="Calibri" w:hAnsi="Calibri"/>
                <w:color w:val="000000"/>
              </w:rPr>
            </w:pPr>
          </w:p>
        </w:tc>
      </w:tr>
      <w:tr w:rsidR="003356FE" w:rsidRPr="00E367B2" w14:paraId="4A59E338" w14:textId="77777777" w:rsidTr="00D341CD">
        <w:trPr>
          <w:trHeight w:val="240"/>
        </w:trPr>
        <w:tc>
          <w:tcPr>
            <w:tcW w:w="565" w:type="dxa"/>
            <w:shd w:val="clear" w:color="auto" w:fill="auto"/>
            <w:noWrap/>
            <w:vAlign w:val="center"/>
            <w:hideMark/>
          </w:tcPr>
          <w:p w14:paraId="3A3B60FF" w14:textId="77777777" w:rsidR="003356FE" w:rsidRPr="00E367B2" w:rsidRDefault="003356FE" w:rsidP="00D341CD">
            <w:pPr>
              <w:rPr>
                <w:rFonts w:ascii="Calibri" w:hAnsi="Calibri"/>
                <w:color w:val="000000"/>
              </w:rPr>
            </w:pPr>
            <w:r w:rsidRPr="00E367B2">
              <w:rPr>
                <w:rFonts w:ascii="Calibri" w:hAnsi="Calibri"/>
                <w:color w:val="000000"/>
              </w:rPr>
              <w:t>20.</w:t>
            </w:r>
          </w:p>
        </w:tc>
        <w:tc>
          <w:tcPr>
            <w:tcW w:w="3585" w:type="dxa"/>
            <w:shd w:val="clear" w:color="auto" w:fill="auto"/>
            <w:vAlign w:val="center"/>
            <w:hideMark/>
          </w:tcPr>
          <w:p w14:paraId="1304E697" w14:textId="77777777" w:rsidR="003356FE" w:rsidRPr="00E367B2" w:rsidRDefault="003356FE" w:rsidP="00D341CD">
            <w:pPr>
              <w:rPr>
                <w:rFonts w:ascii="Calibri" w:hAnsi="Calibri"/>
                <w:color w:val="000000"/>
              </w:rPr>
            </w:pPr>
            <w:r w:rsidRPr="00E367B2">
              <w:rPr>
                <w:rFonts w:ascii="Calibri" w:hAnsi="Calibri"/>
                <w:color w:val="000000"/>
              </w:rPr>
              <w:t>Define search strategy for these other sources</w:t>
            </w:r>
          </w:p>
        </w:tc>
        <w:tc>
          <w:tcPr>
            <w:tcW w:w="5400" w:type="dxa"/>
            <w:gridSpan w:val="2"/>
            <w:shd w:val="clear" w:color="auto" w:fill="auto"/>
            <w:noWrap/>
            <w:vAlign w:val="center"/>
          </w:tcPr>
          <w:p w14:paraId="3E0EDB10" w14:textId="77777777" w:rsidR="003356FE" w:rsidRPr="00E367B2" w:rsidRDefault="003356FE" w:rsidP="00D341CD">
            <w:pPr>
              <w:rPr>
                <w:rFonts w:ascii="Calibri" w:hAnsi="Calibri"/>
                <w:color w:val="000000"/>
              </w:rPr>
            </w:pPr>
          </w:p>
        </w:tc>
        <w:tc>
          <w:tcPr>
            <w:tcW w:w="1080" w:type="dxa"/>
            <w:shd w:val="clear" w:color="auto" w:fill="auto"/>
            <w:noWrap/>
            <w:vAlign w:val="center"/>
            <w:hideMark/>
          </w:tcPr>
          <w:p w14:paraId="5AF6D518" w14:textId="77777777" w:rsidR="003356FE" w:rsidRPr="00E367B2" w:rsidRDefault="003356FE" w:rsidP="00D341CD">
            <w:pPr>
              <w:jc w:val="center"/>
              <w:rPr>
                <w:rFonts w:ascii="Calibri" w:hAnsi="Calibri"/>
                <w:color w:val="000000"/>
              </w:rPr>
            </w:pPr>
          </w:p>
        </w:tc>
      </w:tr>
      <w:tr w:rsidR="003356FE" w:rsidRPr="00E367B2" w14:paraId="3B608FEC" w14:textId="77777777" w:rsidTr="00D341CD">
        <w:trPr>
          <w:trHeight w:val="240"/>
        </w:trPr>
        <w:tc>
          <w:tcPr>
            <w:tcW w:w="565" w:type="dxa"/>
            <w:shd w:val="clear" w:color="auto" w:fill="BFBFBF"/>
            <w:noWrap/>
            <w:vAlign w:val="center"/>
            <w:hideMark/>
          </w:tcPr>
          <w:p w14:paraId="756EAB97" w14:textId="77777777" w:rsidR="003356FE" w:rsidRPr="00E367B2" w:rsidRDefault="003356FE" w:rsidP="00D341CD">
            <w:pPr>
              <w:rPr>
                <w:rFonts w:ascii="Calibri" w:hAnsi="Calibri"/>
                <w:color w:val="000000"/>
              </w:rPr>
            </w:pPr>
          </w:p>
        </w:tc>
        <w:tc>
          <w:tcPr>
            <w:tcW w:w="10065" w:type="dxa"/>
            <w:gridSpan w:val="4"/>
            <w:shd w:val="clear" w:color="auto" w:fill="BFBFBF"/>
            <w:vAlign w:val="center"/>
            <w:hideMark/>
          </w:tcPr>
          <w:p w14:paraId="31B9AE4D" w14:textId="77777777" w:rsidR="003356FE" w:rsidRPr="00E367B2" w:rsidRDefault="003356FE" w:rsidP="00D341CD">
            <w:pPr>
              <w:rPr>
                <w:rFonts w:ascii="Calibri" w:hAnsi="Calibri"/>
                <w:color w:val="000000"/>
              </w:rPr>
            </w:pPr>
            <w:r w:rsidRPr="00E367B2">
              <w:rPr>
                <w:rFonts w:ascii="Calibri" w:hAnsi="Calibri"/>
                <w:color w:val="000000"/>
              </w:rPr>
              <w:t>Study selection</w:t>
            </w:r>
          </w:p>
        </w:tc>
      </w:tr>
      <w:tr w:rsidR="003356FE" w:rsidRPr="00E367B2" w14:paraId="53DEC934" w14:textId="77777777" w:rsidTr="00D341CD">
        <w:trPr>
          <w:trHeight w:val="240"/>
        </w:trPr>
        <w:tc>
          <w:tcPr>
            <w:tcW w:w="565" w:type="dxa"/>
            <w:shd w:val="clear" w:color="auto" w:fill="auto"/>
            <w:noWrap/>
            <w:vAlign w:val="center"/>
            <w:hideMark/>
          </w:tcPr>
          <w:p w14:paraId="027E234F" w14:textId="77777777" w:rsidR="003356FE" w:rsidRPr="00E367B2" w:rsidRDefault="003356FE" w:rsidP="00D341CD">
            <w:pPr>
              <w:rPr>
                <w:rFonts w:ascii="Calibri" w:hAnsi="Calibri"/>
                <w:color w:val="000000"/>
              </w:rPr>
            </w:pPr>
            <w:r w:rsidRPr="00E367B2">
              <w:rPr>
                <w:rFonts w:ascii="Calibri" w:hAnsi="Calibri"/>
                <w:color w:val="000000"/>
              </w:rPr>
              <w:t>21.</w:t>
            </w:r>
          </w:p>
        </w:tc>
        <w:tc>
          <w:tcPr>
            <w:tcW w:w="3585" w:type="dxa"/>
            <w:shd w:val="clear" w:color="auto" w:fill="auto"/>
            <w:vAlign w:val="center"/>
            <w:hideMark/>
          </w:tcPr>
          <w:p w14:paraId="3C1D479F" w14:textId="77777777" w:rsidR="003356FE" w:rsidRPr="00E367B2" w:rsidRDefault="003356FE" w:rsidP="00D341CD">
            <w:pPr>
              <w:rPr>
                <w:rFonts w:ascii="Calibri" w:hAnsi="Calibri"/>
              </w:rPr>
            </w:pPr>
            <w:r w:rsidRPr="00E367B2">
              <w:rPr>
                <w:rFonts w:ascii="Calibri" w:hAnsi="Calibri"/>
              </w:rPr>
              <w:t>Define screening phases (</w:t>
            </w:r>
            <w:r w:rsidRPr="00E367B2">
              <w:rPr>
                <w:rFonts w:ascii="Calibri" w:hAnsi="Calibri"/>
                <w:i/>
              </w:rPr>
              <w:t>e.g.</w:t>
            </w:r>
            <w:r w:rsidRPr="00E367B2">
              <w:rPr>
                <w:rFonts w:ascii="Calibri" w:hAnsi="Calibri"/>
              </w:rPr>
              <w:t xml:space="preserve"> pre-screening based on title/abstract, </w:t>
            </w:r>
            <w:r w:rsidRPr="00E367B2">
              <w:rPr>
                <w:rFonts w:ascii="Calibri" w:hAnsi="Calibri"/>
                <w:noProof/>
              </w:rPr>
              <w:t>full text</w:t>
            </w:r>
            <w:r w:rsidRPr="00E367B2">
              <w:rPr>
                <w:rFonts w:ascii="Calibri" w:hAnsi="Calibri"/>
              </w:rPr>
              <w:t xml:space="preserve"> screening, both)</w:t>
            </w:r>
          </w:p>
        </w:tc>
        <w:tc>
          <w:tcPr>
            <w:tcW w:w="5400" w:type="dxa"/>
            <w:gridSpan w:val="2"/>
            <w:shd w:val="clear" w:color="auto" w:fill="auto"/>
            <w:noWrap/>
            <w:vAlign w:val="center"/>
            <w:hideMark/>
          </w:tcPr>
          <w:p w14:paraId="4A5161E6" w14:textId="77777777" w:rsidR="003356FE" w:rsidRPr="00E367B2" w:rsidRDefault="003356FE" w:rsidP="00D341CD">
            <w:pPr>
              <w:rPr>
                <w:rFonts w:ascii="Calibri" w:hAnsi="Calibri"/>
                <w:color w:val="000000"/>
                <w:lang w:val="en-US"/>
              </w:rPr>
            </w:pPr>
          </w:p>
          <w:p w14:paraId="2F259BCF" w14:textId="77777777" w:rsidR="003356FE" w:rsidRPr="00E367B2" w:rsidRDefault="003356FE" w:rsidP="00D341CD">
            <w:pPr>
              <w:rPr>
                <w:rFonts w:ascii="Calibri" w:hAnsi="Calibri"/>
                <w:color w:val="000000"/>
                <w:lang w:val="en-US"/>
              </w:rPr>
            </w:pPr>
            <w:r w:rsidRPr="00E367B2">
              <w:rPr>
                <w:rFonts w:ascii="Calibri" w:hAnsi="Calibri"/>
                <w:color w:val="000000"/>
                <w:lang w:val="en-US"/>
              </w:rPr>
              <w:t xml:space="preserve">- Initial pre-screening with selection of the relevant studies based on the </w:t>
            </w:r>
            <w:r w:rsidRPr="00E367B2">
              <w:rPr>
                <w:rFonts w:ascii="Calibri" w:hAnsi="Calibri"/>
                <w:noProof/>
                <w:color w:val="000000"/>
                <w:lang w:val="en-US"/>
              </w:rPr>
              <w:t>key</w:t>
            </w:r>
            <w:r w:rsidRPr="00E367B2">
              <w:rPr>
                <w:rFonts w:ascii="Calibri" w:hAnsi="Calibri"/>
                <w:color w:val="000000"/>
                <w:lang w:val="en-US"/>
              </w:rPr>
              <w:t xml:space="preserve"> components of the review question on title/abstract</w:t>
            </w:r>
          </w:p>
          <w:p w14:paraId="50D71337" w14:textId="77777777" w:rsidR="003356FE" w:rsidRPr="00E367B2" w:rsidRDefault="003356FE" w:rsidP="00D341CD">
            <w:pPr>
              <w:rPr>
                <w:rFonts w:ascii="Calibri" w:hAnsi="Calibri"/>
                <w:color w:val="000000"/>
              </w:rPr>
            </w:pPr>
            <w:r w:rsidRPr="00E367B2">
              <w:rPr>
                <w:rFonts w:ascii="Calibri" w:hAnsi="Calibri"/>
                <w:color w:val="000000"/>
                <w:lang w:val="en-US"/>
              </w:rPr>
              <w:t>-</w:t>
            </w:r>
            <w:r w:rsidRPr="00E367B2">
              <w:rPr>
                <w:rFonts w:ascii="Calibri" w:hAnsi="Calibri"/>
                <w:color w:val="000000"/>
              </w:rPr>
              <w:t xml:space="preserve"> </w:t>
            </w:r>
            <w:r w:rsidRPr="00E367B2">
              <w:rPr>
                <w:rFonts w:ascii="Calibri" w:hAnsi="Calibri"/>
                <w:noProof/>
                <w:color w:val="000000"/>
              </w:rPr>
              <w:t>Full text</w:t>
            </w:r>
            <w:r w:rsidRPr="00E367B2">
              <w:rPr>
                <w:rFonts w:ascii="Calibri" w:hAnsi="Calibri"/>
                <w:color w:val="000000"/>
              </w:rPr>
              <w:t xml:space="preserve"> screening of the relevant citations</w:t>
            </w:r>
          </w:p>
          <w:p w14:paraId="6608F59A" w14:textId="77777777" w:rsidR="003356FE" w:rsidRPr="00E367B2" w:rsidRDefault="003356FE" w:rsidP="00D341CD">
            <w:pPr>
              <w:rPr>
                <w:rFonts w:ascii="Calibri" w:hAnsi="Calibri"/>
                <w:color w:val="000000"/>
                <w:lang w:val="en-US"/>
              </w:rPr>
            </w:pPr>
          </w:p>
        </w:tc>
        <w:tc>
          <w:tcPr>
            <w:tcW w:w="1080" w:type="dxa"/>
            <w:shd w:val="clear" w:color="auto" w:fill="auto"/>
            <w:noWrap/>
            <w:vAlign w:val="center"/>
            <w:hideMark/>
          </w:tcPr>
          <w:p w14:paraId="00C2FFDF" w14:textId="77777777" w:rsidR="003356FE" w:rsidRPr="00E367B2" w:rsidRDefault="003356FE" w:rsidP="00D341CD">
            <w:pPr>
              <w:jc w:val="center"/>
              <w:rPr>
                <w:rFonts w:ascii="Calibri" w:hAnsi="Calibri"/>
                <w:color w:val="000000"/>
              </w:rPr>
            </w:pPr>
          </w:p>
        </w:tc>
      </w:tr>
      <w:tr w:rsidR="003356FE" w:rsidRPr="00E367B2" w14:paraId="45E4DDA3" w14:textId="77777777" w:rsidTr="00D341CD">
        <w:trPr>
          <w:trHeight w:val="240"/>
        </w:trPr>
        <w:tc>
          <w:tcPr>
            <w:tcW w:w="565" w:type="dxa"/>
            <w:shd w:val="clear" w:color="auto" w:fill="auto"/>
            <w:noWrap/>
            <w:vAlign w:val="center"/>
            <w:hideMark/>
          </w:tcPr>
          <w:p w14:paraId="24D9BCC4" w14:textId="77777777" w:rsidR="003356FE" w:rsidRPr="00E367B2" w:rsidRDefault="003356FE" w:rsidP="00D341CD">
            <w:pPr>
              <w:rPr>
                <w:rFonts w:ascii="Calibri" w:hAnsi="Calibri"/>
                <w:color w:val="000000"/>
              </w:rPr>
            </w:pPr>
            <w:r w:rsidRPr="00E367B2">
              <w:rPr>
                <w:rFonts w:ascii="Calibri" w:hAnsi="Calibri"/>
                <w:color w:val="000000"/>
              </w:rPr>
              <w:t>22.</w:t>
            </w:r>
          </w:p>
        </w:tc>
        <w:tc>
          <w:tcPr>
            <w:tcW w:w="3585" w:type="dxa"/>
            <w:shd w:val="clear" w:color="auto" w:fill="auto"/>
            <w:vAlign w:val="center"/>
            <w:hideMark/>
          </w:tcPr>
          <w:p w14:paraId="502B6738" w14:textId="77777777" w:rsidR="003356FE" w:rsidRPr="00E367B2" w:rsidRDefault="003356FE" w:rsidP="00D341CD">
            <w:pPr>
              <w:rPr>
                <w:rFonts w:ascii="Calibri" w:hAnsi="Calibri"/>
              </w:rPr>
            </w:pPr>
            <w:r w:rsidRPr="00E367B2">
              <w:rPr>
                <w:rFonts w:ascii="Calibri" w:hAnsi="Calibri"/>
              </w:rPr>
              <w:t xml:space="preserve">Specify (a) the number of reviewers per screening phase and (b) how discrepancies will </w:t>
            </w:r>
            <w:r w:rsidRPr="00E367B2">
              <w:rPr>
                <w:rFonts w:ascii="Calibri" w:hAnsi="Calibri"/>
                <w:noProof/>
              </w:rPr>
              <w:t>be resolved</w:t>
            </w:r>
          </w:p>
        </w:tc>
        <w:tc>
          <w:tcPr>
            <w:tcW w:w="5400" w:type="dxa"/>
            <w:gridSpan w:val="2"/>
            <w:shd w:val="clear" w:color="auto" w:fill="auto"/>
            <w:noWrap/>
            <w:vAlign w:val="center"/>
            <w:hideMark/>
          </w:tcPr>
          <w:p w14:paraId="2C23BC24" w14:textId="77777777" w:rsidR="003356FE" w:rsidRPr="00E367B2" w:rsidRDefault="003356FE" w:rsidP="00D341CD">
            <w:pPr>
              <w:rPr>
                <w:rFonts w:ascii="Calibri" w:hAnsi="Calibri"/>
                <w:color w:val="000000"/>
              </w:rPr>
            </w:pPr>
          </w:p>
          <w:p w14:paraId="71F58106" w14:textId="77777777" w:rsidR="003356FE" w:rsidRPr="00E367B2" w:rsidRDefault="003356FE" w:rsidP="00D341CD">
            <w:pPr>
              <w:spacing w:after="0"/>
              <w:rPr>
                <w:rFonts w:ascii="Calibri" w:hAnsi="Calibri"/>
                <w:color w:val="000000"/>
              </w:rPr>
            </w:pPr>
            <w:r w:rsidRPr="00E367B2">
              <w:rPr>
                <w:rFonts w:ascii="Calibri" w:hAnsi="Calibri"/>
                <w:color w:val="000000"/>
              </w:rPr>
              <w:t xml:space="preserve">- </w:t>
            </w:r>
            <w:r w:rsidRPr="00E367B2">
              <w:rPr>
                <w:rFonts w:ascii="Calibri" w:hAnsi="Calibri"/>
                <w:noProof/>
                <w:color w:val="000000"/>
              </w:rPr>
              <w:t>Pre-screening and full text screening will be performed by two reviewers</w:t>
            </w:r>
            <w:r w:rsidRPr="00E367B2">
              <w:rPr>
                <w:rFonts w:ascii="Calibri" w:hAnsi="Calibri"/>
                <w:color w:val="000000"/>
              </w:rPr>
              <w:t xml:space="preserve"> independently </w:t>
            </w:r>
          </w:p>
          <w:p w14:paraId="7263BC1C" w14:textId="77777777" w:rsidR="003356FE" w:rsidRPr="00E367B2" w:rsidRDefault="003356FE" w:rsidP="00D341CD">
            <w:pPr>
              <w:spacing w:after="0"/>
              <w:rPr>
                <w:rFonts w:ascii="Calibri" w:hAnsi="Calibri"/>
                <w:color w:val="000000"/>
              </w:rPr>
            </w:pPr>
            <w:r w:rsidRPr="00E367B2">
              <w:rPr>
                <w:rFonts w:ascii="Calibri" w:hAnsi="Calibri"/>
                <w:color w:val="000000"/>
              </w:rPr>
              <w:t>- Discrepancies will be solved either by discussion or by</w:t>
            </w:r>
          </w:p>
          <w:p w14:paraId="773484F7" w14:textId="77777777" w:rsidR="003356FE" w:rsidRPr="00E367B2" w:rsidRDefault="003356FE" w:rsidP="00D341CD">
            <w:pPr>
              <w:spacing w:after="0"/>
              <w:rPr>
                <w:rFonts w:ascii="Calibri" w:hAnsi="Calibri"/>
                <w:color w:val="000000"/>
              </w:rPr>
            </w:pPr>
            <w:r w:rsidRPr="00E367B2">
              <w:rPr>
                <w:rFonts w:ascii="Calibri" w:hAnsi="Calibri"/>
                <w:color w:val="000000"/>
              </w:rPr>
              <w:t>a third reviewer (when no agreement is met by the two</w:t>
            </w:r>
          </w:p>
          <w:p w14:paraId="34DDEF3E" w14:textId="77777777" w:rsidR="003356FE" w:rsidRPr="00E367B2" w:rsidRDefault="003356FE" w:rsidP="00D341CD">
            <w:pPr>
              <w:spacing w:after="0"/>
              <w:rPr>
                <w:rFonts w:ascii="Calibri" w:hAnsi="Calibri"/>
                <w:color w:val="000000"/>
              </w:rPr>
            </w:pPr>
            <w:r w:rsidRPr="00E367B2">
              <w:rPr>
                <w:rFonts w:ascii="Calibri" w:hAnsi="Calibri"/>
                <w:color w:val="000000"/>
              </w:rPr>
              <w:t>reviewers)</w:t>
            </w:r>
          </w:p>
          <w:p w14:paraId="412FEC93" w14:textId="77777777" w:rsidR="003356FE" w:rsidRPr="00E367B2" w:rsidRDefault="003356FE" w:rsidP="00D341CD">
            <w:pPr>
              <w:rPr>
                <w:rFonts w:ascii="Calibri" w:hAnsi="Calibri"/>
                <w:color w:val="000000"/>
              </w:rPr>
            </w:pPr>
          </w:p>
        </w:tc>
        <w:tc>
          <w:tcPr>
            <w:tcW w:w="1080" w:type="dxa"/>
            <w:shd w:val="clear" w:color="auto" w:fill="auto"/>
            <w:noWrap/>
            <w:vAlign w:val="center"/>
            <w:hideMark/>
          </w:tcPr>
          <w:p w14:paraId="66938F14" w14:textId="77777777" w:rsidR="003356FE" w:rsidRPr="00E367B2" w:rsidRDefault="003356FE" w:rsidP="00D341CD">
            <w:pPr>
              <w:jc w:val="center"/>
              <w:rPr>
                <w:rFonts w:ascii="Calibri" w:hAnsi="Calibri"/>
                <w:color w:val="000000"/>
              </w:rPr>
            </w:pPr>
          </w:p>
        </w:tc>
      </w:tr>
      <w:tr w:rsidR="003356FE" w:rsidRPr="00E367B2" w14:paraId="751C9FA6" w14:textId="77777777" w:rsidTr="00D341CD">
        <w:trPr>
          <w:trHeight w:val="240"/>
        </w:trPr>
        <w:tc>
          <w:tcPr>
            <w:tcW w:w="565" w:type="dxa"/>
            <w:shd w:val="clear" w:color="auto" w:fill="auto"/>
            <w:noWrap/>
            <w:vAlign w:val="center"/>
            <w:hideMark/>
          </w:tcPr>
          <w:p w14:paraId="78179B37" w14:textId="77777777" w:rsidR="003356FE" w:rsidRPr="00E367B2" w:rsidRDefault="003356FE" w:rsidP="00D341CD">
            <w:pPr>
              <w:rPr>
                <w:rFonts w:ascii="Calibri" w:hAnsi="Calibri"/>
                <w:color w:val="000000"/>
              </w:rPr>
            </w:pPr>
          </w:p>
        </w:tc>
        <w:tc>
          <w:tcPr>
            <w:tcW w:w="10065" w:type="dxa"/>
            <w:gridSpan w:val="4"/>
            <w:shd w:val="clear" w:color="auto" w:fill="auto"/>
            <w:vAlign w:val="center"/>
            <w:hideMark/>
          </w:tcPr>
          <w:p w14:paraId="3CAA877D" w14:textId="77777777" w:rsidR="003356FE" w:rsidRPr="00E367B2" w:rsidRDefault="003356FE" w:rsidP="00D341CD">
            <w:pPr>
              <w:rPr>
                <w:rFonts w:ascii="Calibri" w:hAnsi="Calibri"/>
                <w:i/>
                <w:color w:val="000000"/>
              </w:rPr>
            </w:pPr>
            <w:r w:rsidRPr="00E367B2">
              <w:rPr>
                <w:rFonts w:ascii="Calibri" w:hAnsi="Calibri"/>
                <w:i/>
                <w:color w:val="000000"/>
              </w:rPr>
              <w:t>Define all inclusion and exclusion criteria based on:</w:t>
            </w:r>
          </w:p>
        </w:tc>
      </w:tr>
      <w:tr w:rsidR="003356FE" w:rsidRPr="00E367B2" w14:paraId="251A6849" w14:textId="77777777" w:rsidTr="00D341CD">
        <w:trPr>
          <w:trHeight w:val="240"/>
        </w:trPr>
        <w:tc>
          <w:tcPr>
            <w:tcW w:w="565" w:type="dxa"/>
            <w:shd w:val="clear" w:color="auto" w:fill="auto"/>
            <w:noWrap/>
            <w:vAlign w:val="center"/>
            <w:hideMark/>
          </w:tcPr>
          <w:p w14:paraId="662589F4" w14:textId="77777777" w:rsidR="003356FE" w:rsidRPr="00E367B2" w:rsidRDefault="003356FE" w:rsidP="00D341CD">
            <w:pPr>
              <w:rPr>
                <w:rFonts w:ascii="Calibri" w:hAnsi="Calibri"/>
                <w:color w:val="000000"/>
              </w:rPr>
            </w:pPr>
            <w:r w:rsidRPr="00E367B2">
              <w:rPr>
                <w:rFonts w:ascii="Calibri" w:hAnsi="Calibri"/>
                <w:color w:val="000000"/>
              </w:rPr>
              <w:t>23.</w:t>
            </w:r>
          </w:p>
        </w:tc>
        <w:tc>
          <w:tcPr>
            <w:tcW w:w="3585" w:type="dxa"/>
            <w:shd w:val="clear" w:color="auto" w:fill="auto"/>
            <w:vAlign w:val="center"/>
            <w:hideMark/>
          </w:tcPr>
          <w:p w14:paraId="492A5026" w14:textId="77777777" w:rsidR="003356FE" w:rsidRPr="00E367B2" w:rsidRDefault="003356FE" w:rsidP="00D341CD">
            <w:pPr>
              <w:rPr>
                <w:rFonts w:ascii="Calibri" w:hAnsi="Calibri"/>
              </w:rPr>
            </w:pPr>
            <w:r w:rsidRPr="00E367B2">
              <w:rPr>
                <w:rFonts w:ascii="Calibri" w:hAnsi="Calibri"/>
              </w:rPr>
              <w:t xml:space="preserve">Type of study (design) </w:t>
            </w:r>
          </w:p>
        </w:tc>
        <w:tc>
          <w:tcPr>
            <w:tcW w:w="5400" w:type="dxa"/>
            <w:gridSpan w:val="2"/>
            <w:shd w:val="clear" w:color="auto" w:fill="auto"/>
            <w:noWrap/>
            <w:vAlign w:val="bottom"/>
            <w:hideMark/>
          </w:tcPr>
          <w:p w14:paraId="77519AF7" w14:textId="77777777" w:rsidR="003356FE" w:rsidRPr="00E367B2" w:rsidRDefault="003356FE" w:rsidP="00D341CD">
            <w:pPr>
              <w:rPr>
                <w:rFonts w:ascii="Calibri" w:hAnsi="Calibri"/>
                <w:color w:val="000000"/>
              </w:rPr>
            </w:pPr>
          </w:p>
          <w:p w14:paraId="10B2FBC8" w14:textId="77777777" w:rsidR="003356FE" w:rsidRPr="00E367B2" w:rsidRDefault="003356FE" w:rsidP="00D341CD">
            <w:pPr>
              <w:rPr>
                <w:rFonts w:ascii="Calibri" w:hAnsi="Calibri"/>
                <w:color w:val="000000"/>
              </w:rPr>
            </w:pPr>
            <w:r w:rsidRPr="00E367B2">
              <w:rPr>
                <w:rFonts w:ascii="Calibri" w:hAnsi="Calibri"/>
                <w:color w:val="000000"/>
              </w:rPr>
              <w:t xml:space="preserve">Inclusion criteria: </w:t>
            </w:r>
          </w:p>
          <w:p w14:paraId="3D71D97C"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Original articles</w:t>
            </w:r>
          </w:p>
          <w:p w14:paraId="53B13BDE"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Experimental animal models</w:t>
            </w:r>
          </w:p>
          <w:p w14:paraId="51529AF9"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 xml:space="preserve">In vivo </w:t>
            </w:r>
            <w:r w:rsidRPr="00E367B2">
              <w:rPr>
                <w:rFonts w:ascii="Calibri" w:hAnsi="Calibri"/>
              </w:rPr>
              <w:t>(designed for bone healing process)</w:t>
            </w:r>
            <w:r w:rsidRPr="00E367B2">
              <w:rPr>
                <w:rFonts w:ascii="Calibri" w:hAnsi="Calibri"/>
                <w:color w:val="000000"/>
              </w:rPr>
              <w:t xml:space="preserve"> </w:t>
            </w:r>
          </w:p>
          <w:p w14:paraId="69102ECD" w14:textId="77777777" w:rsidR="003356FE" w:rsidRPr="00E367B2" w:rsidRDefault="003356FE" w:rsidP="00D341CD">
            <w:pPr>
              <w:rPr>
                <w:rFonts w:ascii="Calibri" w:hAnsi="Calibri"/>
                <w:color w:val="000000"/>
              </w:rPr>
            </w:pPr>
            <w:r w:rsidRPr="00E367B2">
              <w:rPr>
                <w:rFonts w:ascii="Calibri" w:hAnsi="Calibri"/>
                <w:color w:val="000000"/>
              </w:rPr>
              <w:t>Exclusion criteria:</w:t>
            </w:r>
          </w:p>
          <w:p w14:paraId="2CE06157"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Not an original study</w:t>
            </w:r>
          </w:p>
          <w:p w14:paraId="37030B8A"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I</w:t>
            </w:r>
            <w:r w:rsidRPr="00E367B2">
              <w:rPr>
                <w:rFonts w:ascii="Calibri" w:hAnsi="Calibri"/>
              </w:rPr>
              <w:t xml:space="preserve">n vitro studies </w:t>
            </w:r>
          </w:p>
          <w:p w14:paraId="0ADE8B2C"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Clinical trials</w:t>
            </w:r>
          </w:p>
          <w:p w14:paraId="168DC8E4"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Case reports</w:t>
            </w:r>
          </w:p>
          <w:p w14:paraId="58608541"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Review studies</w:t>
            </w:r>
          </w:p>
          <w:p w14:paraId="09E4F1D2" w14:textId="77777777" w:rsidR="003356FE" w:rsidRPr="00E367B2" w:rsidRDefault="003356FE" w:rsidP="00D341CD">
            <w:pPr>
              <w:spacing w:after="0" w:line="240" w:lineRule="auto"/>
              <w:ind w:left="720"/>
              <w:rPr>
                <w:rFonts w:ascii="Calibri" w:hAnsi="Calibri"/>
                <w:color w:val="000000"/>
              </w:rPr>
            </w:pPr>
          </w:p>
        </w:tc>
        <w:tc>
          <w:tcPr>
            <w:tcW w:w="1080" w:type="dxa"/>
            <w:shd w:val="clear" w:color="auto" w:fill="auto"/>
            <w:noWrap/>
            <w:vAlign w:val="center"/>
            <w:hideMark/>
          </w:tcPr>
          <w:p w14:paraId="2F1DCBA6" w14:textId="77777777" w:rsidR="003356FE" w:rsidRPr="00E367B2" w:rsidRDefault="003356FE" w:rsidP="00D341CD">
            <w:pPr>
              <w:jc w:val="center"/>
              <w:rPr>
                <w:rFonts w:ascii="Calibri" w:hAnsi="Calibri"/>
                <w:color w:val="000000"/>
              </w:rPr>
            </w:pPr>
          </w:p>
        </w:tc>
      </w:tr>
      <w:tr w:rsidR="003356FE" w:rsidRPr="00E367B2" w14:paraId="1A191050" w14:textId="77777777" w:rsidTr="00D341CD">
        <w:trPr>
          <w:trHeight w:val="240"/>
        </w:trPr>
        <w:tc>
          <w:tcPr>
            <w:tcW w:w="565" w:type="dxa"/>
            <w:shd w:val="clear" w:color="auto" w:fill="auto"/>
            <w:noWrap/>
            <w:vAlign w:val="center"/>
            <w:hideMark/>
          </w:tcPr>
          <w:p w14:paraId="011F8F37" w14:textId="77777777" w:rsidR="003356FE" w:rsidRPr="00E367B2" w:rsidRDefault="003356FE" w:rsidP="00D341CD">
            <w:pPr>
              <w:rPr>
                <w:rFonts w:ascii="Calibri" w:hAnsi="Calibri"/>
                <w:color w:val="000000"/>
              </w:rPr>
            </w:pPr>
            <w:r w:rsidRPr="00E367B2">
              <w:rPr>
                <w:rFonts w:ascii="Calibri" w:hAnsi="Calibri"/>
                <w:color w:val="000000"/>
              </w:rPr>
              <w:lastRenderedPageBreak/>
              <w:t>24.</w:t>
            </w:r>
          </w:p>
        </w:tc>
        <w:tc>
          <w:tcPr>
            <w:tcW w:w="3585" w:type="dxa"/>
            <w:shd w:val="clear" w:color="auto" w:fill="auto"/>
            <w:vAlign w:val="center"/>
            <w:hideMark/>
          </w:tcPr>
          <w:p w14:paraId="32C5EA87" w14:textId="77777777" w:rsidR="003356FE" w:rsidRPr="00E367B2" w:rsidRDefault="003356FE" w:rsidP="00D341CD">
            <w:pPr>
              <w:rPr>
                <w:rFonts w:ascii="Calibri" w:hAnsi="Calibri"/>
              </w:rPr>
            </w:pPr>
            <w:r w:rsidRPr="00E367B2">
              <w:rPr>
                <w:rFonts w:ascii="Calibri" w:hAnsi="Calibri"/>
              </w:rPr>
              <w:t>Type of animals/population (</w:t>
            </w:r>
            <w:r w:rsidRPr="00E367B2">
              <w:rPr>
                <w:rFonts w:ascii="Calibri" w:hAnsi="Calibri"/>
                <w:i/>
              </w:rPr>
              <w:t>e.g.</w:t>
            </w:r>
            <w:r w:rsidRPr="00E367B2">
              <w:rPr>
                <w:rFonts w:ascii="Calibri" w:hAnsi="Calibri"/>
              </w:rPr>
              <w:t xml:space="preserve"> age, gender, disease model)</w:t>
            </w:r>
          </w:p>
        </w:tc>
        <w:tc>
          <w:tcPr>
            <w:tcW w:w="5400" w:type="dxa"/>
            <w:gridSpan w:val="2"/>
            <w:shd w:val="clear" w:color="auto" w:fill="auto"/>
            <w:noWrap/>
            <w:vAlign w:val="center"/>
            <w:hideMark/>
          </w:tcPr>
          <w:p w14:paraId="6DC303B3" w14:textId="77777777" w:rsidR="003356FE" w:rsidRPr="00E367B2" w:rsidRDefault="003356FE" w:rsidP="00D341CD">
            <w:pPr>
              <w:rPr>
                <w:rFonts w:ascii="Calibri" w:hAnsi="Calibri"/>
                <w:color w:val="000000"/>
              </w:rPr>
            </w:pPr>
            <w:r w:rsidRPr="00E367B2">
              <w:rPr>
                <w:rFonts w:ascii="Calibri" w:hAnsi="Calibri"/>
                <w:color w:val="000000"/>
              </w:rPr>
              <w:t>Inclusion criteria:</w:t>
            </w:r>
          </w:p>
          <w:p w14:paraId="6D71DA61" w14:textId="77777777" w:rsidR="003356FE" w:rsidRPr="00E367B2" w:rsidRDefault="003356FE" w:rsidP="003356FE">
            <w:pPr>
              <w:numPr>
                <w:ilvl w:val="0"/>
                <w:numId w:val="2"/>
              </w:numPr>
              <w:spacing w:after="0" w:line="240" w:lineRule="auto"/>
              <w:rPr>
                <w:rFonts w:ascii="Calibri" w:hAnsi="Calibri"/>
                <w:color w:val="000000"/>
              </w:rPr>
            </w:pPr>
            <w:r w:rsidRPr="00E367B2">
              <w:rPr>
                <w:rFonts w:ascii="Calibri" w:hAnsi="Calibri"/>
                <w:color w:val="000000"/>
              </w:rPr>
              <w:t>Animal models</w:t>
            </w:r>
          </w:p>
          <w:p w14:paraId="43D3B67F" w14:textId="77777777" w:rsidR="003356FE" w:rsidRPr="00E367B2" w:rsidRDefault="003356FE" w:rsidP="003356FE">
            <w:pPr>
              <w:numPr>
                <w:ilvl w:val="0"/>
                <w:numId w:val="2"/>
              </w:numPr>
              <w:spacing w:after="0" w:line="240" w:lineRule="auto"/>
              <w:rPr>
                <w:rFonts w:ascii="Calibri" w:hAnsi="Calibri"/>
                <w:color w:val="000000"/>
              </w:rPr>
            </w:pPr>
            <w:r w:rsidRPr="00E367B2">
              <w:rPr>
                <w:rFonts w:ascii="Calibri" w:hAnsi="Calibri"/>
                <w:color w:val="000000"/>
              </w:rPr>
              <w:t>Bone fracture models</w:t>
            </w:r>
          </w:p>
          <w:p w14:paraId="2C0CF856" w14:textId="77777777" w:rsidR="003356FE" w:rsidRPr="00E367B2" w:rsidRDefault="003356FE" w:rsidP="00D341CD">
            <w:pPr>
              <w:rPr>
                <w:rFonts w:ascii="Calibri" w:hAnsi="Calibri"/>
                <w:color w:val="000000"/>
              </w:rPr>
            </w:pPr>
            <w:r w:rsidRPr="00E367B2">
              <w:rPr>
                <w:rFonts w:ascii="Calibri" w:hAnsi="Calibri"/>
                <w:color w:val="000000"/>
              </w:rPr>
              <w:t>Exclusion criteria:</w:t>
            </w:r>
          </w:p>
          <w:p w14:paraId="089FB8B0" w14:textId="77777777" w:rsidR="003356FE" w:rsidRPr="00E367B2" w:rsidRDefault="003356FE" w:rsidP="003356FE">
            <w:pPr>
              <w:numPr>
                <w:ilvl w:val="0"/>
                <w:numId w:val="2"/>
              </w:numPr>
              <w:spacing w:after="0" w:line="240" w:lineRule="auto"/>
              <w:rPr>
                <w:rFonts w:ascii="Calibri" w:hAnsi="Calibri"/>
                <w:color w:val="000000"/>
              </w:rPr>
            </w:pPr>
            <w:r w:rsidRPr="00E367B2">
              <w:rPr>
                <w:rFonts w:ascii="Calibri" w:hAnsi="Calibri"/>
                <w:color w:val="000000"/>
              </w:rPr>
              <w:t>Clinical trials</w:t>
            </w:r>
          </w:p>
          <w:p w14:paraId="727CE950" w14:textId="77777777" w:rsidR="003356FE" w:rsidRPr="00E367B2" w:rsidRDefault="003356FE" w:rsidP="00D341CD">
            <w:pPr>
              <w:spacing w:after="0" w:line="240" w:lineRule="auto"/>
              <w:ind w:left="720"/>
              <w:rPr>
                <w:rFonts w:ascii="Calibri" w:hAnsi="Calibri"/>
                <w:color w:val="000000"/>
              </w:rPr>
            </w:pPr>
          </w:p>
        </w:tc>
        <w:tc>
          <w:tcPr>
            <w:tcW w:w="1080" w:type="dxa"/>
            <w:shd w:val="clear" w:color="auto" w:fill="auto"/>
            <w:noWrap/>
            <w:vAlign w:val="center"/>
            <w:hideMark/>
          </w:tcPr>
          <w:p w14:paraId="3D0F96CD" w14:textId="77777777" w:rsidR="003356FE" w:rsidRPr="00E367B2" w:rsidRDefault="003356FE" w:rsidP="00D341CD">
            <w:pPr>
              <w:jc w:val="center"/>
              <w:rPr>
                <w:rFonts w:ascii="Calibri" w:hAnsi="Calibri"/>
                <w:color w:val="000000"/>
              </w:rPr>
            </w:pPr>
          </w:p>
        </w:tc>
      </w:tr>
      <w:tr w:rsidR="003356FE" w:rsidRPr="00E367B2" w14:paraId="220DC828" w14:textId="77777777" w:rsidTr="00D341CD">
        <w:trPr>
          <w:trHeight w:val="240"/>
        </w:trPr>
        <w:tc>
          <w:tcPr>
            <w:tcW w:w="565" w:type="dxa"/>
            <w:shd w:val="clear" w:color="auto" w:fill="auto"/>
            <w:noWrap/>
            <w:vAlign w:val="center"/>
            <w:hideMark/>
          </w:tcPr>
          <w:p w14:paraId="4E939EBC" w14:textId="77777777" w:rsidR="003356FE" w:rsidRPr="00E367B2" w:rsidRDefault="003356FE" w:rsidP="00D341CD">
            <w:pPr>
              <w:rPr>
                <w:rFonts w:ascii="Calibri" w:hAnsi="Calibri"/>
                <w:color w:val="000000"/>
              </w:rPr>
            </w:pPr>
            <w:r w:rsidRPr="00E367B2">
              <w:rPr>
                <w:rFonts w:ascii="Calibri" w:hAnsi="Calibri"/>
                <w:color w:val="000000"/>
              </w:rPr>
              <w:t>25.</w:t>
            </w:r>
          </w:p>
        </w:tc>
        <w:tc>
          <w:tcPr>
            <w:tcW w:w="3585" w:type="dxa"/>
            <w:shd w:val="clear" w:color="auto" w:fill="auto"/>
            <w:vAlign w:val="center"/>
            <w:hideMark/>
          </w:tcPr>
          <w:p w14:paraId="103D6BB1" w14:textId="77777777" w:rsidR="003356FE" w:rsidRPr="00E367B2" w:rsidRDefault="003356FE" w:rsidP="00D341CD">
            <w:pPr>
              <w:rPr>
                <w:rFonts w:ascii="Calibri" w:hAnsi="Calibri"/>
              </w:rPr>
            </w:pPr>
            <w:r w:rsidRPr="00E367B2">
              <w:rPr>
                <w:rFonts w:ascii="Calibri" w:hAnsi="Calibri"/>
              </w:rPr>
              <w:t>Type of intervention (</w:t>
            </w:r>
            <w:r w:rsidRPr="00E367B2">
              <w:rPr>
                <w:rFonts w:ascii="Calibri" w:hAnsi="Calibri"/>
                <w:i/>
              </w:rPr>
              <w:t>e.g.</w:t>
            </w:r>
            <w:r w:rsidRPr="00E367B2">
              <w:rPr>
                <w:rFonts w:ascii="Calibri" w:hAnsi="Calibri"/>
              </w:rPr>
              <w:t xml:space="preserve"> dosage,  timing, frequency)</w:t>
            </w:r>
          </w:p>
        </w:tc>
        <w:tc>
          <w:tcPr>
            <w:tcW w:w="5400" w:type="dxa"/>
            <w:gridSpan w:val="2"/>
            <w:shd w:val="clear" w:color="auto" w:fill="auto"/>
            <w:noWrap/>
            <w:vAlign w:val="center"/>
            <w:hideMark/>
          </w:tcPr>
          <w:p w14:paraId="1F590D2A" w14:textId="77777777" w:rsidR="003356FE" w:rsidRPr="00E367B2" w:rsidRDefault="003356FE" w:rsidP="00D341CD">
            <w:pPr>
              <w:rPr>
                <w:rFonts w:ascii="Calibri" w:hAnsi="Calibri"/>
                <w:color w:val="000000"/>
              </w:rPr>
            </w:pPr>
            <w:r w:rsidRPr="00E367B2">
              <w:rPr>
                <w:rFonts w:ascii="Calibri" w:hAnsi="Calibri"/>
                <w:color w:val="000000"/>
              </w:rPr>
              <w:t>Inclusion criteria:</w:t>
            </w:r>
          </w:p>
          <w:p w14:paraId="365AD003" w14:textId="77777777" w:rsidR="003356FE" w:rsidRPr="00E367B2" w:rsidRDefault="003356FE" w:rsidP="003356FE">
            <w:pPr>
              <w:numPr>
                <w:ilvl w:val="0"/>
                <w:numId w:val="2"/>
              </w:numPr>
              <w:spacing w:after="0" w:line="240" w:lineRule="auto"/>
              <w:rPr>
                <w:rFonts w:ascii="Calibri" w:hAnsi="Calibri"/>
                <w:color w:val="000000"/>
              </w:rPr>
            </w:pPr>
            <w:r w:rsidRPr="00E367B2">
              <w:rPr>
                <w:rFonts w:ascii="Calibri" w:hAnsi="Calibri"/>
                <w:color w:val="000000"/>
              </w:rPr>
              <w:t xml:space="preserve">Nonsteroidal anti-inflammatory agents in any dose, duration, frequency and type. </w:t>
            </w:r>
          </w:p>
          <w:p w14:paraId="54EACF11" w14:textId="77777777" w:rsidR="003356FE" w:rsidRPr="00E367B2" w:rsidRDefault="003356FE" w:rsidP="00D341CD">
            <w:pPr>
              <w:rPr>
                <w:rFonts w:ascii="Calibri" w:hAnsi="Calibri"/>
                <w:color w:val="000000"/>
              </w:rPr>
            </w:pPr>
            <w:r w:rsidRPr="00E367B2">
              <w:rPr>
                <w:rFonts w:ascii="Calibri" w:hAnsi="Calibri"/>
                <w:color w:val="000000"/>
              </w:rPr>
              <w:t>Exclusion criteria:</w:t>
            </w:r>
          </w:p>
          <w:p w14:paraId="4F16A00F" w14:textId="77777777" w:rsidR="003356FE" w:rsidRPr="00E367B2" w:rsidRDefault="003356FE" w:rsidP="003356FE">
            <w:pPr>
              <w:numPr>
                <w:ilvl w:val="0"/>
                <w:numId w:val="2"/>
              </w:numPr>
              <w:spacing w:after="0" w:line="240" w:lineRule="auto"/>
              <w:rPr>
                <w:rFonts w:ascii="Calibri" w:hAnsi="Calibri"/>
                <w:color w:val="000000"/>
              </w:rPr>
            </w:pPr>
            <w:r w:rsidRPr="00E367B2">
              <w:rPr>
                <w:rFonts w:ascii="Calibri" w:hAnsi="Calibri"/>
                <w:color w:val="000000"/>
              </w:rPr>
              <w:t>Studies taking another drug intervention rather than</w:t>
            </w:r>
          </w:p>
          <w:p w14:paraId="320733F8" w14:textId="77777777" w:rsidR="003356FE" w:rsidRPr="00E367B2" w:rsidRDefault="003356FE" w:rsidP="00D341CD">
            <w:pPr>
              <w:spacing w:after="0" w:line="240" w:lineRule="auto"/>
              <w:ind w:left="720"/>
              <w:rPr>
                <w:rFonts w:ascii="Calibri" w:hAnsi="Calibri"/>
                <w:color w:val="000000"/>
              </w:rPr>
            </w:pPr>
            <w:r w:rsidRPr="00E367B2">
              <w:rPr>
                <w:rFonts w:ascii="Calibri" w:hAnsi="Calibri"/>
                <w:color w:val="000000"/>
              </w:rPr>
              <w:t>nonsteroidal anti-inflammatory agents:</w:t>
            </w:r>
          </w:p>
          <w:p w14:paraId="596186BC" w14:textId="77777777" w:rsidR="003356FE" w:rsidRPr="00E367B2" w:rsidRDefault="003356FE" w:rsidP="003356FE">
            <w:pPr>
              <w:numPr>
                <w:ilvl w:val="0"/>
                <w:numId w:val="2"/>
              </w:numPr>
              <w:spacing w:after="0" w:line="240" w:lineRule="auto"/>
              <w:contextualSpacing/>
              <w:rPr>
                <w:rFonts w:ascii="Calibri" w:hAnsi="Calibri"/>
                <w:color w:val="000000"/>
              </w:rPr>
            </w:pPr>
            <w:r w:rsidRPr="00E367B2">
              <w:rPr>
                <w:rFonts w:ascii="Calibri" w:hAnsi="Calibri"/>
                <w:color w:val="000000"/>
              </w:rPr>
              <w:t>Steroidal anti-inflammatory agents</w:t>
            </w:r>
          </w:p>
          <w:p w14:paraId="0D7ACBBE" w14:textId="77777777" w:rsidR="003356FE" w:rsidRPr="00E367B2" w:rsidRDefault="003356FE" w:rsidP="003356FE">
            <w:pPr>
              <w:numPr>
                <w:ilvl w:val="0"/>
                <w:numId w:val="2"/>
              </w:numPr>
              <w:spacing w:after="0" w:line="240" w:lineRule="auto"/>
              <w:rPr>
                <w:rFonts w:ascii="Calibri" w:hAnsi="Calibri"/>
                <w:color w:val="000000"/>
              </w:rPr>
            </w:pPr>
            <w:r w:rsidRPr="00E367B2">
              <w:rPr>
                <w:rFonts w:ascii="Calibri" w:hAnsi="Calibri"/>
                <w:color w:val="000000"/>
              </w:rPr>
              <w:t>Antibiotics</w:t>
            </w:r>
          </w:p>
          <w:p w14:paraId="3AE6EBA6" w14:textId="77777777" w:rsidR="003356FE" w:rsidRPr="00E367B2" w:rsidRDefault="003356FE" w:rsidP="003356FE">
            <w:pPr>
              <w:numPr>
                <w:ilvl w:val="0"/>
                <w:numId w:val="2"/>
              </w:numPr>
              <w:rPr>
                <w:rFonts w:ascii="Calibri" w:hAnsi="Calibri"/>
                <w:color w:val="000000"/>
              </w:rPr>
            </w:pPr>
            <w:r w:rsidRPr="00E367B2">
              <w:rPr>
                <w:rFonts w:ascii="Calibri" w:hAnsi="Calibri"/>
                <w:color w:val="000000"/>
              </w:rPr>
              <w:t>Combination of NSAIDs and other interventions</w:t>
            </w:r>
          </w:p>
        </w:tc>
        <w:tc>
          <w:tcPr>
            <w:tcW w:w="1080" w:type="dxa"/>
            <w:shd w:val="clear" w:color="auto" w:fill="auto"/>
            <w:noWrap/>
            <w:vAlign w:val="center"/>
            <w:hideMark/>
          </w:tcPr>
          <w:p w14:paraId="47EB1EEA" w14:textId="77777777" w:rsidR="003356FE" w:rsidRPr="00E367B2" w:rsidRDefault="003356FE" w:rsidP="00D341CD">
            <w:pPr>
              <w:jc w:val="center"/>
              <w:rPr>
                <w:rFonts w:ascii="Calibri" w:hAnsi="Calibri"/>
                <w:color w:val="000000"/>
              </w:rPr>
            </w:pPr>
          </w:p>
        </w:tc>
      </w:tr>
      <w:tr w:rsidR="003356FE" w:rsidRPr="00E367B2" w14:paraId="2D68B4EA" w14:textId="77777777" w:rsidTr="00D341CD">
        <w:trPr>
          <w:trHeight w:val="240"/>
        </w:trPr>
        <w:tc>
          <w:tcPr>
            <w:tcW w:w="565" w:type="dxa"/>
            <w:shd w:val="clear" w:color="auto" w:fill="auto"/>
            <w:noWrap/>
            <w:vAlign w:val="center"/>
            <w:hideMark/>
          </w:tcPr>
          <w:p w14:paraId="05C47582" w14:textId="77777777" w:rsidR="003356FE" w:rsidRPr="00E367B2" w:rsidRDefault="003356FE" w:rsidP="00D341CD">
            <w:pPr>
              <w:rPr>
                <w:rFonts w:ascii="Calibri" w:hAnsi="Calibri"/>
                <w:color w:val="000000"/>
              </w:rPr>
            </w:pPr>
            <w:r w:rsidRPr="00E367B2">
              <w:rPr>
                <w:rFonts w:ascii="Calibri" w:hAnsi="Calibri"/>
                <w:color w:val="000000"/>
              </w:rPr>
              <w:t>26.</w:t>
            </w:r>
          </w:p>
        </w:tc>
        <w:tc>
          <w:tcPr>
            <w:tcW w:w="3585" w:type="dxa"/>
            <w:shd w:val="clear" w:color="auto" w:fill="auto"/>
            <w:vAlign w:val="center"/>
            <w:hideMark/>
          </w:tcPr>
          <w:p w14:paraId="5CDCC0EF" w14:textId="77777777" w:rsidR="003356FE" w:rsidRPr="00E367B2" w:rsidRDefault="003356FE" w:rsidP="00D341CD">
            <w:pPr>
              <w:rPr>
                <w:rFonts w:ascii="Calibri" w:hAnsi="Calibri"/>
                <w:color w:val="000000"/>
              </w:rPr>
            </w:pPr>
            <w:r w:rsidRPr="00E367B2">
              <w:rPr>
                <w:rFonts w:ascii="Calibri" w:hAnsi="Calibri"/>
                <w:color w:val="000000"/>
              </w:rPr>
              <w:t>Outcome measures</w:t>
            </w:r>
          </w:p>
        </w:tc>
        <w:tc>
          <w:tcPr>
            <w:tcW w:w="5400" w:type="dxa"/>
            <w:gridSpan w:val="2"/>
            <w:shd w:val="clear" w:color="auto" w:fill="auto"/>
            <w:noWrap/>
            <w:vAlign w:val="bottom"/>
            <w:hideMark/>
          </w:tcPr>
          <w:p w14:paraId="1BE28052" w14:textId="77777777" w:rsidR="003356FE" w:rsidRPr="00E367B2" w:rsidRDefault="003356FE" w:rsidP="00D341CD">
            <w:pPr>
              <w:rPr>
                <w:rFonts w:ascii="Calibri" w:hAnsi="Calibri"/>
                <w:color w:val="000000"/>
              </w:rPr>
            </w:pPr>
            <w:r w:rsidRPr="00E367B2">
              <w:rPr>
                <w:rFonts w:ascii="Calibri" w:hAnsi="Calibri"/>
                <w:color w:val="000000"/>
              </w:rPr>
              <w:t xml:space="preserve">Inclusion criteria: </w:t>
            </w:r>
          </w:p>
          <w:p w14:paraId="5B61880E"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Bone biomechanical test/maximum force</w:t>
            </w:r>
          </w:p>
          <w:p w14:paraId="47AD58C0"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 xml:space="preserve">Histological analysis/ Hu </w:t>
            </w:r>
            <w:r w:rsidRPr="00E367B2">
              <w:rPr>
                <w:rFonts w:ascii="Calibri" w:hAnsi="Calibri"/>
                <w:noProof/>
                <w:color w:val="000000"/>
              </w:rPr>
              <w:t>etal</w:t>
            </w:r>
            <w:r w:rsidRPr="00E367B2">
              <w:rPr>
                <w:rFonts w:ascii="Calibri" w:hAnsi="Calibri"/>
                <w:color w:val="000000"/>
              </w:rPr>
              <w:t xml:space="preserve"> healing grade</w:t>
            </w:r>
          </w:p>
          <w:p w14:paraId="6032AB85"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Micro CT /bone volume or area</w:t>
            </w:r>
          </w:p>
          <w:p w14:paraId="12EAEB21" w14:textId="77777777" w:rsidR="003356FE" w:rsidRPr="00E367B2" w:rsidRDefault="003356FE" w:rsidP="00D341CD">
            <w:pPr>
              <w:spacing w:after="0"/>
              <w:rPr>
                <w:rFonts w:ascii="Calibri" w:hAnsi="Calibri"/>
                <w:color w:val="000000"/>
              </w:rPr>
            </w:pPr>
            <w:r w:rsidRPr="00E367B2">
              <w:rPr>
                <w:rFonts w:ascii="Calibri" w:hAnsi="Calibri"/>
                <w:color w:val="000000"/>
              </w:rPr>
              <w:t>Exclusion criteria:</w:t>
            </w:r>
          </w:p>
          <w:p w14:paraId="594B1459" w14:textId="77777777" w:rsidR="003356FE" w:rsidRPr="00E367B2" w:rsidRDefault="003356FE" w:rsidP="00D341CD">
            <w:pPr>
              <w:spacing w:after="0"/>
              <w:rPr>
                <w:rFonts w:ascii="Calibri" w:hAnsi="Calibri"/>
                <w:color w:val="000000"/>
              </w:rPr>
            </w:pPr>
            <w:r w:rsidRPr="00E367B2">
              <w:rPr>
                <w:rFonts w:ascii="Calibri" w:hAnsi="Calibri"/>
                <w:color w:val="000000"/>
              </w:rPr>
              <w:t>Studies assessing healing in other tissues rather than bone</w:t>
            </w:r>
          </w:p>
          <w:p w14:paraId="30587F7D" w14:textId="77777777" w:rsidR="003356FE" w:rsidRPr="00E367B2" w:rsidRDefault="003356FE" w:rsidP="00D341CD">
            <w:pPr>
              <w:spacing w:after="0"/>
              <w:rPr>
                <w:rFonts w:ascii="Calibri" w:hAnsi="Calibri"/>
                <w:color w:val="000000"/>
              </w:rPr>
            </w:pPr>
            <w:r w:rsidRPr="00E367B2">
              <w:rPr>
                <w:rFonts w:ascii="Calibri" w:hAnsi="Calibri"/>
                <w:color w:val="000000"/>
              </w:rPr>
              <w:t>tissue</w:t>
            </w:r>
          </w:p>
        </w:tc>
        <w:tc>
          <w:tcPr>
            <w:tcW w:w="1080" w:type="dxa"/>
            <w:shd w:val="clear" w:color="auto" w:fill="auto"/>
            <w:noWrap/>
            <w:vAlign w:val="center"/>
            <w:hideMark/>
          </w:tcPr>
          <w:p w14:paraId="4E1F9A21" w14:textId="77777777" w:rsidR="003356FE" w:rsidRPr="00E367B2" w:rsidRDefault="003356FE" w:rsidP="00D341CD">
            <w:pPr>
              <w:jc w:val="center"/>
              <w:rPr>
                <w:rFonts w:ascii="Calibri" w:hAnsi="Calibri"/>
                <w:color w:val="000000"/>
              </w:rPr>
            </w:pPr>
          </w:p>
        </w:tc>
      </w:tr>
      <w:tr w:rsidR="003356FE" w:rsidRPr="00E367B2" w14:paraId="054A4868" w14:textId="77777777" w:rsidTr="00D341CD">
        <w:trPr>
          <w:trHeight w:val="240"/>
        </w:trPr>
        <w:tc>
          <w:tcPr>
            <w:tcW w:w="565" w:type="dxa"/>
            <w:shd w:val="clear" w:color="auto" w:fill="auto"/>
            <w:noWrap/>
            <w:vAlign w:val="center"/>
            <w:hideMark/>
          </w:tcPr>
          <w:p w14:paraId="24F12F14" w14:textId="77777777" w:rsidR="003356FE" w:rsidRPr="00E367B2" w:rsidRDefault="003356FE" w:rsidP="00D341CD">
            <w:pPr>
              <w:rPr>
                <w:rFonts w:ascii="Calibri" w:hAnsi="Calibri"/>
                <w:color w:val="000000"/>
              </w:rPr>
            </w:pPr>
            <w:r w:rsidRPr="00E367B2">
              <w:rPr>
                <w:rFonts w:ascii="Calibri" w:hAnsi="Calibri"/>
                <w:color w:val="000000"/>
              </w:rPr>
              <w:t>27.</w:t>
            </w:r>
          </w:p>
        </w:tc>
        <w:tc>
          <w:tcPr>
            <w:tcW w:w="3585" w:type="dxa"/>
            <w:shd w:val="clear" w:color="auto" w:fill="auto"/>
            <w:vAlign w:val="center"/>
            <w:hideMark/>
          </w:tcPr>
          <w:p w14:paraId="53A7E356" w14:textId="77777777" w:rsidR="003356FE" w:rsidRPr="00E367B2" w:rsidRDefault="003356FE" w:rsidP="00D341CD">
            <w:pPr>
              <w:rPr>
                <w:rFonts w:ascii="Calibri" w:hAnsi="Calibri"/>
                <w:color w:val="000000"/>
              </w:rPr>
            </w:pPr>
            <w:r w:rsidRPr="00E367B2">
              <w:rPr>
                <w:rFonts w:ascii="Calibri" w:hAnsi="Calibri"/>
                <w:color w:val="000000"/>
              </w:rPr>
              <w:t>Language restrictions</w:t>
            </w:r>
          </w:p>
        </w:tc>
        <w:tc>
          <w:tcPr>
            <w:tcW w:w="5400" w:type="dxa"/>
            <w:gridSpan w:val="2"/>
            <w:shd w:val="clear" w:color="auto" w:fill="auto"/>
            <w:noWrap/>
            <w:vAlign w:val="bottom"/>
            <w:hideMark/>
          </w:tcPr>
          <w:p w14:paraId="6AC9489C" w14:textId="77777777" w:rsidR="003356FE" w:rsidRPr="00E367B2" w:rsidRDefault="003356FE" w:rsidP="00D341CD">
            <w:pPr>
              <w:rPr>
                <w:rFonts w:ascii="Calibri" w:hAnsi="Calibri"/>
                <w:color w:val="000000"/>
              </w:rPr>
            </w:pPr>
          </w:p>
        </w:tc>
        <w:tc>
          <w:tcPr>
            <w:tcW w:w="1080" w:type="dxa"/>
            <w:shd w:val="clear" w:color="auto" w:fill="auto"/>
            <w:noWrap/>
            <w:vAlign w:val="center"/>
            <w:hideMark/>
          </w:tcPr>
          <w:p w14:paraId="46F377DE" w14:textId="77777777" w:rsidR="003356FE" w:rsidRPr="00E367B2" w:rsidRDefault="003356FE" w:rsidP="00D341CD">
            <w:pPr>
              <w:jc w:val="center"/>
              <w:rPr>
                <w:rFonts w:ascii="Calibri" w:hAnsi="Calibri"/>
                <w:color w:val="000000"/>
              </w:rPr>
            </w:pPr>
          </w:p>
        </w:tc>
      </w:tr>
      <w:tr w:rsidR="003356FE" w:rsidRPr="00E367B2" w14:paraId="32318C36" w14:textId="77777777" w:rsidTr="00D341CD">
        <w:trPr>
          <w:trHeight w:val="240"/>
        </w:trPr>
        <w:tc>
          <w:tcPr>
            <w:tcW w:w="565" w:type="dxa"/>
            <w:shd w:val="clear" w:color="auto" w:fill="auto"/>
            <w:noWrap/>
            <w:vAlign w:val="center"/>
            <w:hideMark/>
          </w:tcPr>
          <w:p w14:paraId="0DC87F92" w14:textId="77777777" w:rsidR="003356FE" w:rsidRPr="00E367B2" w:rsidRDefault="003356FE" w:rsidP="00D341CD">
            <w:pPr>
              <w:rPr>
                <w:rFonts w:ascii="Calibri" w:hAnsi="Calibri"/>
                <w:color w:val="000000"/>
              </w:rPr>
            </w:pPr>
            <w:r w:rsidRPr="00E367B2">
              <w:rPr>
                <w:rFonts w:ascii="Calibri" w:hAnsi="Calibri"/>
                <w:color w:val="000000"/>
              </w:rPr>
              <w:t>28.</w:t>
            </w:r>
          </w:p>
        </w:tc>
        <w:tc>
          <w:tcPr>
            <w:tcW w:w="3585" w:type="dxa"/>
            <w:shd w:val="clear" w:color="auto" w:fill="auto"/>
            <w:vAlign w:val="center"/>
            <w:hideMark/>
          </w:tcPr>
          <w:p w14:paraId="5FD2C9F2" w14:textId="77777777" w:rsidR="003356FE" w:rsidRPr="00E367B2" w:rsidRDefault="003356FE" w:rsidP="00D341CD">
            <w:pPr>
              <w:rPr>
                <w:rFonts w:ascii="Calibri" w:hAnsi="Calibri"/>
                <w:color w:val="000000"/>
              </w:rPr>
            </w:pPr>
            <w:r w:rsidRPr="00E367B2">
              <w:rPr>
                <w:rFonts w:ascii="Calibri" w:hAnsi="Calibri"/>
                <w:color w:val="000000"/>
              </w:rPr>
              <w:t>Publication date restrictions</w:t>
            </w:r>
          </w:p>
          <w:p w14:paraId="349A34D0" w14:textId="77777777" w:rsidR="003356FE" w:rsidRPr="00E367B2" w:rsidRDefault="003356FE" w:rsidP="00D341CD">
            <w:pPr>
              <w:rPr>
                <w:rFonts w:ascii="Calibri" w:hAnsi="Calibri"/>
              </w:rPr>
            </w:pPr>
          </w:p>
        </w:tc>
        <w:tc>
          <w:tcPr>
            <w:tcW w:w="5400" w:type="dxa"/>
            <w:gridSpan w:val="2"/>
            <w:shd w:val="clear" w:color="auto" w:fill="auto"/>
            <w:noWrap/>
            <w:vAlign w:val="bottom"/>
            <w:hideMark/>
          </w:tcPr>
          <w:p w14:paraId="1AE8D89F" w14:textId="77777777" w:rsidR="003356FE" w:rsidRPr="00E367B2" w:rsidRDefault="003356FE" w:rsidP="00D341CD">
            <w:pPr>
              <w:rPr>
                <w:rFonts w:ascii="Calibri" w:hAnsi="Calibri"/>
                <w:color w:val="000000"/>
              </w:rPr>
            </w:pPr>
            <w:r w:rsidRPr="00E367B2">
              <w:rPr>
                <w:rFonts w:ascii="Calibri" w:hAnsi="Calibri"/>
                <w:color w:val="000000"/>
              </w:rPr>
              <w:t>Inclusion criteria:</w:t>
            </w:r>
          </w:p>
          <w:p w14:paraId="71CB030E"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No date restriction</w:t>
            </w:r>
          </w:p>
          <w:p w14:paraId="1441323D" w14:textId="77777777" w:rsidR="003356FE" w:rsidRPr="00E367B2" w:rsidRDefault="003356FE" w:rsidP="00D341CD">
            <w:pPr>
              <w:rPr>
                <w:rFonts w:ascii="Calibri" w:hAnsi="Calibri"/>
                <w:color w:val="000000"/>
              </w:rPr>
            </w:pPr>
            <w:r w:rsidRPr="00E367B2">
              <w:rPr>
                <w:rFonts w:ascii="Calibri" w:hAnsi="Calibri"/>
                <w:color w:val="000000"/>
              </w:rPr>
              <w:t>Exclusion criteria:</w:t>
            </w:r>
          </w:p>
          <w:p w14:paraId="24311545"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N/A</w:t>
            </w:r>
          </w:p>
        </w:tc>
        <w:tc>
          <w:tcPr>
            <w:tcW w:w="1080" w:type="dxa"/>
            <w:shd w:val="clear" w:color="auto" w:fill="auto"/>
            <w:noWrap/>
            <w:vAlign w:val="center"/>
            <w:hideMark/>
          </w:tcPr>
          <w:p w14:paraId="0A09BA02" w14:textId="77777777" w:rsidR="003356FE" w:rsidRPr="00E367B2" w:rsidRDefault="003356FE" w:rsidP="00D341CD">
            <w:pPr>
              <w:jc w:val="center"/>
              <w:rPr>
                <w:rFonts w:ascii="Calibri" w:hAnsi="Calibri"/>
                <w:color w:val="000000"/>
              </w:rPr>
            </w:pPr>
          </w:p>
        </w:tc>
      </w:tr>
      <w:tr w:rsidR="003356FE" w:rsidRPr="00E367B2" w14:paraId="58EC1781" w14:textId="77777777" w:rsidTr="00D341CD">
        <w:trPr>
          <w:trHeight w:val="240"/>
        </w:trPr>
        <w:tc>
          <w:tcPr>
            <w:tcW w:w="565" w:type="dxa"/>
            <w:shd w:val="clear" w:color="auto" w:fill="auto"/>
            <w:noWrap/>
            <w:vAlign w:val="center"/>
            <w:hideMark/>
          </w:tcPr>
          <w:p w14:paraId="31DCB0E9" w14:textId="77777777" w:rsidR="003356FE" w:rsidRPr="00E367B2" w:rsidRDefault="003356FE" w:rsidP="00D341CD">
            <w:pPr>
              <w:rPr>
                <w:rFonts w:ascii="Calibri" w:hAnsi="Calibri"/>
                <w:color w:val="000000"/>
              </w:rPr>
            </w:pPr>
            <w:r w:rsidRPr="00E367B2">
              <w:rPr>
                <w:rFonts w:ascii="Calibri" w:hAnsi="Calibri"/>
                <w:color w:val="000000"/>
              </w:rPr>
              <w:t>29.</w:t>
            </w:r>
          </w:p>
        </w:tc>
        <w:tc>
          <w:tcPr>
            <w:tcW w:w="3585" w:type="dxa"/>
            <w:shd w:val="clear" w:color="auto" w:fill="auto"/>
            <w:vAlign w:val="center"/>
            <w:hideMark/>
          </w:tcPr>
          <w:p w14:paraId="7A7BA472" w14:textId="77777777" w:rsidR="003356FE" w:rsidRPr="00E367B2" w:rsidRDefault="003356FE" w:rsidP="00D341CD">
            <w:pPr>
              <w:rPr>
                <w:rFonts w:ascii="Calibri" w:hAnsi="Calibri"/>
                <w:color w:val="000000"/>
              </w:rPr>
            </w:pPr>
            <w:r w:rsidRPr="00E367B2">
              <w:rPr>
                <w:rFonts w:ascii="Calibri" w:hAnsi="Calibri"/>
                <w:color w:val="000000"/>
              </w:rPr>
              <w:t>Other</w:t>
            </w:r>
          </w:p>
        </w:tc>
        <w:tc>
          <w:tcPr>
            <w:tcW w:w="5400" w:type="dxa"/>
            <w:gridSpan w:val="2"/>
            <w:shd w:val="clear" w:color="auto" w:fill="auto"/>
            <w:noWrap/>
            <w:vAlign w:val="bottom"/>
            <w:hideMark/>
          </w:tcPr>
          <w:p w14:paraId="7460A664" w14:textId="77777777" w:rsidR="003356FE" w:rsidRPr="00E367B2" w:rsidRDefault="003356FE" w:rsidP="00D341CD">
            <w:pPr>
              <w:rPr>
                <w:rFonts w:ascii="Calibri" w:hAnsi="Calibri"/>
                <w:color w:val="000000"/>
              </w:rPr>
            </w:pPr>
            <w:r w:rsidRPr="00E367B2">
              <w:rPr>
                <w:rFonts w:ascii="Calibri" w:hAnsi="Calibri"/>
                <w:color w:val="000000"/>
              </w:rPr>
              <w:t>Inclusion criteria:</w:t>
            </w:r>
          </w:p>
          <w:p w14:paraId="3ADC49A2"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N/A</w:t>
            </w:r>
          </w:p>
          <w:p w14:paraId="300196B5" w14:textId="77777777" w:rsidR="003356FE" w:rsidRPr="00E367B2" w:rsidRDefault="003356FE" w:rsidP="00D341CD">
            <w:pPr>
              <w:rPr>
                <w:rFonts w:ascii="Calibri" w:hAnsi="Calibri"/>
                <w:color w:val="000000"/>
              </w:rPr>
            </w:pPr>
            <w:r w:rsidRPr="00E367B2">
              <w:rPr>
                <w:rFonts w:ascii="Calibri" w:hAnsi="Calibri"/>
                <w:color w:val="000000"/>
              </w:rPr>
              <w:t>Exclusion criteria:</w:t>
            </w:r>
          </w:p>
          <w:p w14:paraId="47FF62D6" w14:textId="77777777" w:rsidR="003356FE" w:rsidRPr="00E367B2" w:rsidRDefault="003356FE" w:rsidP="003356FE">
            <w:pPr>
              <w:numPr>
                <w:ilvl w:val="0"/>
                <w:numId w:val="1"/>
              </w:numPr>
              <w:spacing w:after="0" w:line="240" w:lineRule="auto"/>
              <w:rPr>
                <w:rFonts w:ascii="Calibri" w:hAnsi="Calibri"/>
                <w:color w:val="000000"/>
              </w:rPr>
            </w:pPr>
            <w:r w:rsidRPr="00E367B2">
              <w:rPr>
                <w:rFonts w:ascii="Calibri" w:hAnsi="Calibri"/>
                <w:color w:val="000000"/>
              </w:rPr>
              <w:t>N/A</w:t>
            </w:r>
          </w:p>
        </w:tc>
        <w:tc>
          <w:tcPr>
            <w:tcW w:w="1080" w:type="dxa"/>
            <w:shd w:val="clear" w:color="auto" w:fill="auto"/>
            <w:noWrap/>
            <w:vAlign w:val="center"/>
            <w:hideMark/>
          </w:tcPr>
          <w:p w14:paraId="2B7F97B7" w14:textId="77777777" w:rsidR="003356FE" w:rsidRPr="00E367B2" w:rsidRDefault="003356FE" w:rsidP="00D341CD">
            <w:pPr>
              <w:jc w:val="center"/>
              <w:rPr>
                <w:rFonts w:ascii="Calibri" w:hAnsi="Calibri"/>
                <w:color w:val="000000"/>
              </w:rPr>
            </w:pPr>
          </w:p>
        </w:tc>
      </w:tr>
      <w:tr w:rsidR="003356FE" w:rsidRPr="00E367B2" w14:paraId="66AC5940" w14:textId="77777777" w:rsidTr="00D341CD">
        <w:trPr>
          <w:trHeight w:val="240"/>
        </w:trPr>
        <w:tc>
          <w:tcPr>
            <w:tcW w:w="565" w:type="dxa"/>
            <w:shd w:val="clear" w:color="auto" w:fill="auto"/>
            <w:noWrap/>
            <w:vAlign w:val="center"/>
            <w:hideMark/>
          </w:tcPr>
          <w:p w14:paraId="744E8966" w14:textId="77777777" w:rsidR="003356FE" w:rsidRPr="00E367B2" w:rsidRDefault="003356FE" w:rsidP="00D341CD">
            <w:pPr>
              <w:rPr>
                <w:rFonts w:ascii="Calibri" w:hAnsi="Calibri"/>
                <w:color w:val="000000"/>
              </w:rPr>
            </w:pPr>
            <w:r w:rsidRPr="00E367B2">
              <w:rPr>
                <w:rFonts w:ascii="Calibri" w:hAnsi="Calibri"/>
                <w:color w:val="000000"/>
              </w:rPr>
              <w:t>30.</w:t>
            </w:r>
          </w:p>
        </w:tc>
        <w:tc>
          <w:tcPr>
            <w:tcW w:w="3585" w:type="dxa"/>
            <w:shd w:val="clear" w:color="auto" w:fill="auto"/>
            <w:vAlign w:val="center"/>
            <w:hideMark/>
          </w:tcPr>
          <w:p w14:paraId="03FA1095" w14:textId="77777777" w:rsidR="003356FE" w:rsidRPr="00E367B2" w:rsidRDefault="003356FE" w:rsidP="00D341CD">
            <w:pPr>
              <w:rPr>
                <w:rFonts w:ascii="Calibri" w:hAnsi="Calibri"/>
                <w:color w:val="000000"/>
              </w:rPr>
            </w:pPr>
            <w:r w:rsidRPr="00E367B2">
              <w:rPr>
                <w:rFonts w:ascii="Calibri" w:hAnsi="Calibri"/>
                <w:color w:val="000000"/>
              </w:rPr>
              <w:t xml:space="preserve">Sort and </w:t>
            </w:r>
            <w:r w:rsidRPr="00E367B2">
              <w:rPr>
                <w:rFonts w:ascii="Calibri" w:hAnsi="Calibri"/>
                <w:noProof/>
                <w:color w:val="000000"/>
              </w:rPr>
              <w:t>prioritize</w:t>
            </w:r>
            <w:r w:rsidRPr="00E367B2">
              <w:rPr>
                <w:rFonts w:ascii="Calibri" w:hAnsi="Calibri"/>
                <w:color w:val="000000"/>
              </w:rPr>
              <w:t xml:space="preserve"> </w:t>
            </w:r>
            <w:r w:rsidRPr="00E367B2">
              <w:rPr>
                <w:rFonts w:ascii="Calibri" w:hAnsi="Calibri"/>
                <w:noProof/>
                <w:color w:val="000000"/>
              </w:rPr>
              <w:t>your</w:t>
            </w:r>
            <w:r w:rsidRPr="00E367B2">
              <w:rPr>
                <w:rFonts w:ascii="Calibri" w:hAnsi="Calibri"/>
                <w:color w:val="000000"/>
              </w:rPr>
              <w:t xml:space="preserve"> exclusion criteria per selection phase</w:t>
            </w:r>
          </w:p>
        </w:tc>
        <w:tc>
          <w:tcPr>
            <w:tcW w:w="5400" w:type="dxa"/>
            <w:gridSpan w:val="2"/>
            <w:shd w:val="clear" w:color="auto" w:fill="auto"/>
            <w:noWrap/>
            <w:vAlign w:val="bottom"/>
            <w:hideMark/>
          </w:tcPr>
          <w:p w14:paraId="2B5AE7CA" w14:textId="77777777" w:rsidR="003356FE" w:rsidRPr="00E367B2" w:rsidRDefault="003356FE" w:rsidP="00D341CD">
            <w:pPr>
              <w:spacing w:after="0"/>
              <w:rPr>
                <w:rFonts w:ascii="Calibri" w:hAnsi="Calibri"/>
                <w:color w:val="000000"/>
              </w:rPr>
            </w:pPr>
            <w:r w:rsidRPr="00E367B2">
              <w:rPr>
                <w:rFonts w:ascii="Calibri" w:hAnsi="Calibri"/>
                <w:color w:val="000000"/>
              </w:rPr>
              <w:t>Selection phase: Screening title/abstract and Full text</w:t>
            </w:r>
          </w:p>
          <w:p w14:paraId="597B0B0B" w14:textId="77777777" w:rsidR="003356FE" w:rsidRPr="00E367B2" w:rsidRDefault="003356FE" w:rsidP="00D341CD">
            <w:pPr>
              <w:spacing w:after="0"/>
              <w:rPr>
                <w:rFonts w:ascii="Calibri" w:hAnsi="Calibri"/>
                <w:color w:val="000000"/>
              </w:rPr>
            </w:pPr>
            <w:r w:rsidRPr="00E367B2">
              <w:rPr>
                <w:rFonts w:ascii="Calibri" w:hAnsi="Calibri"/>
                <w:color w:val="000000"/>
              </w:rPr>
              <w:t>1. No bone fracture model</w:t>
            </w:r>
          </w:p>
          <w:p w14:paraId="60639CF4" w14:textId="77777777" w:rsidR="003356FE" w:rsidRPr="00E367B2" w:rsidRDefault="003356FE" w:rsidP="00D341CD">
            <w:pPr>
              <w:spacing w:after="0"/>
              <w:rPr>
                <w:rFonts w:ascii="Calibri" w:hAnsi="Calibri"/>
                <w:color w:val="000000"/>
              </w:rPr>
            </w:pPr>
            <w:r w:rsidRPr="00E367B2">
              <w:rPr>
                <w:rFonts w:ascii="Calibri" w:hAnsi="Calibri"/>
                <w:color w:val="000000"/>
              </w:rPr>
              <w:t>2. No use of nonsteroidal anti-inflammatory agents</w:t>
            </w:r>
          </w:p>
          <w:p w14:paraId="6889356C" w14:textId="77777777" w:rsidR="003356FE" w:rsidRPr="00E367B2" w:rsidRDefault="003356FE" w:rsidP="00D341CD">
            <w:pPr>
              <w:spacing w:after="0"/>
              <w:rPr>
                <w:rFonts w:ascii="Calibri" w:hAnsi="Calibri"/>
                <w:color w:val="000000"/>
              </w:rPr>
            </w:pPr>
            <w:r w:rsidRPr="00E367B2">
              <w:rPr>
                <w:rFonts w:ascii="Calibri" w:hAnsi="Calibri"/>
                <w:color w:val="000000"/>
              </w:rPr>
              <w:t>3. No animal study</w:t>
            </w:r>
          </w:p>
          <w:p w14:paraId="72D368F1" w14:textId="77777777" w:rsidR="003356FE" w:rsidRPr="00E367B2" w:rsidRDefault="003356FE" w:rsidP="00D341CD">
            <w:pPr>
              <w:spacing w:after="0"/>
              <w:rPr>
                <w:rFonts w:ascii="Calibri" w:hAnsi="Calibri"/>
                <w:color w:val="000000"/>
              </w:rPr>
            </w:pPr>
            <w:r w:rsidRPr="00E367B2">
              <w:rPr>
                <w:rFonts w:ascii="Calibri" w:hAnsi="Calibri"/>
                <w:color w:val="000000"/>
              </w:rPr>
              <w:t>4. Assessment of healing in others tissues not bone</w:t>
            </w:r>
          </w:p>
          <w:p w14:paraId="336DD74B" w14:textId="77777777" w:rsidR="003356FE" w:rsidRPr="00E367B2" w:rsidRDefault="003356FE" w:rsidP="00D341CD">
            <w:pPr>
              <w:spacing w:after="0"/>
              <w:rPr>
                <w:rFonts w:ascii="Calibri" w:hAnsi="Calibri"/>
                <w:color w:val="000000"/>
              </w:rPr>
            </w:pPr>
            <w:r w:rsidRPr="00E367B2">
              <w:rPr>
                <w:rFonts w:ascii="Calibri" w:hAnsi="Calibri"/>
                <w:color w:val="000000"/>
              </w:rPr>
              <w:t>5. No primary study or review</w:t>
            </w:r>
          </w:p>
        </w:tc>
        <w:tc>
          <w:tcPr>
            <w:tcW w:w="1080" w:type="dxa"/>
            <w:shd w:val="clear" w:color="auto" w:fill="auto"/>
            <w:noWrap/>
            <w:vAlign w:val="center"/>
            <w:hideMark/>
          </w:tcPr>
          <w:p w14:paraId="17E927E6" w14:textId="77777777" w:rsidR="003356FE" w:rsidRPr="00E367B2" w:rsidRDefault="003356FE" w:rsidP="00D341CD">
            <w:pPr>
              <w:jc w:val="center"/>
              <w:rPr>
                <w:rFonts w:ascii="Calibri" w:hAnsi="Calibri"/>
                <w:color w:val="000000"/>
              </w:rPr>
            </w:pPr>
          </w:p>
        </w:tc>
      </w:tr>
      <w:tr w:rsidR="003356FE" w:rsidRPr="00E367B2" w14:paraId="512AA27A" w14:textId="77777777" w:rsidTr="00D341CD">
        <w:trPr>
          <w:trHeight w:val="240"/>
        </w:trPr>
        <w:tc>
          <w:tcPr>
            <w:tcW w:w="565" w:type="dxa"/>
            <w:shd w:val="clear" w:color="auto" w:fill="BFBFBF"/>
            <w:noWrap/>
            <w:vAlign w:val="center"/>
            <w:hideMark/>
          </w:tcPr>
          <w:p w14:paraId="7CE8DD04" w14:textId="77777777" w:rsidR="003356FE" w:rsidRPr="00E367B2" w:rsidRDefault="003356FE" w:rsidP="00D341CD">
            <w:pPr>
              <w:rPr>
                <w:rFonts w:ascii="Calibri" w:hAnsi="Calibri"/>
                <w:color w:val="000000"/>
              </w:rPr>
            </w:pPr>
          </w:p>
        </w:tc>
        <w:tc>
          <w:tcPr>
            <w:tcW w:w="10065" w:type="dxa"/>
            <w:gridSpan w:val="4"/>
            <w:shd w:val="clear" w:color="auto" w:fill="BFBFBF"/>
            <w:vAlign w:val="center"/>
            <w:hideMark/>
          </w:tcPr>
          <w:p w14:paraId="0C73CA75" w14:textId="77777777" w:rsidR="003356FE" w:rsidRPr="00E367B2" w:rsidRDefault="003356FE" w:rsidP="00D341CD">
            <w:pPr>
              <w:rPr>
                <w:rFonts w:ascii="Calibri" w:hAnsi="Calibri"/>
                <w:color w:val="000000"/>
              </w:rPr>
            </w:pPr>
            <w:r w:rsidRPr="00E367B2">
              <w:rPr>
                <w:rFonts w:ascii="Calibri" w:hAnsi="Calibri"/>
              </w:rPr>
              <w:t>Study characteristics to be extracted (for assessment of external validity, reporting quality)</w:t>
            </w:r>
          </w:p>
        </w:tc>
      </w:tr>
      <w:tr w:rsidR="003356FE" w:rsidRPr="00E367B2" w14:paraId="295C2CEA" w14:textId="77777777" w:rsidTr="00D341CD">
        <w:trPr>
          <w:trHeight w:val="240"/>
        </w:trPr>
        <w:tc>
          <w:tcPr>
            <w:tcW w:w="565" w:type="dxa"/>
            <w:shd w:val="clear" w:color="auto" w:fill="auto"/>
            <w:noWrap/>
            <w:vAlign w:val="center"/>
            <w:hideMark/>
          </w:tcPr>
          <w:p w14:paraId="6BA7F018" w14:textId="77777777" w:rsidR="003356FE" w:rsidRPr="00E367B2" w:rsidRDefault="003356FE" w:rsidP="00D341CD">
            <w:pPr>
              <w:rPr>
                <w:rFonts w:ascii="Calibri" w:hAnsi="Calibri"/>
                <w:color w:val="000000"/>
              </w:rPr>
            </w:pPr>
            <w:r w:rsidRPr="00E367B2">
              <w:rPr>
                <w:rFonts w:ascii="Calibri" w:hAnsi="Calibri"/>
                <w:color w:val="000000"/>
              </w:rPr>
              <w:lastRenderedPageBreak/>
              <w:t>31.</w:t>
            </w:r>
          </w:p>
        </w:tc>
        <w:tc>
          <w:tcPr>
            <w:tcW w:w="3585" w:type="dxa"/>
            <w:shd w:val="clear" w:color="auto" w:fill="auto"/>
            <w:vAlign w:val="center"/>
            <w:hideMark/>
          </w:tcPr>
          <w:p w14:paraId="24B2B764" w14:textId="77777777" w:rsidR="003356FE" w:rsidRPr="00E367B2" w:rsidRDefault="003356FE" w:rsidP="00D341CD">
            <w:pPr>
              <w:rPr>
                <w:rFonts w:ascii="Calibri" w:hAnsi="Calibri"/>
              </w:rPr>
            </w:pPr>
            <w:r w:rsidRPr="00E367B2">
              <w:rPr>
                <w:rFonts w:ascii="Calibri" w:hAnsi="Calibri"/>
              </w:rPr>
              <w:t>Study ID (</w:t>
            </w:r>
            <w:r w:rsidRPr="00E367B2">
              <w:rPr>
                <w:rFonts w:ascii="Calibri" w:hAnsi="Calibri"/>
                <w:i/>
              </w:rPr>
              <w:t>e.g.</w:t>
            </w:r>
            <w:r w:rsidRPr="00E367B2">
              <w:rPr>
                <w:rFonts w:ascii="Calibri" w:hAnsi="Calibri"/>
              </w:rPr>
              <w:t xml:space="preserve"> authors, year)</w:t>
            </w:r>
          </w:p>
        </w:tc>
        <w:tc>
          <w:tcPr>
            <w:tcW w:w="5400" w:type="dxa"/>
            <w:gridSpan w:val="2"/>
            <w:shd w:val="clear" w:color="auto" w:fill="auto"/>
            <w:noWrap/>
            <w:vAlign w:val="center"/>
            <w:hideMark/>
          </w:tcPr>
          <w:p w14:paraId="773235BE" w14:textId="77777777" w:rsidR="003356FE" w:rsidRPr="00E367B2" w:rsidRDefault="003356FE" w:rsidP="00D341CD">
            <w:pPr>
              <w:spacing w:after="0"/>
              <w:rPr>
                <w:rFonts w:ascii="Calibri" w:hAnsi="Calibri"/>
                <w:color w:val="000000"/>
              </w:rPr>
            </w:pPr>
            <w:r w:rsidRPr="00E367B2">
              <w:rPr>
                <w:rFonts w:ascii="Calibri" w:hAnsi="Calibri"/>
                <w:color w:val="000000"/>
              </w:rPr>
              <w:t>‐ Authors,  </w:t>
            </w:r>
          </w:p>
          <w:p w14:paraId="5C449FA0" w14:textId="77777777" w:rsidR="003356FE" w:rsidRPr="00E367B2" w:rsidRDefault="003356FE" w:rsidP="00D341CD">
            <w:pPr>
              <w:spacing w:after="0"/>
              <w:rPr>
                <w:rFonts w:ascii="Calibri" w:hAnsi="Calibri"/>
                <w:color w:val="000000"/>
              </w:rPr>
            </w:pPr>
            <w:r w:rsidRPr="00E367B2">
              <w:rPr>
                <w:rFonts w:ascii="Calibri" w:hAnsi="Calibri"/>
                <w:color w:val="000000"/>
              </w:rPr>
              <w:t>‐ Year,  </w:t>
            </w:r>
          </w:p>
          <w:p w14:paraId="4FACA2A7" w14:textId="77777777" w:rsidR="003356FE" w:rsidRPr="00E367B2" w:rsidRDefault="003356FE" w:rsidP="00D341CD">
            <w:pPr>
              <w:spacing w:after="0"/>
              <w:rPr>
                <w:rFonts w:ascii="Calibri" w:hAnsi="Calibri"/>
                <w:color w:val="000000"/>
              </w:rPr>
            </w:pPr>
            <w:r w:rsidRPr="00E367B2">
              <w:rPr>
                <w:rFonts w:ascii="Calibri" w:hAnsi="Calibri"/>
                <w:color w:val="000000"/>
              </w:rPr>
              <w:t>‐ Title,  </w:t>
            </w:r>
          </w:p>
          <w:p w14:paraId="2CE8BF3B" w14:textId="77777777" w:rsidR="003356FE" w:rsidRPr="00E367B2" w:rsidRDefault="003356FE" w:rsidP="00D341CD">
            <w:pPr>
              <w:spacing w:after="0"/>
              <w:rPr>
                <w:rFonts w:ascii="Calibri" w:hAnsi="Calibri"/>
                <w:color w:val="000000"/>
              </w:rPr>
            </w:pPr>
            <w:r w:rsidRPr="00E367B2">
              <w:rPr>
                <w:rFonts w:ascii="Calibri" w:hAnsi="Calibri"/>
                <w:color w:val="000000"/>
              </w:rPr>
              <w:t>‐ Journal,  </w:t>
            </w:r>
          </w:p>
          <w:p w14:paraId="77FCF6BF" w14:textId="77777777" w:rsidR="003356FE" w:rsidRPr="00E367B2" w:rsidRDefault="003356FE" w:rsidP="00D341CD">
            <w:pPr>
              <w:spacing w:after="0"/>
              <w:rPr>
                <w:rFonts w:ascii="Calibri" w:hAnsi="Calibri"/>
                <w:color w:val="000000"/>
              </w:rPr>
            </w:pPr>
            <w:r w:rsidRPr="00E367B2">
              <w:rPr>
                <w:rFonts w:ascii="Calibri" w:hAnsi="Calibri"/>
                <w:color w:val="000000"/>
              </w:rPr>
              <w:t>‐ Language</w:t>
            </w:r>
          </w:p>
        </w:tc>
        <w:tc>
          <w:tcPr>
            <w:tcW w:w="1080" w:type="dxa"/>
            <w:shd w:val="clear" w:color="auto" w:fill="auto"/>
            <w:noWrap/>
            <w:vAlign w:val="center"/>
            <w:hideMark/>
          </w:tcPr>
          <w:p w14:paraId="3E93060E" w14:textId="77777777" w:rsidR="003356FE" w:rsidRPr="00E367B2" w:rsidRDefault="003356FE" w:rsidP="00D341CD">
            <w:pPr>
              <w:jc w:val="center"/>
              <w:rPr>
                <w:rFonts w:ascii="Calibri" w:hAnsi="Calibri"/>
                <w:color w:val="000000"/>
              </w:rPr>
            </w:pPr>
          </w:p>
        </w:tc>
      </w:tr>
      <w:tr w:rsidR="003356FE" w:rsidRPr="00E367B2" w14:paraId="0F846169" w14:textId="77777777" w:rsidTr="00D341CD">
        <w:trPr>
          <w:trHeight w:val="240"/>
        </w:trPr>
        <w:tc>
          <w:tcPr>
            <w:tcW w:w="565" w:type="dxa"/>
            <w:shd w:val="clear" w:color="auto" w:fill="auto"/>
            <w:noWrap/>
            <w:vAlign w:val="center"/>
            <w:hideMark/>
          </w:tcPr>
          <w:p w14:paraId="5033E114" w14:textId="77777777" w:rsidR="003356FE" w:rsidRPr="00E367B2" w:rsidRDefault="003356FE" w:rsidP="00D341CD">
            <w:pPr>
              <w:spacing w:after="0"/>
              <w:rPr>
                <w:rFonts w:ascii="Calibri" w:hAnsi="Calibri"/>
                <w:color w:val="000000"/>
              </w:rPr>
            </w:pPr>
            <w:r w:rsidRPr="00E367B2">
              <w:rPr>
                <w:rFonts w:ascii="Calibri" w:hAnsi="Calibri"/>
                <w:color w:val="000000"/>
              </w:rPr>
              <w:t>32.</w:t>
            </w:r>
          </w:p>
        </w:tc>
        <w:tc>
          <w:tcPr>
            <w:tcW w:w="3585" w:type="dxa"/>
            <w:shd w:val="clear" w:color="auto" w:fill="auto"/>
            <w:vAlign w:val="center"/>
            <w:hideMark/>
          </w:tcPr>
          <w:p w14:paraId="714E8E76" w14:textId="77777777" w:rsidR="003356FE" w:rsidRPr="00E367B2" w:rsidRDefault="003356FE" w:rsidP="00D341CD">
            <w:pPr>
              <w:spacing w:after="0"/>
              <w:rPr>
                <w:rFonts w:ascii="Calibri" w:hAnsi="Calibri"/>
                <w:color w:val="000000"/>
              </w:rPr>
            </w:pPr>
            <w:r w:rsidRPr="00E367B2">
              <w:rPr>
                <w:rFonts w:ascii="Calibri" w:hAnsi="Calibri"/>
                <w:color w:val="000000"/>
              </w:rPr>
              <w:t>Study design characteristics (</w:t>
            </w:r>
            <w:r w:rsidRPr="00E367B2">
              <w:rPr>
                <w:rFonts w:ascii="Calibri" w:hAnsi="Calibri"/>
                <w:i/>
                <w:color w:val="000000"/>
              </w:rPr>
              <w:t xml:space="preserve">e.g. </w:t>
            </w:r>
            <w:r w:rsidRPr="00E367B2">
              <w:rPr>
                <w:rFonts w:ascii="Calibri" w:hAnsi="Calibri"/>
                <w:color w:val="000000"/>
              </w:rPr>
              <w:t>experimental groups, number of animals)</w:t>
            </w:r>
          </w:p>
        </w:tc>
        <w:tc>
          <w:tcPr>
            <w:tcW w:w="5400" w:type="dxa"/>
            <w:gridSpan w:val="2"/>
            <w:shd w:val="clear" w:color="auto" w:fill="auto"/>
            <w:noWrap/>
            <w:vAlign w:val="center"/>
            <w:hideMark/>
          </w:tcPr>
          <w:p w14:paraId="6DBC28AB" w14:textId="77777777" w:rsidR="003356FE" w:rsidRPr="00E367B2" w:rsidRDefault="003356FE" w:rsidP="00D341CD">
            <w:pPr>
              <w:spacing w:after="0"/>
              <w:rPr>
                <w:rFonts w:ascii="Calibri" w:hAnsi="Calibri"/>
                <w:color w:val="000000"/>
              </w:rPr>
            </w:pPr>
            <w:r w:rsidRPr="00E367B2">
              <w:rPr>
                <w:rFonts w:ascii="Calibri" w:hAnsi="Calibri"/>
                <w:color w:val="000000"/>
              </w:rPr>
              <w:t>number of groups</w:t>
            </w:r>
          </w:p>
          <w:p w14:paraId="66712639" w14:textId="77777777" w:rsidR="003356FE" w:rsidRPr="00E367B2" w:rsidRDefault="003356FE" w:rsidP="00D341CD">
            <w:pPr>
              <w:spacing w:after="0"/>
              <w:rPr>
                <w:rFonts w:ascii="Calibri" w:hAnsi="Calibri"/>
                <w:color w:val="000000"/>
              </w:rPr>
            </w:pPr>
            <w:r w:rsidRPr="00E367B2">
              <w:rPr>
                <w:rFonts w:ascii="Calibri" w:hAnsi="Calibri"/>
                <w:color w:val="000000"/>
              </w:rPr>
              <w:t>number of animals per group (total and per test)</w:t>
            </w:r>
          </w:p>
          <w:p w14:paraId="1DD44D86" w14:textId="77777777" w:rsidR="003356FE" w:rsidRPr="00E367B2" w:rsidRDefault="003356FE" w:rsidP="00D341CD">
            <w:pPr>
              <w:spacing w:after="0"/>
              <w:rPr>
                <w:rFonts w:ascii="Calibri" w:hAnsi="Calibri"/>
                <w:color w:val="000000"/>
              </w:rPr>
            </w:pPr>
            <w:r w:rsidRPr="00E367B2">
              <w:rPr>
                <w:rFonts w:ascii="Calibri" w:hAnsi="Calibri"/>
                <w:color w:val="000000"/>
              </w:rPr>
              <w:t>Non selective COX NSAIDs group/s, Selective COX2 group/s, Control group/s</w:t>
            </w:r>
          </w:p>
          <w:p w14:paraId="74AEC7F9" w14:textId="77777777" w:rsidR="003356FE" w:rsidRPr="00E367B2" w:rsidRDefault="003356FE" w:rsidP="00D341CD">
            <w:pPr>
              <w:spacing w:after="0"/>
              <w:rPr>
                <w:rFonts w:ascii="Calibri" w:hAnsi="Calibri"/>
                <w:color w:val="000000"/>
              </w:rPr>
            </w:pPr>
            <w:r w:rsidRPr="00E367B2">
              <w:rPr>
                <w:rFonts w:ascii="Calibri" w:hAnsi="Calibri"/>
                <w:noProof/>
                <w:color w:val="000000"/>
              </w:rPr>
              <w:t>number</w:t>
            </w:r>
            <w:r w:rsidRPr="00E367B2">
              <w:rPr>
                <w:rFonts w:ascii="Calibri" w:hAnsi="Calibri"/>
                <w:color w:val="000000"/>
              </w:rPr>
              <w:t xml:space="preserve"> of excluded, reason for exclusion.</w:t>
            </w:r>
          </w:p>
        </w:tc>
        <w:tc>
          <w:tcPr>
            <w:tcW w:w="1080" w:type="dxa"/>
            <w:shd w:val="clear" w:color="auto" w:fill="auto"/>
            <w:noWrap/>
            <w:vAlign w:val="center"/>
            <w:hideMark/>
          </w:tcPr>
          <w:p w14:paraId="703A816F" w14:textId="77777777" w:rsidR="003356FE" w:rsidRPr="00E367B2" w:rsidRDefault="003356FE" w:rsidP="00D341CD">
            <w:pPr>
              <w:spacing w:after="0"/>
              <w:jc w:val="center"/>
              <w:rPr>
                <w:rFonts w:ascii="Calibri" w:hAnsi="Calibri"/>
                <w:color w:val="000000"/>
              </w:rPr>
            </w:pPr>
          </w:p>
        </w:tc>
      </w:tr>
      <w:tr w:rsidR="003356FE" w:rsidRPr="00E367B2" w14:paraId="1C9B1B23" w14:textId="77777777" w:rsidTr="00D341CD">
        <w:trPr>
          <w:trHeight w:val="240"/>
        </w:trPr>
        <w:tc>
          <w:tcPr>
            <w:tcW w:w="565" w:type="dxa"/>
            <w:shd w:val="clear" w:color="auto" w:fill="auto"/>
            <w:noWrap/>
            <w:vAlign w:val="center"/>
            <w:hideMark/>
          </w:tcPr>
          <w:p w14:paraId="6499A3C7" w14:textId="77777777" w:rsidR="003356FE" w:rsidRPr="00E367B2" w:rsidRDefault="003356FE" w:rsidP="00D341CD">
            <w:pPr>
              <w:rPr>
                <w:rFonts w:ascii="Calibri" w:hAnsi="Calibri"/>
                <w:color w:val="000000"/>
              </w:rPr>
            </w:pPr>
            <w:r w:rsidRPr="00E367B2">
              <w:rPr>
                <w:rFonts w:ascii="Calibri" w:hAnsi="Calibri"/>
                <w:color w:val="000000"/>
              </w:rPr>
              <w:t>33.</w:t>
            </w:r>
          </w:p>
        </w:tc>
        <w:tc>
          <w:tcPr>
            <w:tcW w:w="3585" w:type="dxa"/>
            <w:shd w:val="clear" w:color="auto" w:fill="auto"/>
            <w:vAlign w:val="center"/>
            <w:hideMark/>
          </w:tcPr>
          <w:p w14:paraId="752CF0B1" w14:textId="77777777" w:rsidR="003356FE" w:rsidRPr="00E367B2" w:rsidRDefault="003356FE" w:rsidP="00D341CD">
            <w:pPr>
              <w:rPr>
                <w:rFonts w:ascii="Calibri" w:hAnsi="Calibri"/>
                <w:color w:val="000000"/>
              </w:rPr>
            </w:pPr>
            <w:r w:rsidRPr="00E367B2">
              <w:rPr>
                <w:rFonts w:ascii="Calibri" w:hAnsi="Calibri"/>
                <w:color w:val="000000"/>
              </w:rPr>
              <w:t>Animal model characteristics (</w:t>
            </w:r>
            <w:r w:rsidRPr="00E367B2">
              <w:rPr>
                <w:rFonts w:ascii="Calibri" w:hAnsi="Calibri"/>
                <w:i/>
                <w:color w:val="000000"/>
              </w:rPr>
              <w:t>e.g.</w:t>
            </w:r>
            <w:r w:rsidRPr="00E367B2">
              <w:rPr>
                <w:rFonts w:ascii="Calibri" w:hAnsi="Calibri"/>
                <w:color w:val="000000"/>
              </w:rPr>
              <w:t xml:space="preserve"> species, gender, disease induction)</w:t>
            </w:r>
          </w:p>
        </w:tc>
        <w:tc>
          <w:tcPr>
            <w:tcW w:w="5400" w:type="dxa"/>
            <w:gridSpan w:val="2"/>
            <w:shd w:val="clear" w:color="auto" w:fill="auto"/>
            <w:noWrap/>
            <w:vAlign w:val="center"/>
            <w:hideMark/>
          </w:tcPr>
          <w:p w14:paraId="581AA99D" w14:textId="77777777" w:rsidR="003356FE" w:rsidRPr="00E367B2" w:rsidRDefault="003356FE" w:rsidP="00D341CD">
            <w:pPr>
              <w:spacing w:after="0"/>
              <w:rPr>
                <w:rFonts w:ascii="Calibri" w:hAnsi="Calibri"/>
                <w:color w:val="000000"/>
              </w:rPr>
            </w:pPr>
            <w:r w:rsidRPr="00E367B2">
              <w:rPr>
                <w:rFonts w:ascii="Calibri" w:hAnsi="Calibri"/>
                <w:color w:val="000000"/>
              </w:rPr>
              <w:t>Animal type, weight, age and sex, type of the bone</w:t>
            </w:r>
          </w:p>
          <w:p w14:paraId="11E9DADB" w14:textId="77777777" w:rsidR="003356FE" w:rsidRPr="00E367B2" w:rsidRDefault="003356FE" w:rsidP="00D341CD">
            <w:pPr>
              <w:spacing w:after="0"/>
              <w:rPr>
                <w:rFonts w:ascii="Calibri" w:hAnsi="Calibri"/>
                <w:color w:val="000000"/>
              </w:rPr>
            </w:pPr>
            <w:r w:rsidRPr="00E367B2">
              <w:rPr>
                <w:rFonts w:ascii="Calibri" w:hAnsi="Calibri"/>
                <w:color w:val="000000"/>
              </w:rPr>
              <w:t>fracture model.</w:t>
            </w:r>
          </w:p>
        </w:tc>
        <w:tc>
          <w:tcPr>
            <w:tcW w:w="1080" w:type="dxa"/>
            <w:shd w:val="clear" w:color="auto" w:fill="auto"/>
            <w:noWrap/>
            <w:vAlign w:val="center"/>
            <w:hideMark/>
          </w:tcPr>
          <w:p w14:paraId="537DCFD6" w14:textId="77777777" w:rsidR="003356FE" w:rsidRPr="00E367B2" w:rsidRDefault="003356FE" w:rsidP="00D341CD">
            <w:pPr>
              <w:jc w:val="center"/>
              <w:rPr>
                <w:rFonts w:ascii="Calibri" w:hAnsi="Calibri"/>
                <w:color w:val="000000"/>
              </w:rPr>
            </w:pPr>
          </w:p>
        </w:tc>
      </w:tr>
      <w:tr w:rsidR="003356FE" w:rsidRPr="00E367B2" w14:paraId="5F52AB40" w14:textId="77777777" w:rsidTr="00D341CD">
        <w:trPr>
          <w:trHeight w:val="240"/>
        </w:trPr>
        <w:tc>
          <w:tcPr>
            <w:tcW w:w="565" w:type="dxa"/>
            <w:shd w:val="clear" w:color="auto" w:fill="auto"/>
            <w:noWrap/>
            <w:vAlign w:val="center"/>
            <w:hideMark/>
          </w:tcPr>
          <w:p w14:paraId="056CD1C1" w14:textId="77777777" w:rsidR="003356FE" w:rsidRPr="00E367B2" w:rsidRDefault="003356FE" w:rsidP="00D341CD">
            <w:pPr>
              <w:rPr>
                <w:rFonts w:ascii="Calibri" w:hAnsi="Calibri"/>
                <w:color w:val="000000"/>
              </w:rPr>
            </w:pPr>
            <w:r w:rsidRPr="00E367B2">
              <w:rPr>
                <w:rFonts w:ascii="Calibri" w:hAnsi="Calibri"/>
                <w:color w:val="000000"/>
              </w:rPr>
              <w:t>34.</w:t>
            </w:r>
          </w:p>
        </w:tc>
        <w:tc>
          <w:tcPr>
            <w:tcW w:w="3585" w:type="dxa"/>
            <w:shd w:val="clear" w:color="auto" w:fill="auto"/>
            <w:vAlign w:val="center"/>
            <w:hideMark/>
          </w:tcPr>
          <w:p w14:paraId="3AB789E4" w14:textId="77777777" w:rsidR="003356FE" w:rsidRPr="00E367B2" w:rsidRDefault="003356FE" w:rsidP="00D341CD">
            <w:pPr>
              <w:rPr>
                <w:rFonts w:ascii="Calibri" w:hAnsi="Calibri"/>
                <w:color w:val="000000"/>
              </w:rPr>
            </w:pPr>
            <w:r w:rsidRPr="00E367B2">
              <w:rPr>
                <w:rFonts w:ascii="Calibri" w:hAnsi="Calibri"/>
                <w:color w:val="000000"/>
              </w:rPr>
              <w:t>Intervention characteristics (</w:t>
            </w:r>
            <w:r w:rsidRPr="00E367B2">
              <w:rPr>
                <w:rFonts w:ascii="Calibri" w:hAnsi="Calibri"/>
                <w:i/>
                <w:color w:val="000000"/>
              </w:rPr>
              <w:t>e.g.</w:t>
            </w:r>
            <w:r w:rsidRPr="00E367B2">
              <w:rPr>
                <w:rFonts w:ascii="Calibri" w:hAnsi="Calibri"/>
                <w:color w:val="000000"/>
              </w:rPr>
              <w:t xml:space="preserve"> intervention, timing, duration)</w:t>
            </w:r>
          </w:p>
        </w:tc>
        <w:tc>
          <w:tcPr>
            <w:tcW w:w="5400" w:type="dxa"/>
            <w:gridSpan w:val="2"/>
            <w:shd w:val="clear" w:color="auto" w:fill="auto"/>
            <w:noWrap/>
            <w:vAlign w:val="center"/>
            <w:hideMark/>
          </w:tcPr>
          <w:p w14:paraId="2E31D32F" w14:textId="77777777" w:rsidR="003356FE" w:rsidRPr="00E367B2" w:rsidRDefault="003356FE" w:rsidP="00D341CD">
            <w:pPr>
              <w:rPr>
                <w:rFonts w:ascii="Calibri" w:hAnsi="Calibri"/>
                <w:color w:val="000000"/>
              </w:rPr>
            </w:pPr>
            <w:r w:rsidRPr="00E367B2">
              <w:rPr>
                <w:rFonts w:ascii="Calibri" w:hAnsi="Calibri"/>
                <w:color w:val="000000"/>
              </w:rPr>
              <w:t xml:space="preserve">Time of administration, duration, dose </w:t>
            </w:r>
            <w:r w:rsidRPr="00E367B2">
              <w:rPr>
                <w:rFonts w:ascii="Calibri" w:hAnsi="Calibri"/>
                <w:noProof/>
                <w:color w:val="000000"/>
              </w:rPr>
              <w:t>mg/kg/day,route</w:t>
            </w:r>
            <w:r w:rsidRPr="00E367B2">
              <w:rPr>
                <w:rFonts w:ascii="Calibri" w:hAnsi="Calibri"/>
                <w:color w:val="000000"/>
              </w:rPr>
              <w:t xml:space="preserve"> of administration.</w:t>
            </w:r>
          </w:p>
        </w:tc>
        <w:tc>
          <w:tcPr>
            <w:tcW w:w="1080" w:type="dxa"/>
            <w:shd w:val="clear" w:color="auto" w:fill="auto"/>
            <w:noWrap/>
            <w:vAlign w:val="center"/>
            <w:hideMark/>
          </w:tcPr>
          <w:p w14:paraId="487F865E" w14:textId="77777777" w:rsidR="003356FE" w:rsidRPr="00E367B2" w:rsidRDefault="003356FE" w:rsidP="00D341CD">
            <w:pPr>
              <w:jc w:val="center"/>
              <w:rPr>
                <w:rFonts w:ascii="Calibri" w:hAnsi="Calibri"/>
                <w:color w:val="000000"/>
              </w:rPr>
            </w:pPr>
          </w:p>
        </w:tc>
      </w:tr>
      <w:tr w:rsidR="003356FE" w:rsidRPr="00E367B2" w14:paraId="0C6AB4A7" w14:textId="77777777" w:rsidTr="00D341CD">
        <w:trPr>
          <w:trHeight w:val="240"/>
        </w:trPr>
        <w:tc>
          <w:tcPr>
            <w:tcW w:w="565" w:type="dxa"/>
            <w:shd w:val="clear" w:color="auto" w:fill="auto"/>
            <w:noWrap/>
            <w:vAlign w:val="center"/>
            <w:hideMark/>
          </w:tcPr>
          <w:p w14:paraId="01808DB2" w14:textId="77777777" w:rsidR="003356FE" w:rsidRPr="00E367B2" w:rsidRDefault="003356FE" w:rsidP="00D341CD">
            <w:pPr>
              <w:rPr>
                <w:rFonts w:ascii="Calibri" w:hAnsi="Calibri"/>
                <w:color w:val="000000"/>
              </w:rPr>
            </w:pPr>
            <w:r w:rsidRPr="00E367B2">
              <w:rPr>
                <w:rFonts w:ascii="Calibri" w:hAnsi="Calibri"/>
                <w:color w:val="000000"/>
              </w:rPr>
              <w:t>35.</w:t>
            </w:r>
          </w:p>
        </w:tc>
        <w:tc>
          <w:tcPr>
            <w:tcW w:w="3585" w:type="dxa"/>
            <w:shd w:val="clear" w:color="auto" w:fill="auto"/>
            <w:vAlign w:val="center"/>
            <w:hideMark/>
          </w:tcPr>
          <w:p w14:paraId="3BC8982B" w14:textId="77777777" w:rsidR="003356FE" w:rsidRPr="00E367B2" w:rsidRDefault="003356FE" w:rsidP="00D341CD">
            <w:pPr>
              <w:rPr>
                <w:rFonts w:ascii="Calibri" w:hAnsi="Calibri"/>
                <w:color w:val="000000"/>
              </w:rPr>
            </w:pPr>
            <w:r w:rsidRPr="00E367B2">
              <w:rPr>
                <w:rFonts w:ascii="Calibri" w:hAnsi="Calibri"/>
                <w:color w:val="000000"/>
              </w:rPr>
              <w:t>Outcome measures</w:t>
            </w:r>
          </w:p>
        </w:tc>
        <w:tc>
          <w:tcPr>
            <w:tcW w:w="5400" w:type="dxa"/>
            <w:gridSpan w:val="2"/>
            <w:shd w:val="clear" w:color="auto" w:fill="auto"/>
            <w:noWrap/>
            <w:vAlign w:val="center"/>
            <w:hideMark/>
          </w:tcPr>
          <w:p w14:paraId="19826D6F" w14:textId="77777777" w:rsidR="003356FE" w:rsidRPr="00E367B2" w:rsidRDefault="003356FE" w:rsidP="00D341CD">
            <w:pPr>
              <w:rPr>
                <w:rFonts w:ascii="Calibri" w:hAnsi="Calibri"/>
                <w:color w:val="000000"/>
              </w:rPr>
            </w:pPr>
            <w:r w:rsidRPr="00E367B2">
              <w:rPr>
                <w:rFonts w:ascii="Calibri" w:hAnsi="Calibri"/>
                <w:color w:val="000000"/>
              </w:rPr>
              <w:t>Maximum force of torque of the mechanical bending (N.mm)</w:t>
            </w:r>
          </w:p>
          <w:p w14:paraId="3BAD0907" w14:textId="77777777" w:rsidR="003356FE" w:rsidRPr="00E367B2" w:rsidRDefault="003356FE" w:rsidP="00D341CD">
            <w:pPr>
              <w:rPr>
                <w:rFonts w:ascii="Calibri" w:hAnsi="Calibri"/>
                <w:color w:val="000000"/>
              </w:rPr>
            </w:pPr>
            <w:r w:rsidRPr="00E367B2">
              <w:rPr>
                <w:rFonts w:ascii="Calibri" w:hAnsi="Calibri"/>
                <w:color w:val="000000"/>
              </w:rPr>
              <w:t>Bone area</w:t>
            </w:r>
          </w:p>
          <w:p w14:paraId="784012E1" w14:textId="77777777" w:rsidR="003356FE" w:rsidRPr="00E367B2" w:rsidRDefault="003356FE" w:rsidP="00D341CD">
            <w:pPr>
              <w:rPr>
                <w:rFonts w:ascii="Calibri" w:hAnsi="Calibri"/>
                <w:color w:val="000000"/>
              </w:rPr>
            </w:pPr>
            <w:r w:rsidRPr="00E367B2">
              <w:rPr>
                <w:rFonts w:ascii="Calibri" w:hAnsi="Calibri"/>
                <w:color w:val="000000"/>
              </w:rPr>
              <w:t>Healing grade of histology examination</w:t>
            </w:r>
          </w:p>
        </w:tc>
        <w:tc>
          <w:tcPr>
            <w:tcW w:w="1080" w:type="dxa"/>
            <w:shd w:val="clear" w:color="auto" w:fill="auto"/>
            <w:noWrap/>
            <w:vAlign w:val="center"/>
            <w:hideMark/>
          </w:tcPr>
          <w:p w14:paraId="4D212A90" w14:textId="77777777" w:rsidR="003356FE" w:rsidRPr="00E367B2" w:rsidRDefault="003356FE" w:rsidP="00D341CD">
            <w:pPr>
              <w:jc w:val="center"/>
              <w:rPr>
                <w:rFonts w:ascii="Calibri" w:hAnsi="Calibri"/>
                <w:color w:val="000000"/>
              </w:rPr>
            </w:pPr>
          </w:p>
        </w:tc>
      </w:tr>
      <w:tr w:rsidR="003356FE" w:rsidRPr="00E367B2" w14:paraId="3D3DC563" w14:textId="77777777" w:rsidTr="00D341CD">
        <w:trPr>
          <w:trHeight w:val="240"/>
        </w:trPr>
        <w:tc>
          <w:tcPr>
            <w:tcW w:w="565" w:type="dxa"/>
            <w:shd w:val="clear" w:color="auto" w:fill="auto"/>
            <w:noWrap/>
            <w:vAlign w:val="center"/>
            <w:hideMark/>
          </w:tcPr>
          <w:p w14:paraId="74A11214" w14:textId="77777777" w:rsidR="003356FE" w:rsidRPr="00E367B2" w:rsidRDefault="003356FE" w:rsidP="00D341CD">
            <w:pPr>
              <w:rPr>
                <w:rFonts w:ascii="Calibri" w:hAnsi="Calibri"/>
                <w:color w:val="000000"/>
              </w:rPr>
            </w:pPr>
            <w:r w:rsidRPr="00E367B2">
              <w:rPr>
                <w:rFonts w:ascii="Calibri" w:hAnsi="Calibri"/>
                <w:color w:val="000000"/>
              </w:rPr>
              <w:t>36.</w:t>
            </w:r>
          </w:p>
        </w:tc>
        <w:tc>
          <w:tcPr>
            <w:tcW w:w="3585" w:type="dxa"/>
            <w:shd w:val="clear" w:color="auto" w:fill="auto"/>
            <w:vAlign w:val="center"/>
            <w:hideMark/>
          </w:tcPr>
          <w:p w14:paraId="623F77EF" w14:textId="77777777" w:rsidR="003356FE" w:rsidRPr="00E367B2" w:rsidRDefault="003356FE" w:rsidP="00D341CD">
            <w:pPr>
              <w:rPr>
                <w:rFonts w:ascii="Calibri" w:hAnsi="Calibri"/>
                <w:color w:val="000000"/>
              </w:rPr>
            </w:pPr>
            <w:r w:rsidRPr="00E367B2">
              <w:rPr>
                <w:rFonts w:ascii="Calibri" w:hAnsi="Calibri"/>
                <w:color w:val="000000"/>
              </w:rPr>
              <w:t>Other (</w:t>
            </w:r>
            <w:r w:rsidRPr="00E367B2">
              <w:rPr>
                <w:rFonts w:ascii="Calibri" w:hAnsi="Calibri"/>
                <w:i/>
                <w:color w:val="000000"/>
              </w:rPr>
              <w:t xml:space="preserve">e.g. </w:t>
            </w:r>
            <w:r w:rsidRPr="00E367B2">
              <w:rPr>
                <w:rFonts w:ascii="Calibri" w:hAnsi="Calibri"/>
                <w:color w:val="000000"/>
              </w:rPr>
              <w:t>drop-outs)</w:t>
            </w:r>
          </w:p>
        </w:tc>
        <w:tc>
          <w:tcPr>
            <w:tcW w:w="5400" w:type="dxa"/>
            <w:gridSpan w:val="2"/>
            <w:shd w:val="clear" w:color="auto" w:fill="auto"/>
            <w:noWrap/>
            <w:vAlign w:val="center"/>
            <w:hideMark/>
          </w:tcPr>
          <w:p w14:paraId="37E8F09B" w14:textId="77777777" w:rsidR="003356FE" w:rsidRPr="00E367B2" w:rsidRDefault="003356FE" w:rsidP="00D341CD">
            <w:pPr>
              <w:rPr>
                <w:rFonts w:ascii="Calibri" w:hAnsi="Calibri"/>
                <w:color w:val="000000"/>
              </w:rPr>
            </w:pPr>
            <w:r w:rsidRPr="00E367B2">
              <w:rPr>
                <w:rFonts w:ascii="Calibri" w:hAnsi="Calibri"/>
                <w:color w:val="000000"/>
              </w:rPr>
              <w:t>Reason for drop out of the study</w:t>
            </w:r>
          </w:p>
        </w:tc>
        <w:tc>
          <w:tcPr>
            <w:tcW w:w="1080" w:type="dxa"/>
            <w:shd w:val="clear" w:color="auto" w:fill="auto"/>
            <w:noWrap/>
            <w:vAlign w:val="center"/>
            <w:hideMark/>
          </w:tcPr>
          <w:p w14:paraId="7E63298B" w14:textId="77777777" w:rsidR="003356FE" w:rsidRPr="00E367B2" w:rsidRDefault="003356FE" w:rsidP="00D341CD">
            <w:pPr>
              <w:jc w:val="center"/>
              <w:rPr>
                <w:rFonts w:ascii="Calibri" w:hAnsi="Calibri"/>
                <w:color w:val="000000"/>
              </w:rPr>
            </w:pPr>
          </w:p>
        </w:tc>
      </w:tr>
      <w:tr w:rsidR="003356FE" w:rsidRPr="00E367B2" w14:paraId="24C5FD9F" w14:textId="77777777" w:rsidTr="00D341CD">
        <w:trPr>
          <w:trHeight w:val="240"/>
        </w:trPr>
        <w:tc>
          <w:tcPr>
            <w:tcW w:w="565" w:type="dxa"/>
            <w:shd w:val="clear" w:color="auto" w:fill="BFBFBF"/>
            <w:noWrap/>
            <w:vAlign w:val="center"/>
            <w:hideMark/>
          </w:tcPr>
          <w:p w14:paraId="05CA459A" w14:textId="77777777" w:rsidR="003356FE" w:rsidRPr="00E367B2" w:rsidRDefault="003356FE" w:rsidP="00D341CD">
            <w:pPr>
              <w:rPr>
                <w:rFonts w:ascii="Calibri" w:hAnsi="Calibri"/>
                <w:color w:val="000000"/>
              </w:rPr>
            </w:pPr>
          </w:p>
        </w:tc>
        <w:tc>
          <w:tcPr>
            <w:tcW w:w="10065" w:type="dxa"/>
            <w:gridSpan w:val="4"/>
            <w:shd w:val="clear" w:color="auto" w:fill="BFBFBF"/>
            <w:vAlign w:val="center"/>
            <w:hideMark/>
          </w:tcPr>
          <w:p w14:paraId="3BDCE83B" w14:textId="77777777" w:rsidR="003356FE" w:rsidRPr="00E367B2" w:rsidRDefault="003356FE" w:rsidP="00D341CD">
            <w:pPr>
              <w:rPr>
                <w:rFonts w:ascii="Calibri" w:hAnsi="Calibri"/>
                <w:color w:val="000000"/>
              </w:rPr>
            </w:pPr>
            <w:r w:rsidRPr="00E367B2">
              <w:rPr>
                <w:rFonts w:ascii="Calibri" w:hAnsi="Calibri"/>
              </w:rPr>
              <w:t>Assessment risk of bias (internal validity) or study quality</w:t>
            </w:r>
          </w:p>
        </w:tc>
      </w:tr>
      <w:tr w:rsidR="003356FE" w:rsidRPr="00E367B2" w14:paraId="49C2C90A" w14:textId="77777777" w:rsidTr="00D341CD">
        <w:trPr>
          <w:trHeight w:val="527"/>
        </w:trPr>
        <w:tc>
          <w:tcPr>
            <w:tcW w:w="565" w:type="dxa"/>
            <w:shd w:val="clear" w:color="auto" w:fill="auto"/>
            <w:noWrap/>
            <w:vAlign w:val="center"/>
            <w:hideMark/>
          </w:tcPr>
          <w:p w14:paraId="5A9F7C99" w14:textId="77777777" w:rsidR="003356FE" w:rsidRPr="00E367B2" w:rsidRDefault="003356FE" w:rsidP="00D341CD">
            <w:pPr>
              <w:spacing w:after="0"/>
              <w:rPr>
                <w:rFonts w:ascii="Calibri" w:hAnsi="Calibri"/>
                <w:color w:val="000000"/>
              </w:rPr>
            </w:pPr>
            <w:r w:rsidRPr="00E367B2">
              <w:rPr>
                <w:rFonts w:ascii="Calibri" w:hAnsi="Calibri"/>
                <w:color w:val="000000"/>
              </w:rPr>
              <w:t>37.</w:t>
            </w:r>
          </w:p>
        </w:tc>
        <w:tc>
          <w:tcPr>
            <w:tcW w:w="3585" w:type="dxa"/>
            <w:shd w:val="clear" w:color="auto" w:fill="auto"/>
            <w:vAlign w:val="center"/>
            <w:hideMark/>
          </w:tcPr>
          <w:p w14:paraId="337BF07F" w14:textId="77777777" w:rsidR="003356FE" w:rsidRPr="00E367B2" w:rsidRDefault="003356FE" w:rsidP="00D341CD">
            <w:pPr>
              <w:spacing w:after="0"/>
              <w:rPr>
                <w:rFonts w:ascii="Calibri" w:hAnsi="Calibri"/>
              </w:rPr>
            </w:pPr>
            <w:r w:rsidRPr="00E367B2">
              <w:rPr>
                <w:rFonts w:ascii="Calibri" w:hAnsi="Calibri"/>
              </w:rPr>
              <w:t xml:space="preserve">Specify (a) the number of reviewers assessing the risk of bias/study quality in each study and (b) how discrepancies will </w:t>
            </w:r>
            <w:r w:rsidRPr="00E367B2">
              <w:rPr>
                <w:rFonts w:ascii="Calibri" w:hAnsi="Calibri"/>
                <w:noProof/>
              </w:rPr>
              <w:t>be resolved</w:t>
            </w:r>
          </w:p>
        </w:tc>
        <w:tc>
          <w:tcPr>
            <w:tcW w:w="5400" w:type="dxa"/>
            <w:gridSpan w:val="2"/>
            <w:shd w:val="clear" w:color="auto" w:fill="auto"/>
            <w:noWrap/>
            <w:vAlign w:val="center"/>
            <w:hideMark/>
          </w:tcPr>
          <w:p w14:paraId="34C5F5BB" w14:textId="77777777" w:rsidR="003356FE" w:rsidRPr="00E367B2" w:rsidRDefault="003356FE" w:rsidP="00D341CD">
            <w:pPr>
              <w:spacing w:after="0"/>
              <w:rPr>
                <w:rFonts w:ascii="Calibri" w:hAnsi="Calibri"/>
              </w:rPr>
            </w:pPr>
            <w:r w:rsidRPr="00E367B2">
              <w:rPr>
                <w:rFonts w:ascii="Calibri" w:hAnsi="Calibri"/>
              </w:rPr>
              <w:t xml:space="preserve">- Two independent reviewers </w:t>
            </w:r>
          </w:p>
          <w:p w14:paraId="2970C640" w14:textId="77777777" w:rsidR="003356FE" w:rsidRPr="00E367B2" w:rsidRDefault="003356FE" w:rsidP="00D341CD">
            <w:pPr>
              <w:spacing w:after="0"/>
              <w:rPr>
                <w:rFonts w:ascii="Calibri" w:hAnsi="Calibri"/>
                <w:color w:val="000000"/>
                <w:sz w:val="40"/>
              </w:rPr>
            </w:pPr>
            <w:r w:rsidRPr="00E367B2">
              <w:rPr>
                <w:rFonts w:ascii="Calibri" w:hAnsi="Calibri"/>
              </w:rPr>
              <w:t>- Discrepancies or disagreements will be resolved after discussion with a third reviewer</w:t>
            </w:r>
          </w:p>
        </w:tc>
        <w:tc>
          <w:tcPr>
            <w:tcW w:w="1080" w:type="dxa"/>
            <w:shd w:val="clear" w:color="auto" w:fill="auto"/>
            <w:noWrap/>
            <w:vAlign w:val="center"/>
            <w:hideMark/>
          </w:tcPr>
          <w:p w14:paraId="66724B62" w14:textId="77777777" w:rsidR="003356FE" w:rsidRPr="00E367B2" w:rsidRDefault="003356FE" w:rsidP="00D341CD">
            <w:pPr>
              <w:spacing w:after="0"/>
              <w:jc w:val="center"/>
              <w:rPr>
                <w:rFonts w:ascii="Calibri" w:hAnsi="Calibri"/>
                <w:color w:val="000000"/>
              </w:rPr>
            </w:pPr>
          </w:p>
        </w:tc>
      </w:tr>
      <w:tr w:rsidR="003356FE" w:rsidRPr="00E367B2" w14:paraId="12B6AFA8" w14:textId="77777777" w:rsidTr="00D341CD">
        <w:trPr>
          <w:trHeight w:val="2094"/>
        </w:trPr>
        <w:tc>
          <w:tcPr>
            <w:tcW w:w="565" w:type="dxa"/>
            <w:shd w:val="clear" w:color="auto" w:fill="auto"/>
            <w:noWrap/>
            <w:vAlign w:val="center"/>
            <w:hideMark/>
          </w:tcPr>
          <w:p w14:paraId="50A767B0" w14:textId="77777777" w:rsidR="003356FE" w:rsidRPr="00E367B2" w:rsidRDefault="003356FE" w:rsidP="00D341CD">
            <w:pPr>
              <w:spacing w:after="0"/>
              <w:rPr>
                <w:rFonts w:ascii="Calibri" w:hAnsi="Calibri"/>
                <w:color w:val="000000"/>
              </w:rPr>
            </w:pPr>
            <w:r w:rsidRPr="00E367B2">
              <w:rPr>
                <w:rFonts w:ascii="Calibri" w:hAnsi="Calibri"/>
                <w:color w:val="000000"/>
              </w:rPr>
              <w:t>38.</w:t>
            </w:r>
          </w:p>
        </w:tc>
        <w:tc>
          <w:tcPr>
            <w:tcW w:w="3585" w:type="dxa"/>
            <w:shd w:val="clear" w:color="auto" w:fill="auto"/>
            <w:vAlign w:val="center"/>
            <w:hideMark/>
          </w:tcPr>
          <w:p w14:paraId="4141A9B9" w14:textId="77777777" w:rsidR="003356FE" w:rsidRPr="00E367B2" w:rsidRDefault="003356FE" w:rsidP="00D341CD">
            <w:pPr>
              <w:spacing w:after="0"/>
              <w:rPr>
                <w:rFonts w:ascii="Calibri" w:hAnsi="Calibri"/>
              </w:rPr>
            </w:pPr>
            <w:r w:rsidRPr="00E367B2">
              <w:rPr>
                <w:rFonts w:ascii="Calibri" w:hAnsi="Calibri"/>
              </w:rPr>
              <w:t>Define criteria to assess (a) the internal validity  of included studies (</w:t>
            </w:r>
            <w:r w:rsidRPr="00E367B2">
              <w:rPr>
                <w:rFonts w:ascii="Calibri" w:hAnsi="Calibri"/>
                <w:i/>
              </w:rPr>
              <w:t xml:space="preserve">e.g. </w:t>
            </w:r>
            <w:r w:rsidRPr="00E367B2">
              <w:rPr>
                <w:rFonts w:ascii="Calibri" w:hAnsi="Calibri"/>
              </w:rPr>
              <w:t>selection, performance, detection and attrition bias) and/or (b) other study quality measures (</w:t>
            </w:r>
            <w:r w:rsidRPr="00E367B2">
              <w:rPr>
                <w:rFonts w:ascii="Calibri" w:hAnsi="Calibri"/>
                <w:i/>
              </w:rPr>
              <w:t>e.g.</w:t>
            </w:r>
            <w:r w:rsidRPr="00E367B2">
              <w:rPr>
                <w:rFonts w:ascii="Calibri" w:hAnsi="Calibri"/>
              </w:rPr>
              <w:t xml:space="preserve"> reporting quality, power)</w:t>
            </w:r>
          </w:p>
        </w:tc>
        <w:tc>
          <w:tcPr>
            <w:tcW w:w="5400" w:type="dxa"/>
            <w:gridSpan w:val="2"/>
            <w:shd w:val="clear" w:color="auto" w:fill="auto"/>
            <w:noWrap/>
            <w:vAlign w:val="center"/>
            <w:hideMark/>
          </w:tcPr>
          <w:p w14:paraId="0F18EF6F" w14:textId="77777777" w:rsidR="003356FE" w:rsidRPr="00E367B2" w:rsidRDefault="003356FE" w:rsidP="00D341CD">
            <w:pPr>
              <w:spacing w:after="0" w:line="192" w:lineRule="auto"/>
              <w:rPr>
                <w:rFonts w:ascii="Calibri" w:hAnsi="Calibri"/>
                <w:color w:val="000000"/>
              </w:rPr>
            </w:pPr>
            <w:r w:rsidRPr="00E367B2">
              <w:rPr>
                <w:rFonts w:ascii="Calibri" w:hAnsi="Calibri"/>
                <w:color w:val="000000"/>
                <w:sz w:val="40"/>
                <w:shd w:val="clear" w:color="auto" w:fill="000000"/>
              </w:rPr>
              <w:t>□</w:t>
            </w:r>
            <w:r w:rsidRPr="00E367B2">
              <w:rPr>
                <w:rFonts w:ascii="Calibri" w:hAnsi="Calibri"/>
                <w:color w:val="000000"/>
              </w:rPr>
              <w:t xml:space="preserve">By use of </w:t>
            </w:r>
            <w:hyperlink r:id="rId12" w:history="1">
              <w:r w:rsidRPr="00E367B2">
                <w:rPr>
                  <w:rFonts w:ascii="Calibri" w:hAnsi="Calibri"/>
                  <w:color w:val="0000FF"/>
                  <w:u w:val="single"/>
                </w:rPr>
                <w:t>SYRCLE's Risk of Bias tool</w:t>
              </w:r>
              <w:r w:rsidRPr="00E367B2">
                <w:rPr>
                  <w:rFonts w:ascii="Calibri" w:hAnsi="Calibri"/>
                  <w:color w:val="0000FF"/>
                  <w:u w:val="single"/>
                  <w:vertAlign w:val="superscript"/>
                </w:rPr>
                <w:t>4</w:t>
              </w:r>
              <w:r w:rsidRPr="00E367B2">
                <w:rPr>
                  <w:rFonts w:ascii="Calibri" w:hAnsi="Calibri"/>
                  <w:color w:val="0000FF"/>
                  <w:u w:val="single"/>
                </w:rPr>
                <w:t xml:space="preserve"> </w:t>
              </w:r>
            </w:hyperlink>
          </w:p>
          <w:p w14:paraId="4AA624E7" w14:textId="77777777" w:rsidR="003356FE" w:rsidRPr="00E367B2" w:rsidRDefault="003356FE" w:rsidP="00D341CD">
            <w:pPr>
              <w:spacing w:after="0" w:line="192" w:lineRule="auto"/>
              <w:rPr>
                <w:rFonts w:ascii="Calibri" w:hAnsi="Calibri"/>
                <w:color w:val="000000"/>
              </w:rPr>
            </w:pPr>
            <w:r w:rsidRPr="00E367B2">
              <w:rPr>
                <w:rFonts w:ascii="Calibri" w:hAnsi="Calibri"/>
                <w:color w:val="000000"/>
                <w:sz w:val="40"/>
              </w:rPr>
              <w:t>□</w:t>
            </w:r>
            <w:r w:rsidRPr="00E367B2">
              <w:rPr>
                <w:rFonts w:ascii="Calibri" w:hAnsi="Calibri"/>
                <w:color w:val="000000"/>
              </w:rPr>
              <w:t xml:space="preserve">By use of SYRCLE’s Risk of Bias tool, adapted as follows:  </w:t>
            </w:r>
          </w:p>
          <w:p w14:paraId="62E298DE" w14:textId="77777777" w:rsidR="003356FE" w:rsidRPr="00E367B2" w:rsidRDefault="003356FE" w:rsidP="00D341CD">
            <w:pPr>
              <w:spacing w:after="0" w:line="192" w:lineRule="auto"/>
              <w:rPr>
                <w:rFonts w:ascii="Calibri" w:hAnsi="Calibri"/>
                <w:color w:val="000000"/>
              </w:rPr>
            </w:pPr>
            <w:r w:rsidRPr="00E367B2">
              <w:rPr>
                <w:rFonts w:ascii="Calibri" w:hAnsi="Calibri"/>
                <w:color w:val="000000"/>
                <w:sz w:val="40"/>
              </w:rPr>
              <w:t>□</w:t>
            </w:r>
            <w:r w:rsidRPr="00E367B2">
              <w:rPr>
                <w:rFonts w:ascii="Calibri" w:hAnsi="Calibri"/>
                <w:color w:val="000000"/>
              </w:rPr>
              <w:t xml:space="preserve">By use of </w:t>
            </w:r>
            <w:hyperlink r:id="rId13" w:history="1">
              <w:r w:rsidRPr="00E367B2">
                <w:rPr>
                  <w:rFonts w:ascii="Calibri" w:hAnsi="Calibri"/>
                  <w:color w:val="0000FF"/>
                  <w:u w:val="single"/>
                </w:rPr>
                <w:t xml:space="preserve">CAMARADES' study quality checklist, e.g </w:t>
              </w:r>
              <w:r w:rsidRPr="00E367B2">
                <w:rPr>
                  <w:rFonts w:ascii="Calibri" w:hAnsi="Calibri"/>
                  <w:color w:val="0000FF"/>
                  <w:u w:val="single"/>
                  <w:vertAlign w:val="superscript"/>
                </w:rPr>
                <w:t>22</w:t>
              </w:r>
            </w:hyperlink>
            <w:r w:rsidRPr="00E367B2">
              <w:rPr>
                <w:rFonts w:ascii="Calibri" w:hAnsi="Calibri"/>
                <w:color w:val="000000"/>
              </w:rPr>
              <w:t xml:space="preserve"> </w:t>
            </w:r>
          </w:p>
          <w:p w14:paraId="2A0F6C85" w14:textId="77777777" w:rsidR="003356FE" w:rsidRPr="00E367B2" w:rsidRDefault="003356FE" w:rsidP="00D341CD">
            <w:pPr>
              <w:spacing w:after="0" w:line="192" w:lineRule="auto"/>
              <w:rPr>
                <w:rFonts w:ascii="Calibri" w:hAnsi="Calibri"/>
                <w:color w:val="000000"/>
              </w:rPr>
            </w:pPr>
            <w:r w:rsidRPr="00E367B2">
              <w:rPr>
                <w:rFonts w:ascii="Calibri" w:hAnsi="Calibri"/>
                <w:color w:val="000000"/>
                <w:sz w:val="40"/>
              </w:rPr>
              <w:t>□</w:t>
            </w:r>
            <w:r w:rsidRPr="00E367B2">
              <w:rPr>
                <w:rFonts w:ascii="Calibri" w:hAnsi="Calibri"/>
                <w:color w:val="000000"/>
              </w:rPr>
              <w:t xml:space="preserve">By use of CAMARADES' study quality checklist, adapted as follows:  Select items that are related to the study design </w:t>
            </w:r>
          </w:p>
          <w:p w14:paraId="2CC2E510" w14:textId="77777777" w:rsidR="003356FE" w:rsidRPr="00E367B2" w:rsidRDefault="003356FE" w:rsidP="00D341CD">
            <w:pPr>
              <w:spacing w:after="0" w:line="192" w:lineRule="auto"/>
              <w:rPr>
                <w:rFonts w:ascii="Calibri" w:hAnsi="Calibri"/>
                <w:color w:val="000000"/>
              </w:rPr>
            </w:pPr>
            <w:r w:rsidRPr="00E367B2">
              <w:rPr>
                <w:rFonts w:ascii="Calibri" w:hAnsi="Calibri"/>
                <w:color w:val="000000"/>
                <w:sz w:val="40"/>
              </w:rPr>
              <w:t>□</w:t>
            </w:r>
            <w:r w:rsidRPr="00E367B2">
              <w:rPr>
                <w:rFonts w:ascii="Calibri" w:hAnsi="Calibri"/>
                <w:color w:val="000000"/>
              </w:rPr>
              <w:t>Other criteria, namely:</w:t>
            </w:r>
          </w:p>
        </w:tc>
        <w:tc>
          <w:tcPr>
            <w:tcW w:w="1080" w:type="dxa"/>
            <w:shd w:val="clear" w:color="auto" w:fill="auto"/>
            <w:noWrap/>
            <w:vAlign w:val="center"/>
            <w:hideMark/>
          </w:tcPr>
          <w:p w14:paraId="4BDA59DF" w14:textId="77777777" w:rsidR="003356FE" w:rsidRPr="00E367B2" w:rsidRDefault="003356FE" w:rsidP="00D341CD">
            <w:pPr>
              <w:spacing w:after="0"/>
              <w:jc w:val="center"/>
              <w:rPr>
                <w:rFonts w:ascii="Calibri" w:hAnsi="Calibri"/>
                <w:color w:val="000000"/>
              </w:rPr>
            </w:pPr>
          </w:p>
        </w:tc>
      </w:tr>
      <w:tr w:rsidR="003356FE" w:rsidRPr="00E367B2" w14:paraId="225DB7DD" w14:textId="77777777" w:rsidTr="00D341CD">
        <w:trPr>
          <w:trHeight w:val="240"/>
        </w:trPr>
        <w:tc>
          <w:tcPr>
            <w:tcW w:w="565" w:type="dxa"/>
            <w:shd w:val="clear" w:color="auto" w:fill="BFBFBF"/>
            <w:noWrap/>
            <w:vAlign w:val="center"/>
            <w:hideMark/>
          </w:tcPr>
          <w:p w14:paraId="057D8C3D" w14:textId="77777777" w:rsidR="003356FE" w:rsidRPr="00E367B2" w:rsidRDefault="003356FE" w:rsidP="00D341CD">
            <w:pPr>
              <w:rPr>
                <w:rFonts w:ascii="Calibri" w:hAnsi="Calibri"/>
                <w:color w:val="000000"/>
              </w:rPr>
            </w:pPr>
          </w:p>
        </w:tc>
        <w:tc>
          <w:tcPr>
            <w:tcW w:w="10065" w:type="dxa"/>
            <w:gridSpan w:val="4"/>
            <w:shd w:val="clear" w:color="auto" w:fill="BFBFBF"/>
            <w:vAlign w:val="center"/>
            <w:hideMark/>
          </w:tcPr>
          <w:p w14:paraId="3C79A939" w14:textId="77777777" w:rsidR="003356FE" w:rsidRPr="00E367B2" w:rsidRDefault="003356FE" w:rsidP="00D341CD">
            <w:pPr>
              <w:rPr>
                <w:rFonts w:ascii="Calibri" w:hAnsi="Calibri"/>
                <w:color w:val="000000"/>
              </w:rPr>
            </w:pPr>
            <w:r w:rsidRPr="00E367B2">
              <w:rPr>
                <w:rFonts w:ascii="Calibri" w:hAnsi="Calibri"/>
              </w:rPr>
              <w:t>Collection of outcome data</w:t>
            </w:r>
          </w:p>
        </w:tc>
      </w:tr>
      <w:tr w:rsidR="003356FE" w:rsidRPr="00E367B2" w14:paraId="39F48C95" w14:textId="77777777" w:rsidTr="00D341CD">
        <w:trPr>
          <w:trHeight w:val="240"/>
        </w:trPr>
        <w:tc>
          <w:tcPr>
            <w:tcW w:w="565" w:type="dxa"/>
            <w:shd w:val="clear" w:color="auto" w:fill="auto"/>
            <w:noWrap/>
            <w:vAlign w:val="center"/>
            <w:hideMark/>
          </w:tcPr>
          <w:p w14:paraId="0063700E" w14:textId="77777777" w:rsidR="003356FE" w:rsidRPr="00E367B2" w:rsidRDefault="003356FE" w:rsidP="00D341CD">
            <w:pPr>
              <w:rPr>
                <w:rFonts w:ascii="Calibri" w:hAnsi="Calibri"/>
                <w:color w:val="000000"/>
              </w:rPr>
            </w:pPr>
            <w:r w:rsidRPr="00E367B2">
              <w:rPr>
                <w:rFonts w:ascii="Calibri" w:hAnsi="Calibri"/>
                <w:color w:val="000000"/>
              </w:rPr>
              <w:t>39.</w:t>
            </w:r>
          </w:p>
        </w:tc>
        <w:tc>
          <w:tcPr>
            <w:tcW w:w="3585" w:type="dxa"/>
            <w:shd w:val="clear" w:color="auto" w:fill="auto"/>
            <w:vAlign w:val="center"/>
            <w:hideMark/>
          </w:tcPr>
          <w:p w14:paraId="01CE899A" w14:textId="77777777" w:rsidR="003356FE" w:rsidRPr="00E367B2" w:rsidRDefault="003356FE" w:rsidP="00D341CD">
            <w:pPr>
              <w:rPr>
                <w:rFonts w:ascii="Calibri" w:hAnsi="Calibri"/>
              </w:rPr>
            </w:pPr>
            <w:r w:rsidRPr="00E367B2">
              <w:rPr>
                <w:rFonts w:ascii="Calibri" w:hAnsi="Calibri"/>
              </w:rPr>
              <w:t>For each outcome measure, define the type of data to be extracted (</w:t>
            </w:r>
            <w:r w:rsidRPr="00E367B2">
              <w:rPr>
                <w:rFonts w:ascii="Calibri" w:hAnsi="Calibri"/>
                <w:i/>
              </w:rPr>
              <w:t>e.g.</w:t>
            </w:r>
            <w:r w:rsidRPr="00E367B2">
              <w:rPr>
                <w:rFonts w:ascii="Calibri" w:hAnsi="Calibri"/>
              </w:rPr>
              <w:t xml:space="preserve"> continuous/dichotomous, unit of measurement)</w:t>
            </w:r>
          </w:p>
        </w:tc>
        <w:tc>
          <w:tcPr>
            <w:tcW w:w="5400" w:type="dxa"/>
            <w:gridSpan w:val="2"/>
            <w:shd w:val="clear" w:color="auto" w:fill="auto"/>
            <w:noWrap/>
            <w:vAlign w:val="center"/>
            <w:hideMark/>
          </w:tcPr>
          <w:p w14:paraId="6B819B7B" w14:textId="77777777" w:rsidR="003356FE" w:rsidRPr="00E367B2" w:rsidRDefault="003356FE" w:rsidP="00D341CD">
            <w:pPr>
              <w:rPr>
                <w:rFonts w:ascii="Calibri" w:hAnsi="Calibri"/>
                <w:color w:val="000000"/>
              </w:rPr>
            </w:pPr>
            <w:r w:rsidRPr="00E367B2">
              <w:rPr>
                <w:rFonts w:ascii="Calibri" w:hAnsi="Calibri"/>
                <w:color w:val="000000"/>
              </w:rPr>
              <w:t>In general, the data will be continuous (generally measured in force for the maximum force of mechanical bending), Units of measurement tend to be N.mm</w:t>
            </w:r>
          </w:p>
          <w:p w14:paraId="6636B149" w14:textId="77777777" w:rsidR="003356FE" w:rsidRPr="00E367B2" w:rsidRDefault="003356FE" w:rsidP="00D341CD">
            <w:pPr>
              <w:rPr>
                <w:rFonts w:ascii="Calibri" w:hAnsi="Calibri"/>
                <w:color w:val="000000"/>
              </w:rPr>
            </w:pPr>
            <w:r w:rsidRPr="00E367B2">
              <w:rPr>
                <w:rFonts w:ascii="Calibri" w:hAnsi="Calibri"/>
                <w:color w:val="000000"/>
              </w:rPr>
              <w:lastRenderedPageBreak/>
              <w:t>For the Histological healing data will be score of grade,bone volume or area will be measured by mm</w:t>
            </w:r>
            <w:r w:rsidRPr="00E367B2">
              <w:rPr>
                <w:rFonts w:ascii="Calibri" w:hAnsi="Calibri"/>
                <w:color w:val="000000"/>
                <w:vertAlign w:val="superscript"/>
              </w:rPr>
              <w:t>2</w:t>
            </w:r>
            <w:r w:rsidRPr="00E367B2">
              <w:rPr>
                <w:rFonts w:ascii="Calibri" w:hAnsi="Calibri"/>
                <w:color w:val="000000"/>
              </w:rPr>
              <w:t>, or mm</w:t>
            </w:r>
            <w:r w:rsidRPr="00E367B2">
              <w:rPr>
                <w:rFonts w:ascii="Calibri" w:hAnsi="Calibri"/>
                <w:color w:val="000000"/>
                <w:vertAlign w:val="superscript"/>
              </w:rPr>
              <w:t>3.</w:t>
            </w:r>
            <w:r w:rsidRPr="00E367B2">
              <w:rPr>
                <w:rFonts w:ascii="Calibri" w:hAnsi="Calibri"/>
                <w:color w:val="000000"/>
              </w:rPr>
              <w:t xml:space="preserve"> </w:t>
            </w:r>
          </w:p>
          <w:p w14:paraId="5B3C21FF" w14:textId="77777777" w:rsidR="003356FE" w:rsidRPr="00E367B2" w:rsidRDefault="003356FE" w:rsidP="00D341CD">
            <w:pPr>
              <w:rPr>
                <w:rFonts w:ascii="Calibri" w:hAnsi="Calibri"/>
                <w:color w:val="000000"/>
              </w:rPr>
            </w:pPr>
          </w:p>
        </w:tc>
        <w:tc>
          <w:tcPr>
            <w:tcW w:w="1080" w:type="dxa"/>
            <w:shd w:val="clear" w:color="auto" w:fill="auto"/>
            <w:noWrap/>
            <w:vAlign w:val="center"/>
            <w:hideMark/>
          </w:tcPr>
          <w:p w14:paraId="2CF123BB" w14:textId="77777777" w:rsidR="003356FE" w:rsidRPr="00E367B2" w:rsidRDefault="003356FE" w:rsidP="00D341CD">
            <w:pPr>
              <w:jc w:val="center"/>
              <w:rPr>
                <w:rFonts w:ascii="Calibri" w:hAnsi="Calibri"/>
                <w:color w:val="000000"/>
              </w:rPr>
            </w:pPr>
          </w:p>
        </w:tc>
      </w:tr>
      <w:tr w:rsidR="003356FE" w:rsidRPr="00E367B2" w14:paraId="4C5ADCC7" w14:textId="77777777" w:rsidTr="00D341CD">
        <w:trPr>
          <w:trHeight w:val="240"/>
        </w:trPr>
        <w:tc>
          <w:tcPr>
            <w:tcW w:w="565" w:type="dxa"/>
            <w:shd w:val="clear" w:color="auto" w:fill="auto"/>
            <w:noWrap/>
            <w:vAlign w:val="center"/>
            <w:hideMark/>
          </w:tcPr>
          <w:p w14:paraId="75C20D30" w14:textId="77777777" w:rsidR="003356FE" w:rsidRPr="00E367B2" w:rsidRDefault="003356FE" w:rsidP="00D341CD">
            <w:pPr>
              <w:rPr>
                <w:rFonts w:ascii="Calibri" w:hAnsi="Calibri"/>
                <w:color w:val="000000"/>
              </w:rPr>
            </w:pPr>
            <w:r w:rsidRPr="00E367B2">
              <w:rPr>
                <w:rFonts w:ascii="Calibri" w:hAnsi="Calibri"/>
                <w:color w:val="000000"/>
              </w:rPr>
              <w:t>40.</w:t>
            </w:r>
          </w:p>
        </w:tc>
        <w:tc>
          <w:tcPr>
            <w:tcW w:w="3585" w:type="dxa"/>
            <w:shd w:val="clear" w:color="auto" w:fill="auto"/>
            <w:vAlign w:val="center"/>
            <w:hideMark/>
          </w:tcPr>
          <w:p w14:paraId="3080DB35" w14:textId="77777777" w:rsidR="003356FE" w:rsidRPr="00E367B2" w:rsidRDefault="003356FE" w:rsidP="00D341CD">
            <w:pPr>
              <w:rPr>
                <w:rFonts w:ascii="Calibri" w:hAnsi="Calibri"/>
              </w:rPr>
            </w:pPr>
            <w:r w:rsidRPr="00E367B2">
              <w:rPr>
                <w:rFonts w:ascii="Calibri" w:hAnsi="Calibri"/>
              </w:rPr>
              <w:t>Methods for data extraction/retrieval (</w:t>
            </w:r>
            <w:r w:rsidRPr="00E367B2">
              <w:rPr>
                <w:rFonts w:ascii="Calibri" w:hAnsi="Calibri"/>
                <w:i/>
              </w:rPr>
              <w:t xml:space="preserve">e.g. </w:t>
            </w:r>
            <w:r w:rsidRPr="00E367B2">
              <w:rPr>
                <w:rFonts w:ascii="Calibri" w:hAnsi="Calibri"/>
              </w:rPr>
              <w:t>first extraction from graphs using a digital screen ruler, then contacting authors)</w:t>
            </w:r>
          </w:p>
        </w:tc>
        <w:tc>
          <w:tcPr>
            <w:tcW w:w="5400" w:type="dxa"/>
            <w:gridSpan w:val="2"/>
            <w:shd w:val="clear" w:color="auto" w:fill="auto"/>
            <w:noWrap/>
            <w:vAlign w:val="center"/>
            <w:hideMark/>
          </w:tcPr>
          <w:p w14:paraId="5A6641F7" w14:textId="77777777" w:rsidR="003356FE" w:rsidRPr="00E367B2" w:rsidRDefault="003356FE" w:rsidP="00D341CD">
            <w:pPr>
              <w:spacing w:after="0"/>
              <w:rPr>
                <w:rFonts w:ascii="Calibri" w:hAnsi="Calibri"/>
                <w:color w:val="000000"/>
              </w:rPr>
            </w:pPr>
            <w:r w:rsidRPr="00E367B2">
              <w:rPr>
                <w:rFonts w:ascii="Calibri" w:hAnsi="Calibri"/>
                <w:color w:val="000000"/>
              </w:rPr>
              <w:t>1. Extract data from text/tables Two reviewrs(HA,AM)</w:t>
            </w:r>
          </w:p>
          <w:p w14:paraId="1FFD8609" w14:textId="77777777" w:rsidR="003356FE" w:rsidRPr="00E367B2" w:rsidRDefault="003356FE" w:rsidP="00D341CD">
            <w:pPr>
              <w:spacing w:after="0"/>
              <w:rPr>
                <w:rFonts w:ascii="Calibri" w:hAnsi="Calibri"/>
                <w:color w:val="000000"/>
              </w:rPr>
            </w:pPr>
            <w:r w:rsidRPr="00E367B2">
              <w:rPr>
                <w:rFonts w:ascii="Calibri" w:hAnsi="Calibri"/>
                <w:color w:val="000000"/>
              </w:rPr>
              <w:t xml:space="preserve"> 3. Contact authors for missing data</w:t>
            </w:r>
          </w:p>
        </w:tc>
        <w:tc>
          <w:tcPr>
            <w:tcW w:w="1080" w:type="dxa"/>
            <w:shd w:val="clear" w:color="auto" w:fill="auto"/>
            <w:noWrap/>
            <w:vAlign w:val="center"/>
            <w:hideMark/>
          </w:tcPr>
          <w:p w14:paraId="5C0BD0EC" w14:textId="77777777" w:rsidR="003356FE" w:rsidRPr="00E367B2" w:rsidRDefault="003356FE" w:rsidP="00D341CD">
            <w:pPr>
              <w:jc w:val="center"/>
              <w:rPr>
                <w:rFonts w:ascii="Calibri" w:hAnsi="Calibri"/>
                <w:color w:val="000000"/>
              </w:rPr>
            </w:pPr>
          </w:p>
        </w:tc>
      </w:tr>
      <w:tr w:rsidR="003356FE" w:rsidRPr="00E367B2" w14:paraId="39EF827D" w14:textId="77777777" w:rsidTr="00D341CD">
        <w:trPr>
          <w:trHeight w:val="240"/>
        </w:trPr>
        <w:tc>
          <w:tcPr>
            <w:tcW w:w="565" w:type="dxa"/>
            <w:shd w:val="clear" w:color="auto" w:fill="auto"/>
            <w:noWrap/>
            <w:vAlign w:val="center"/>
            <w:hideMark/>
          </w:tcPr>
          <w:p w14:paraId="54D49F79" w14:textId="77777777" w:rsidR="003356FE" w:rsidRPr="00E367B2" w:rsidRDefault="003356FE" w:rsidP="00D341CD">
            <w:pPr>
              <w:rPr>
                <w:rFonts w:ascii="Calibri" w:hAnsi="Calibri"/>
                <w:color w:val="000000"/>
              </w:rPr>
            </w:pPr>
            <w:r w:rsidRPr="00E367B2">
              <w:rPr>
                <w:rFonts w:ascii="Calibri" w:hAnsi="Calibri"/>
                <w:color w:val="000000"/>
              </w:rPr>
              <w:t>41.</w:t>
            </w:r>
          </w:p>
        </w:tc>
        <w:tc>
          <w:tcPr>
            <w:tcW w:w="3585" w:type="dxa"/>
            <w:shd w:val="clear" w:color="auto" w:fill="auto"/>
            <w:vAlign w:val="center"/>
            <w:hideMark/>
          </w:tcPr>
          <w:p w14:paraId="7BF6D559" w14:textId="77777777" w:rsidR="003356FE" w:rsidRPr="00E367B2" w:rsidRDefault="003356FE" w:rsidP="00D341CD">
            <w:pPr>
              <w:rPr>
                <w:rFonts w:ascii="Calibri" w:hAnsi="Calibri"/>
              </w:rPr>
            </w:pPr>
            <w:r w:rsidRPr="00E367B2">
              <w:rPr>
                <w:rFonts w:ascii="Calibri" w:hAnsi="Calibri"/>
              </w:rPr>
              <w:t>Specify (a) the number of reviewers extracting data and (b) how discrepancies will be resolved</w:t>
            </w:r>
          </w:p>
        </w:tc>
        <w:tc>
          <w:tcPr>
            <w:tcW w:w="5400" w:type="dxa"/>
            <w:gridSpan w:val="2"/>
            <w:shd w:val="clear" w:color="auto" w:fill="auto"/>
            <w:noWrap/>
            <w:vAlign w:val="center"/>
            <w:hideMark/>
          </w:tcPr>
          <w:p w14:paraId="4763A2DB" w14:textId="77777777" w:rsidR="003356FE" w:rsidRPr="00E367B2" w:rsidRDefault="003356FE" w:rsidP="00D341CD">
            <w:pPr>
              <w:rPr>
                <w:rFonts w:ascii="Calibri" w:hAnsi="Calibri"/>
                <w:color w:val="000000"/>
              </w:rPr>
            </w:pPr>
            <w:r w:rsidRPr="00E367B2">
              <w:rPr>
                <w:rFonts w:ascii="Calibri" w:hAnsi="Calibri"/>
                <w:color w:val="000000"/>
              </w:rPr>
              <w:t>One reviewer (HA) will extract data. A second reviewer (AM) will check the extraction process.</w:t>
            </w:r>
          </w:p>
        </w:tc>
        <w:tc>
          <w:tcPr>
            <w:tcW w:w="1080" w:type="dxa"/>
            <w:shd w:val="clear" w:color="auto" w:fill="auto"/>
            <w:noWrap/>
            <w:vAlign w:val="center"/>
            <w:hideMark/>
          </w:tcPr>
          <w:p w14:paraId="546B7836" w14:textId="77777777" w:rsidR="003356FE" w:rsidRPr="00E367B2" w:rsidRDefault="003356FE" w:rsidP="00D341CD">
            <w:pPr>
              <w:jc w:val="center"/>
              <w:rPr>
                <w:rFonts w:ascii="Calibri" w:hAnsi="Calibri"/>
                <w:color w:val="000000"/>
              </w:rPr>
            </w:pPr>
          </w:p>
        </w:tc>
      </w:tr>
      <w:tr w:rsidR="003356FE" w:rsidRPr="00E367B2" w14:paraId="2FF43008" w14:textId="77777777" w:rsidTr="00D341CD">
        <w:trPr>
          <w:trHeight w:val="240"/>
        </w:trPr>
        <w:tc>
          <w:tcPr>
            <w:tcW w:w="565" w:type="dxa"/>
            <w:shd w:val="clear" w:color="auto" w:fill="BFBFBF"/>
            <w:noWrap/>
            <w:vAlign w:val="center"/>
            <w:hideMark/>
          </w:tcPr>
          <w:p w14:paraId="346DCB34" w14:textId="77777777" w:rsidR="003356FE" w:rsidRPr="00E367B2" w:rsidRDefault="003356FE" w:rsidP="00D341CD">
            <w:pPr>
              <w:rPr>
                <w:rFonts w:ascii="Calibri" w:hAnsi="Calibri"/>
                <w:color w:val="000000"/>
              </w:rPr>
            </w:pPr>
          </w:p>
        </w:tc>
        <w:tc>
          <w:tcPr>
            <w:tcW w:w="10065" w:type="dxa"/>
            <w:gridSpan w:val="4"/>
            <w:shd w:val="clear" w:color="auto" w:fill="BFBFBF"/>
            <w:vAlign w:val="center"/>
            <w:hideMark/>
          </w:tcPr>
          <w:p w14:paraId="731962E7" w14:textId="77777777" w:rsidR="003356FE" w:rsidRPr="00E367B2" w:rsidRDefault="003356FE" w:rsidP="00D341CD">
            <w:pPr>
              <w:rPr>
                <w:rFonts w:ascii="Calibri" w:hAnsi="Calibri"/>
              </w:rPr>
            </w:pPr>
            <w:r w:rsidRPr="00E367B2">
              <w:rPr>
                <w:rFonts w:ascii="Calibri" w:hAnsi="Calibri"/>
              </w:rPr>
              <w:t>Data analysis/synthesis</w:t>
            </w:r>
          </w:p>
        </w:tc>
      </w:tr>
      <w:tr w:rsidR="003356FE" w:rsidRPr="00E367B2" w14:paraId="1B394B2E" w14:textId="77777777" w:rsidTr="00D341CD">
        <w:trPr>
          <w:trHeight w:val="240"/>
        </w:trPr>
        <w:tc>
          <w:tcPr>
            <w:tcW w:w="565" w:type="dxa"/>
            <w:shd w:val="clear" w:color="auto" w:fill="auto"/>
            <w:noWrap/>
            <w:vAlign w:val="center"/>
            <w:hideMark/>
          </w:tcPr>
          <w:p w14:paraId="45E35CFA" w14:textId="77777777" w:rsidR="003356FE" w:rsidRPr="00E367B2" w:rsidRDefault="003356FE" w:rsidP="00D341CD">
            <w:pPr>
              <w:rPr>
                <w:rFonts w:ascii="Calibri" w:hAnsi="Calibri"/>
                <w:color w:val="000000"/>
              </w:rPr>
            </w:pPr>
            <w:r w:rsidRPr="00E367B2">
              <w:rPr>
                <w:rFonts w:ascii="Calibri" w:hAnsi="Calibri"/>
                <w:color w:val="000000"/>
              </w:rPr>
              <w:t>42.</w:t>
            </w:r>
          </w:p>
        </w:tc>
        <w:tc>
          <w:tcPr>
            <w:tcW w:w="3585" w:type="dxa"/>
            <w:shd w:val="clear" w:color="auto" w:fill="auto"/>
            <w:vAlign w:val="center"/>
            <w:hideMark/>
          </w:tcPr>
          <w:p w14:paraId="3E72B3E5" w14:textId="77777777" w:rsidR="003356FE" w:rsidRPr="00E367B2" w:rsidRDefault="003356FE" w:rsidP="00D341CD">
            <w:pPr>
              <w:rPr>
                <w:rFonts w:ascii="Calibri" w:hAnsi="Calibri"/>
              </w:rPr>
            </w:pPr>
            <w:r w:rsidRPr="00E367B2">
              <w:rPr>
                <w:rFonts w:ascii="Calibri" w:hAnsi="Calibri"/>
              </w:rPr>
              <w:t>Specify (per outcome measure) how you are planning to combine/compare the data (</w:t>
            </w:r>
            <w:r w:rsidRPr="00E367B2">
              <w:rPr>
                <w:rFonts w:ascii="Calibri" w:hAnsi="Calibri"/>
                <w:i/>
              </w:rPr>
              <w:t xml:space="preserve">e.g. </w:t>
            </w:r>
            <w:r w:rsidRPr="00E367B2">
              <w:rPr>
                <w:rFonts w:ascii="Calibri" w:hAnsi="Calibri"/>
              </w:rPr>
              <w:t>descriptive summary, meta-analysis)</w:t>
            </w:r>
          </w:p>
        </w:tc>
        <w:tc>
          <w:tcPr>
            <w:tcW w:w="5400" w:type="dxa"/>
            <w:gridSpan w:val="2"/>
            <w:shd w:val="clear" w:color="auto" w:fill="auto"/>
            <w:noWrap/>
            <w:vAlign w:val="center"/>
            <w:hideMark/>
          </w:tcPr>
          <w:p w14:paraId="516C2032" w14:textId="77777777" w:rsidR="003356FE" w:rsidRPr="00E367B2" w:rsidRDefault="003356FE" w:rsidP="00D341CD">
            <w:pPr>
              <w:rPr>
                <w:rFonts w:ascii="Calibri" w:hAnsi="Calibri"/>
                <w:color w:val="000000"/>
              </w:rPr>
            </w:pPr>
            <w:r w:rsidRPr="00E367B2">
              <w:rPr>
                <w:rFonts w:ascii="Calibri" w:hAnsi="Calibri"/>
                <w:color w:val="000000"/>
              </w:rPr>
              <w:t>Maximum force measurements will be recorded from each study, sub group analysis will be done regarding type of NSAIDs, rodent model, and time. For grade of healing or bone volume and area will be recorded for meta analysis if not available then descriptive summary will be mentioned for every outcome.</w:t>
            </w:r>
          </w:p>
        </w:tc>
        <w:tc>
          <w:tcPr>
            <w:tcW w:w="1080" w:type="dxa"/>
            <w:shd w:val="clear" w:color="auto" w:fill="auto"/>
            <w:noWrap/>
            <w:vAlign w:val="center"/>
            <w:hideMark/>
          </w:tcPr>
          <w:p w14:paraId="3C1C0D5C" w14:textId="77777777" w:rsidR="003356FE" w:rsidRPr="00E367B2" w:rsidRDefault="003356FE" w:rsidP="00D341CD">
            <w:pPr>
              <w:jc w:val="center"/>
              <w:rPr>
                <w:rFonts w:ascii="Calibri" w:hAnsi="Calibri"/>
                <w:color w:val="000000"/>
              </w:rPr>
            </w:pPr>
          </w:p>
        </w:tc>
      </w:tr>
      <w:tr w:rsidR="003356FE" w:rsidRPr="00E367B2" w14:paraId="42E3272E" w14:textId="77777777" w:rsidTr="00D341CD">
        <w:trPr>
          <w:trHeight w:val="240"/>
        </w:trPr>
        <w:tc>
          <w:tcPr>
            <w:tcW w:w="565" w:type="dxa"/>
            <w:shd w:val="clear" w:color="auto" w:fill="auto"/>
            <w:noWrap/>
            <w:vAlign w:val="center"/>
            <w:hideMark/>
          </w:tcPr>
          <w:p w14:paraId="0005E581" w14:textId="77777777" w:rsidR="003356FE" w:rsidRPr="00E367B2" w:rsidRDefault="003356FE" w:rsidP="00D341CD">
            <w:pPr>
              <w:spacing w:after="0"/>
              <w:rPr>
                <w:rFonts w:ascii="Calibri" w:hAnsi="Calibri"/>
                <w:color w:val="000000"/>
              </w:rPr>
            </w:pPr>
            <w:r w:rsidRPr="00E367B2">
              <w:rPr>
                <w:rFonts w:ascii="Calibri" w:hAnsi="Calibri"/>
                <w:color w:val="000000"/>
              </w:rPr>
              <w:t>43.</w:t>
            </w:r>
          </w:p>
        </w:tc>
        <w:tc>
          <w:tcPr>
            <w:tcW w:w="3585" w:type="dxa"/>
            <w:shd w:val="clear" w:color="auto" w:fill="auto"/>
            <w:vAlign w:val="center"/>
            <w:hideMark/>
          </w:tcPr>
          <w:p w14:paraId="7D422568" w14:textId="77777777" w:rsidR="003356FE" w:rsidRPr="00E367B2" w:rsidRDefault="003356FE" w:rsidP="00D341CD">
            <w:pPr>
              <w:spacing w:after="0"/>
              <w:rPr>
                <w:rFonts w:ascii="Calibri" w:hAnsi="Calibri"/>
              </w:rPr>
            </w:pPr>
            <w:r w:rsidRPr="00E367B2">
              <w:rPr>
                <w:rFonts w:ascii="Calibri" w:hAnsi="Calibri"/>
              </w:rPr>
              <w:t>Specify (per outcome measure) how it will be decided whether a meta-analysis will be performed</w:t>
            </w:r>
          </w:p>
        </w:tc>
        <w:tc>
          <w:tcPr>
            <w:tcW w:w="5400" w:type="dxa"/>
            <w:gridSpan w:val="2"/>
            <w:shd w:val="clear" w:color="auto" w:fill="auto"/>
            <w:noWrap/>
            <w:vAlign w:val="center"/>
            <w:hideMark/>
          </w:tcPr>
          <w:p w14:paraId="6DA1F2AD" w14:textId="77777777" w:rsidR="003356FE" w:rsidRPr="00E367B2" w:rsidRDefault="003356FE" w:rsidP="00D341CD">
            <w:pPr>
              <w:spacing w:after="0"/>
              <w:rPr>
                <w:rFonts w:ascii="Calibri" w:hAnsi="Calibri"/>
                <w:color w:val="000000"/>
              </w:rPr>
            </w:pPr>
            <w:r w:rsidRPr="00E367B2">
              <w:rPr>
                <w:rFonts w:ascii="Calibri" w:hAnsi="Calibri"/>
                <w:color w:val="000000"/>
              </w:rPr>
              <w:t>If at least 5 studies are found per outcome, data will be pooled for the meta-analysis, high heterogeneity will be</w:t>
            </w:r>
          </w:p>
          <w:p w14:paraId="78E7D433" w14:textId="77777777" w:rsidR="003356FE" w:rsidRPr="00E367B2" w:rsidRDefault="003356FE" w:rsidP="00D341CD">
            <w:pPr>
              <w:spacing w:after="0"/>
              <w:rPr>
                <w:rFonts w:ascii="Calibri" w:hAnsi="Calibri"/>
                <w:color w:val="000000"/>
              </w:rPr>
            </w:pPr>
            <w:r w:rsidRPr="00E367B2">
              <w:rPr>
                <w:rFonts w:ascii="Calibri" w:hAnsi="Calibri"/>
                <w:color w:val="000000"/>
              </w:rPr>
              <w:t>investigated to check the refrain form the meta-analysis.</w:t>
            </w:r>
          </w:p>
        </w:tc>
        <w:tc>
          <w:tcPr>
            <w:tcW w:w="1080" w:type="dxa"/>
            <w:shd w:val="clear" w:color="auto" w:fill="auto"/>
            <w:noWrap/>
            <w:vAlign w:val="center"/>
            <w:hideMark/>
          </w:tcPr>
          <w:p w14:paraId="70C4A462" w14:textId="77777777" w:rsidR="003356FE" w:rsidRPr="00E367B2" w:rsidRDefault="003356FE" w:rsidP="00D341CD">
            <w:pPr>
              <w:spacing w:after="0"/>
              <w:jc w:val="center"/>
              <w:rPr>
                <w:rFonts w:ascii="Calibri" w:hAnsi="Calibri"/>
                <w:color w:val="000000"/>
              </w:rPr>
            </w:pPr>
          </w:p>
        </w:tc>
      </w:tr>
      <w:tr w:rsidR="003356FE" w:rsidRPr="00E367B2" w14:paraId="3EC73B0F" w14:textId="77777777" w:rsidTr="00D341CD">
        <w:trPr>
          <w:trHeight w:val="240"/>
        </w:trPr>
        <w:tc>
          <w:tcPr>
            <w:tcW w:w="565" w:type="dxa"/>
            <w:shd w:val="clear" w:color="auto" w:fill="auto"/>
            <w:noWrap/>
            <w:vAlign w:val="center"/>
            <w:hideMark/>
          </w:tcPr>
          <w:p w14:paraId="1F62F8FD" w14:textId="77777777" w:rsidR="003356FE" w:rsidRPr="00E367B2" w:rsidRDefault="003356FE" w:rsidP="00D341CD">
            <w:pPr>
              <w:rPr>
                <w:rFonts w:ascii="Calibri" w:hAnsi="Calibri"/>
                <w:color w:val="000000"/>
              </w:rPr>
            </w:pPr>
          </w:p>
        </w:tc>
        <w:tc>
          <w:tcPr>
            <w:tcW w:w="10065" w:type="dxa"/>
            <w:gridSpan w:val="4"/>
            <w:shd w:val="clear" w:color="auto" w:fill="auto"/>
            <w:vAlign w:val="center"/>
            <w:hideMark/>
          </w:tcPr>
          <w:p w14:paraId="32F6BD41" w14:textId="77777777" w:rsidR="003356FE" w:rsidRPr="00E367B2" w:rsidRDefault="003356FE" w:rsidP="00D341CD">
            <w:pPr>
              <w:rPr>
                <w:rFonts w:ascii="Calibri" w:hAnsi="Calibri"/>
                <w:i/>
                <w:color w:val="000000"/>
              </w:rPr>
            </w:pPr>
            <w:r w:rsidRPr="00E367B2">
              <w:rPr>
                <w:rFonts w:ascii="Calibri" w:hAnsi="Calibri"/>
                <w:i/>
                <w:iCs/>
              </w:rPr>
              <w:t>If a meta-analysis seems feasible/sensible, specify (for each outcome measure):</w:t>
            </w:r>
          </w:p>
        </w:tc>
      </w:tr>
      <w:tr w:rsidR="003356FE" w:rsidRPr="00E367B2" w14:paraId="23836906" w14:textId="77777777" w:rsidTr="00D341CD">
        <w:trPr>
          <w:trHeight w:val="240"/>
        </w:trPr>
        <w:tc>
          <w:tcPr>
            <w:tcW w:w="565" w:type="dxa"/>
            <w:shd w:val="clear" w:color="auto" w:fill="auto"/>
            <w:noWrap/>
            <w:vAlign w:val="center"/>
            <w:hideMark/>
          </w:tcPr>
          <w:p w14:paraId="7C317D1F" w14:textId="77777777" w:rsidR="003356FE" w:rsidRPr="00E367B2" w:rsidRDefault="003356FE" w:rsidP="00D341CD">
            <w:pPr>
              <w:rPr>
                <w:rFonts w:ascii="Calibri" w:hAnsi="Calibri"/>
                <w:color w:val="000000"/>
              </w:rPr>
            </w:pPr>
            <w:r w:rsidRPr="00E367B2">
              <w:rPr>
                <w:rFonts w:ascii="Calibri" w:hAnsi="Calibri"/>
                <w:color w:val="000000"/>
              </w:rPr>
              <w:t>44.</w:t>
            </w:r>
          </w:p>
        </w:tc>
        <w:tc>
          <w:tcPr>
            <w:tcW w:w="3585" w:type="dxa"/>
            <w:shd w:val="clear" w:color="auto" w:fill="auto"/>
            <w:vAlign w:val="center"/>
            <w:hideMark/>
          </w:tcPr>
          <w:p w14:paraId="119A03D4" w14:textId="77777777" w:rsidR="003356FE" w:rsidRPr="00E367B2" w:rsidRDefault="003356FE" w:rsidP="00D341CD">
            <w:pPr>
              <w:rPr>
                <w:rFonts w:ascii="Calibri" w:hAnsi="Calibri"/>
              </w:rPr>
            </w:pPr>
            <w:r w:rsidRPr="00E367B2">
              <w:rPr>
                <w:rFonts w:ascii="Calibri" w:hAnsi="Calibri"/>
              </w:rPr>
              <w:t>The effect measure to be used (</w:t>
            </w:r>
            <w:r w:rsidRPr="00E367B2">
              <w:rPr>
                <w:rFonts w:ascii="Calibri" w:hAnsi="Calibri"/>
                <w:i/>
              </w:rPr>
              <w:t>e.g.</w:t>
            </w:r>
            <w:r w:rsidRPr="00E367B2">
              <w:rPr>
                <w:rFonts w:ascii="Calibri" w:hAnsi="Calibri"/>
              </w:rPr>
              <w:t xml:space="preserve"> mean difference, standardized mean difference, risk ratio, odds ratio)</w:t>
            </w:r>
          </w:p>
        </w:tc>
        <w:tc>
          <w:tcPr>
            <w:tcW w:w="5400" w:type="dxa"/>
            <w:gridSpan w:val="2"/>
            <w:shd w:val="clear" w:color="auto" w:fill="auto"/>
            <w:noWrap/>
            <w:vAlign w:val="center"/>
            <w:hideMark/>
          </w:tcPr>
          <w:p w14:paraId="5C918F57" w14:textId="77777777" w:rsidR="003356FE" w:rsidRPr="00E367B2" w:rsidRDefault="003356FE" w:rsidP="00D341CD">
            <w:pPr>
              <w:rPr>
                <w:rFonts w:ascii="Calibri" w:hAnsi="Calibri"/>
                <w:color w:val="000000"/>
              </w:rPr>
            </w:pPr>
            <w:r w:rsidRPr="00E367B2">
              <w:rPr>
                <w:rFonts w:ascii="Calibri" w:hAnsi="Calibri"/>
                <w:color w:val="000000"/>
              </w:rPr>
              <w:t>We will use mean differences if studies use the same experimental test with the same scoring scale, but standardized mean difference if combining different scale score for the same measurement.</w:t>
            </w:r>
          </w:p>
        </w:tc>
        <w:tc>
          <w:tcPr>
            <w:tcW w:w="1080" w:type="dxa"/>
            <w:shd w:val="clear" w:color="auto" w:fill="auto"/>
            <w:noWrap/>
            <w:vAlign w:val="center"/>
            <w:hideMark/>
          </w:tcPr>
          <w:p w14:paraId="5734E6B4" w14:textId="77777777" w:rsidR="003356FE" w:rsidRPr="00E367B2" w:rsidRDefault="003356FE" w:rsidP="00D341CD">
            <w:pPr>
              <w:jc w:val="center"/>
              <w:rPr>
                <w:rFonts w:ascii="Calibri" w:hAnsi="Calibri"/>
                <w:color w:val="000000"/>
              </w:rPr>
            </w:pPr>
          </w:p>
        </w:tc>
      </w:tr>
      <w:tr w:rsidR="003356FE" w:rsidRPr="00E367B2" w14:paraId="34097AE6" w14:textId="77777777" w:rsidTr="00D341CD">
        <w:trPr>
          <w:trHeight w:val="240"/>
        </w:trPr>
        <w:tc>
          <w:tcPr>
            <w:tcW w:w="565" w:type="dxa"/>
            <w:shd w:val="clear" w:color="auto" w:fill="auto"/>
            <w:noWrap/>
            <w:vAlign w:val="center"/>
            <w:hideMark/>
          </w:tcPr>
          <w:p w14:paraId="0360D8A9" w14:textId="77777777" w:rsidR="003356FE" w:rsidRPr="00E367B2" w:rsidRDefault="003356FE" w:rsidP="00D341CD">
            <w:pPr>
              <w:rPr>
                <w:rFonts w:ascii="Calibri" w:hAnsi="Calibri"/>
                <w:color w:val="000000"/>
              </w:rPr>
            </w:pPr>
            <w:r w:rsidRPr="00E367B2">
              <w:rPr>
                <w:rFonts w:ascii="Calibri" w:hAnsi="Calibri"/>
                <w:color w:val="000000"/>
              </w:rPr>
              <w:t>45.</w:t>
            </w:r>
          </w:p>
        </w:tc>
        <w:tc>
          <w:tcPr>
            <w:tcW w:w="3585" w:type="dxa"/>
            <w:shd w:val="clear" w:color="auto" w:fill="auto"/>
            <w:vAlign w:val="center"/>
            <w:hideMark/>
          </w:tcPr>
          <w:p w14:paraId="356477D4" w14:textId="77777777" w:rsidR="003356FE" w:rsidRPr="00E367B2" w:rsidRDefault="003356FE" w:rsidP="00D341CD">
            <w:pPr>
              <w:rPr>
                <w:rFonts w:ascii="Calibri" w:hAnsi="Calibri"/>
              </w:rPr>
            </w:pPr>
            <w:r w:rsidRPr="00E367B2">
              <w:rPr>
                <w:rFonts w:ascii="Calibri" w:hAnsi="Calibri"/>
              </w:rPr>
              <w:t>The statistical model of analysis (</w:t>
            </w:r>
            <w:r w:rsidRPr="00E367B2">
              <w:rPr>
                <w:rFonts w:ascii="Calibri" w:hAnsi="Calibri"/>
                <w:i/>
              </w:rPr>
              <w:t>e.g.</w:t>
            </w:r>
            <w:r w:rsidRPr="00E367B2">
              <w:rPr>
                <w:rFonts w:ascii="Calibri" w:hAnsi="Calibri"/>
              </w:rPr>
              <w:t xml:space="preserve"> random or fixed effects model)</w:t>
            </w:r>
          </w:p>
        </w:tc>
        <w:tc>
          <w:tcPr>
            <w:tcW w:w="5400" w:type="dxa"/>
            <w:gridSpan w:val="2"/>
            <w:shd w:val="clear" w:color="auto" w:fill="auto"/>
            <w:noWrap/>
            <w:vAlign w:val="center"/>
            <w:hideMark/>
          </w:tcPr>
          <w:p w14:paraId="6A55CED7" w14:textId="77777777" w:rsidR="003356FE" w:rsidRPr="00E367B2" w:rsidRDefault="003356FE" w:rsidP="00D341CD">
            <w:pPr>
              <w:rPr>
                <w:rFonts w:ascii="Calibri" w:hAnsi="Calibri"/>
                <w:color w:val="000000"/>
              </w:rPr>
            </w:pPr>
            <w:r w:rsidRPr="00E367B2">
              <w:rPr>
                <w:rFonts w:ascii="Calibri" w:hAnsi="Calibri"/>
                <w:color w:val="000000"/>
              </w:rPr>
              <w:t>Random effect model</w:t>
            </w:r>
          </w:p>
        </w:tc>
        <w:tc>
          <w:tcPr>
            <w:tcW w:w="1080" w:type="dxa"/>
            <w:shd w:val="clear" w:color="auto" w:fill="auto"/>
            <w:noWrap/>
            <w:vAlign w:val="center"/>
            <w:hideMark/>
          </w:tcPr>
          <w:p w14:paraId="78ECEB3D" w14:textId="77777777" w:rsidR="003356FE" w:rsidRPr="00E367B2" w:rsidRDefault="003356FE" w:rsidP="00D341CD">
            <w:pPr>
              <w:jc w:val="center"/>
              <w:rPr>
                <w:rFonts w:ascii="Calibri" w:hAnsi="Calibri"/>
                <w:color w:val="000000"/>
              </w:rPr>
            </w:pPr>
          </w:p>
        </w:tc>
      </w:tr>
      <w:tr w:rsidR="003356FE" w:rsidRPr="00E367B2" w14:paraId="04F7046B" w14:textId="77777777" w:rsidTr="00D341CD">
        <w:trPr>
          <w:trHeight w:val="240"/>
        </w:trPr>
        <w:tc>
          <w:tcPr>
            <w:tcW w:w="565" w:type="dxa"/>
            <w:shd w:val="clear" w:color="auto" w:fill="auto"/>
            <w:noWrap/>
            <w:vAlign w:val="center"/>
            <w:hideMark/>
          </w:tcPr>
          <w:p w14:paraId="6ABC8738" w14:textId="77777777" w:rsidR="003356FE" w:rsidRPr="00E367B2" w:rsidRDefault="003356FE" w:rsidP="00D341CD">
            <w:pPr>
              <w:rPr>
                <w:rFonts w:ascii="Calibri" w:hAnsi="Calibri"/>
                <w:color w:val="000000"/>
              </w:rPr>
            </w:pPr>
            <w:r w:rsidRPr="00E367B2">
              <w:rPr>
                <w:rFonts w:ascii="Calibri" w:hAnsi="Calibri"/>
                <w:color w:val="000000"/>
              </w:rPr>
              <w:t>46.</w:t>
            </w:r>
          </w:p>
        </w:tc>
        <w:tc>
          <w:tcPr>
            <w:tcW w:w="3585" w:type="dxa"/>
            <w:shd w:val="clear" w:color="auto" w:fill="auto"/>
            <w:vAlign w:val="center"/>
            <w:hideMark/>
          </w:tcPr>
          <w:p w14:paraId="5D9C5BFD" w14:textId="77777777" w:rsidR="003356FE" w:rsidRPr="00E367B2" w:rsidRDefault="003356FE" w:rsidP="00D341CD">
            <w:pPr>
              <w:rPr>
                <w:rFonts w:ascii="Calibri" w:hAnsi="Calibri"/>
              </w:rPr>
            </w:pPr>
            <w:r w:rsidRPr="00E367B2">
              <w:rPr>
                <w:rFonts w:ascii="Calibri" w:hAnsi="Calibri"/>
              </w:rPr>
              <w:t>The statistical methods to assess heterogeneity (</w:t>
            </w:r>
            <w:r w:rsidRPr="00E367B2">
              <w:rPr>
                <w:rFonts w:ascii="Calibri" w:hAnsi="Calibri"/>
                <w:i/>
              </w:rPr>
              <w:t>e.g.</w:t>
            </w:r>
            <w:r w:rsidRPr="00E367B2">
              <w:rPr>
                <w:rFonts w:ascii="Calibri" w:hAnsi="Calibri"/>
              </w:rPr>
              <w:t xml:space="preserve"> I</w:t>
            </w:r>
            <w:r w:rsidRPr="00E367B2">
              <w:rPr>
                <w:rFonts w:ascii="Calibri" w:hAnsi="Calibri"/>
                <w:vertAlign w:val="superscript"/>
              </w:rPr>
              <w:t>2</w:t>
            </w:r>
            <w:r w:rsidRPr="00E367B2">
              <w:rPr>
                <w:rFonts w:ascii="Calibri" w:hAnsi="Calibri"/>
              </w:rPr>
              <w:t>, Q)</w:t>
            </w:r>
          </w:p>
        </w:tc>
        <w:tc>
          <w:tcPr>
            <w:tcW w:w="5400" w:type="dxa"/>
            <w:gridSpan w:val="2"/>
            <w:shd w:val="clear" w:color="auto" w:fill="auto"/>
            <w:noWrap/>
            <w:vAlign w:val="center"/>
            <w:hideMark/>
          </w:tcPr>
          <w:p w14:paraId="5281E149" w14:textId="77777777" w:rsidR="003356FE" w:rsidRPr="00E367B2" w:rsidRDefault="003356FE" w:rsidP="00D341CD">
            <w:pPr>
              <w:rPr>
                <w:rFonts w:ascii="Calibri" w:hAnsi="Calibri"/>
                <w:color w:val="000000"/>
              </w:rPr>
            </w:pPr>
            <w:r w:rsidRPr="00E367B2">
              <w:rPr>
                <w:rFonts w:ascii="Calibri" w:hAnsi="Calibri"/>
              </w:rPr>
              <w:t>I</w:t>
            </w:r>
            <w:r w:rsidRPr="00E367B2">
              <w:rPr>
                <w:rFonts w:ascii="Calibri" w:hAnsi="Calibri"/>
                <w:vertAlign w:val="superscript"/>
              </w:rPr>
              <w:t>2</w:t>
            </w:r>
          </w:p>
        </w:tc>
        <w:tc>
          <w:tcPr>
            <w:tcW w:w="1080" w:type="dxa"/>
            <w:shd w:val="clear" w:color="auto" w:fill="auto"/>
            <w:noWrap/>
            <w:vAlign w:val="center"/>
            <w:hideMark/>
          </w:tcPr>
          <w:p w14:paraId="5BAC8855" w14:textId="77777777" w:rsidR="003356FE" w:rsidRPr="00E367B2" w:rsidRDefault="003356FE" w:rsidP="00D341CD">
            <w:pPr>
              <w:jc w:val="center"/>
              <w:rPr>
                <w:rFonts w:ascii="Calibri" w:hAnsi="Calibri"/>
                <w:color w:val="000000"/>
              </w:rPr>
            </w:pPr>
          </w:p>
        </w:tc>
      </w:tr>
      <w:tr w:rsidR="003356FE" w:rsidRPr="00E367B2" w14:paraId="3080C250" w14:textId="77777777" w:rsidTr="00D341CD">
        <w:trPr>
          <w:trHeight w:val="240"/>
        </w:trPr>
        <w:tc>
          <w:tcPr>
            <w:tcW w:w="565" w:type="dxa"/>
            <w:shd w:val="clear" w:color="auto" w:fill="auto"/>
            <w:noWrap/>
            <w:vAlign w:val="center"/>
            <w:hideMark/>
          </w:tcPr>
          <w:p w14:paraId="137120B1" w14:textId="77777777" w:rsidR="003356FE" w:rsidRPr="00E367B2" w:rsidRDefault="003356FE" w:rsidP="00D341CD">
            <w:pPr>
              <w:rPr>
                <w:rFonts w:ascii="Calibri" w:hAnsi="Calibri"/>
                <w:color w:val="000000"/>
              </w:rPr>
            </w:pPr>
            <w:r w:rsidRPr="00E367B2">
              <w:rPr>
                <w:rFonts w:ascii="Calibri" w:hAnsi="Calibri"/>
                <w:color w:val="000000"/>
              </w:rPr>
              <w:t>47.</w:t>
            </w:r>
          </w:p>
        </w:tc>
        <w:tc>
          <w:tcPr>
            <w:tcW w:w="3585" w:type="dxa"/>
            <w:shd w:val="clear" w:color="auto" w:fill="auto"/>
            <w:vAlign w:val="center"/>
            <w:hideMark/>
          </w:tcPr>
          <w:p w14:paraId="75FFD308" w14:textId="77777777" w:rsidR="003356FE" w:rsidRPr="00E367B2" w:rsidRDefault="003356FE" w:rsidP="00D341CD">
            <w:pPr>
              <w:rPr>
                <w:rFonts w:ascii="Calibri" w:hAnsi="Calibri"/>
              </w:rPr>
            </w:pPr>
            <w:r w:rsidRPr="00E367B2">
              <w:rPr>
                <w:rFonts w:ascii="Calibri" w:hAnsi="Calibri"/>
              </w:rPr>
              <w:t>Which study characteristics will be examined as potential source of heterogeneity (subgroup analysis)</w:t>
            </w:r>
          </w:p>
        </w:tc>
        <w:tc>
          <w:tcPr>
            <w:tcW w:w="5400" w:type="dxa"/>
            <w:gridSpan w:val="2"/>
            <w:shd w:val="clear" w:color="auto" w:fill="auto"/>
            <w:noWrap/>
            <w:vAlign w:val="center"/>
            <w:hideMark/>
          </w:tcPr>
          <w:p w14:paraId="724FC49A" w14:textId="77777777" w:rsidR="003356FE" w:rsidRPr="00E367B2" w:rsidRDefault="003356FE" w:rsidP="00D341CD">
            <w:pPr>
              <w:rPr>
                <w:rFonts w:ascii="Calibri" w:hAnsi="Calibri"/>
                <w:color w:val="000000"/>
              </w:rPr>
            </w:pPr>
            <w:r w:rsidRPr="00E367B2">
              <w:rPr>
                <w:rFonts w:ascii="Calibri" w:hAnsi="Calibri"/>
                <w:color w:val="000000"/>
              </w:rPr>
              <w:t xml:space="preserve">Type of NSAIDs, Timing, animal species, time of observation, </w:t>
            </w:r>
          </w:p>
        </w:tc>
        <w:tc>
          <w:tcPr>
            <w:tcW w:w="1080" w:type="dxa"/>
            <w:shd w:val="clear" w:color="auto" w:fill="auto"/>
            <w:noWrap/>
            <w:vAlign w:val="center"/>
            <w:hideMark/>
          </w:tcPr>
          <w:p w14:paraId="79363AF5" w14:textId="77777777" w:rsidR="003356FE" w:rsidRPr="00E367B2" w:rsidRDefault="003356FE" w:rsidP="00D341CD">
            <w:pPr>
              <w:jc w:val="center"/>
              <w:rPr>
                <w:rFonts w:ascii="Calibri" w:hAnsi="Calibri"/>
                <w:color w:val="000000"/>
              </w:rPr>
            </w:pPr>
          </w:p>
        </w:tc>
      </w:tr>
      <w:tr w:rsidR="003356FE" w:rsidRPr="00E367B2" w14:paraId="113FF30D" w14:textId="77777777" w:rsidTr="00D341CD">
        <w:trPr>
          <w:trHeight w:val="240"/>
        </w:trPr>
        <w:tc>
          <w:tcPr>
            <w:tcW w:w="565" w:type="dxa"/>
            <w:shd w:val="clear" w:color="auto" w:fill="auto"/>
            <w:noWrap/>
            <w:vAlign w:val="center"/>
            <w:hideMark/>
          </w:tcPr>
          <w:p w14:paraId="56AB53E6" w14:textId="77777777" w:rsidR="003356FE" w:rsidRPr="00E367B2" w:rsidRDefault="003356FE" w:rsidP="00D341CD">
            <w:pPr>
              <w:rPr>
                <w:rFonts w:ascii="Calibri" w:hAnsi="Calibri"/>
                <w:color w:val="000000"/>
              </w:rPr>
            </w:pPr>
            <w:r w:rsidRPr="00E367B2">
              <w:rPr>
                <w:rFonts w:ascii="Calibri" w:hAnsi="Calibri"/>
                <w:color w:val="000000"/>
              </w:rPr>
              <w:t>48.</w:t>
            </w:r>
          </w:p>
        </w:tc>
        <w:tc>
          <w:tcPr>
            <w:tcW w:w="3585" w:type="dxa"/>
            <w:shd w:val="clear" w:color="auto" w:fill="auto"/>
            <w:vAlign w:val="center"/>
            <w:hideMark/>
          </w:tcPr>
          <w:p w14:paraId="05BE7A6C" w14:textId="77777777" w:rsidR="003356FE" w:rsidRPr="00E367B2" w:rsidRDefault="003356FE" w:rsidP="00D341CD">
            <w:pPr>
              <w:rPr>
                <w:rFonts w:ascii="Calibri" w:hAnsi="Calibri"/>
              </w:rPr>
            </w:pPr>
            <w:r w:rsidRPr="00E367B2">
              <w:rPr>
                <w:rFonts w:ascii="Calibri" w:hAnsi="Calibri"/>
              </w:rPr>
              <w:t>Any sensitivity analyses you propose to perform</w:t>
            </w:r>
          </w:p>
        </w:tc>
        <w:tc>
          <w:tcPr>
            <w:tcW w:w="5400" w:type="dxa"/>
            <w:gridSpan w:val="2"/>
            <w:shd w:val="clear" w:color="auto" w:fill="auto"/>
            <w:noWrap/>
            <w:vAlign w:val="center"/>
            <w:hideMark/>
          </w:tcPr>
          <w:p w14:paraId="776B28DE" w14:textId="77777777" w:rsidR="003356FE" w:rsidRPr="00E367B2" w:rsidRDefault="003356FE" w:rsidP="00D341CD">
            <w:pPr>
              <w:rPr>
                <w:rFonts w:ascii="Calibri" w:hAnsi="Calibri"/>
                <w:color w:val="000000"/>
              </w:rPr>
            </w:pPr>
            <w:r w:rsidRPr="00E367B2">
              <w:rPr>
                <w:rFonts w:ascii="Calibri" w:hAnsi="Calibri"/>
                <w:color w:val="000000"/>
              </w:rPr>
              <w:t>We will perform sensitivity analyses to assess if our underlying assumptions are appropriate and our results are robust.</w:t>
            </w:r>
          </w:p>
        </w:tc>
        <w:tc>
          <w:tcPr>
            <w:tcW w:w="1080" w:type="dxa"/>
            <w:shd w:val="clear" w:color="auto" w:fill="auto"/>
            <w:noWrap/>
            <w:vAlign w:val="center"/>
            <w:hideMark/>
          </w:tcPr>
          <w:p w14:paraId="650BD038" w14:textId="77777777" w:rsidR="003356FE" w:rsidRPr="00E367B2" w:rsidRDefault="003356FE" w:rsidP="00D341CD">
            <w:pPr>
              <w:jc w:val="center"/>
              <w:rPr>
                <w:rFonts w:ascii="Calibri" w:hAnsi="Calibri"/>
                <w:color w:val="000000"/>
              </w:rPr>
            </w:pPr>
          </w:p>
        </w:tc>
      </w:tr>
      <w:tr w:rsidR="003356FE" w:rsidRPr="00E367B2" w14:paraId="6852F07C" w14:textId="77777777" w:rsidTr="00D341CD">
        <w:trPr>
          <w:trHeight w:val="240"/>
        </w:trPr>
        <w:tc>
          <w:tcPr>
            <w:tcW w:w="565" w:type="dxa"/>
            <w:shd w:val="clear" w:color="auto" w:fill="auto"/>
            <w:noWrap/>
            <w:vAlign w:val="center"/>
            <w:hideMark/>
          </w:tcPr>
          <w:p w14:paraId="5D5BF31E" w14:textId="77777777" w:rsidR="003356FE" w:rsidRPr="00E367B2" w:rsidRDefault="003356FE" w:rsidP="00D341CD">
            <w:pPr>
              <w:rPr>
                <w:rFonts w:ascii="Calibri" w:hAnsi="Calibri"/>
                <w:color w:val="000000"/>
              </w:rPr>
            </w:pPr>
            <w:r w:rsidRPr="00E367B2">
              <w:rPr>
                <w:rFonts w:ascii="Calibri" w:hAnsi="Calibri"/>
                <w:color w:val="000000"/>
              </w:rPr>
              <w:t>49.</w:t>
            </w:r>
          </w:p>
        </w:tc>
        <w:tc>
          <w:tcPr>
            <w:tcW w:w="3585" w:type="dxa"/>
            <w:shd w:val="clear" w:color="auto" w:fill="auto"/>
            <w:vAlign w:val="center"/>
            <w:hideMark/>
          </w:tcPr>
          <w:p w14:paraId="2B8AA4FC" w14:textId="77777777" w:rsidR="003356FE" w:rsidRPr="00E367B2" w:rsidRDefault="003356FE" w:rsidP="00D341CD">
            <w:pPr>
              <w:rPr>
                <w:rFonts w:ascii="Calibri" w:hAnsi="Calibri"/>
              </w:rPr>
            </w:pPr>
            <w:r w:rsidRPr="00E367B2">
              <w:rPr>
                <w:rFonts w:ascii="Calibri" w:hAnsi="Calibri"/>
              </w:rPr>
              <w:t>Other details meta-analysis (</w:t>
            </w:r>
            <w:r w:rsidRPr="00E367B2">
              <w:rPr>
                <w:rFonts w:ascii="Calibri" w:hAnsi="Calibri"/>
                <w:i/>
              </w:rPr>
              <w:t>e.g.</w:t>
            </w:r>
            <w:r w:rsidRPr="00E367B2">
              <w:rPr>
                <w:rFonts w:ascii="Calibri" w:hAnsi="Calibri"/>
              </w:rPr>
              <w:t xml:space="preserve"> correction for multiple testing, </w:t>
            </w:r>
            <w:r w:rsidRPr="00E367B2">
              <w:rPr>
                <w:rFonts w:ascii="Calibri" w:hAnsi="Calibri"/>
              </w:rPr>
              <w:lastRenderedPageBreak/>
              <w:t>correction for multiple use of control group)</w:t>
            </w:r>
          </w:p>
        </w:tc>
        <w:tc>
          <w:tcPr>
            <w:tcW w:w="5400" w:type="dxa"/>
            <w:gridSpan w:val="2"/>
            <w:shd w:val="clear" w:color="auto" w:fill="auto"/>
            <w:noWrap/>
            <w:vAlign w:val="center"/>
            <w:hideMark/>
          </w:tcPr>
          <w:p w14:paraId="00E81E49" w14:textId="77777777" w:rsidR="003356FE" w:rsidRPr="00E367B2" w:rsidRDefault="003356FE" w:rsidP="00D341CD">
            <w:pPr>
              <w:rPr>
                <w:rFonts w:ascii="Calibri" w:hAnsi="Calibri"/>
                <w:color w:val="000000"/>
              </w:rPr>
            </w:pPr>
            <w:r w:rsidRPr="00E367B2">
              <w:rPr>
                <w:rFonts w:ascii="Calibri" w:hAnsi="Calibri"/>
                <w:color w:val="000000"/>
              </w:rPr>
              <w:lastRenderedPageBreak/>
              <w:t xml:space="preserve">We will perform a Holm-Bonferroni correction to correct for multiple testing. We will adjust the p value according to the number of the subgroup analysis. If within one </w:t>
            </w:r>
            <w:r w:rsidRPr="00E367B2">
              <w:rPr>
                <w:rFonts w:ascii="Calibri" w:hAnsi="Calibri"/>
                <w:color w:val="000000"/>
              </w:rPr>
              <w:lastRenderedPageBreak/>
              <w:t>study several doses of NSAIDs are compared to one control group, we will divide the number of control animals by the total number of comparisons made with this group in order to correct for repeated use of one control group.</w:t>
            </w:r>
          </w:p>
        </w:tc>
        <w:tc>
          <w:tcPr>
            <w:tcW w:w="1080" w:type="dxa"/>
            <w:shd w:val="clear" w:color="auto" w:fill="auto"/>
            <w:noWrap/>
            <w:vAlign w:val="center"/>
            <w:hideMark/>
          </w:tcPr>
          <w:p w14:paraId="63DE759D" w14:textId="77777777" w:rsidR="003356FE" w:rsidRPr="00E367B2" w:rsidRDefault="003356FE" w:rsidP="00D341CD">
            <w:pPr>
              <w:jc w:val="center"/>
              <w:rPr>
                <w:rFonts w:ascii="Calibri" w:hAnsi="Calibri"/>
                <w:color w:val="000000"/>
              </w:rPr>
            </w:pPr>
          </w:p>
        </w:tc>
      </w:tr>
      <w:tr w:rsidR="003356FE" w:rsidRPr="00E367B2" w14:paraId="523D3F97" w14:textId="77777777" w:rsidTr="00D341CD">
        <w:trPr>
          <w:trHeight w:val="240"/>
        </w:trPr>
        <w:tc>
          <w:tcPr>
            <w:tcW w:w="565" w:type="dxa"/>
            <w:shd w:val="clear" w:color="auto" w:fill="auto"/>
            <w:noWrap/>
            <w:vAlign w:val="center"/>
            <w:hideMark/>
          </w:tcPr>
          <w:p w14:paraId="50E0B24B" w14:textId="77777777" w:rsidR="003356FE" w:rsidRPr="00E367B2" w:rsidRDefault="003356FE" w:rsidP="00D341CD">
            <w:pPr>
              <w:rPr>
                <w:rFonts w:ascii="Calibri" w:hAnsi="Calibri"/>
                <w:color w:val="000000"/>
              </w:rPr>
            </w:pPr>
            <w:r w:rsidRPr="00E367B2">
              <w:rPr>
                <w:rFonts w:ascii="Calibri" w:hAnsi="Calibri"/>
                <w:color w:val="000000"/>
              </w:rPr>
              <w:t>50.</w:t>
            </w:r>
          </w:p>
        </w:tc>
        <w:tc>
          <w:tcPr>
            <w:tcW w:w="3585" w:type="dxa"/>
            <w:shd w:val="clear" w:color="auto" w:fill="auto"/>
            <w:vAlign w:val="center"/>
            <w:hideMark/>
          </w:tcPr>
          <w:p w14:paraId="5724BAA4" w14:textId="77777777" w:rsidR="003356FE" w:rsidRPr="00E367B2" w:rsidRDefault="003356FE" w:rsidP="00D341CD">
            <w:pPr>
              <w:rPr>
                <w:rFonts w:ascii="Calibri" w:hAnsi="Calibri"/>
              </w:rPr>
            </w:pPr>
            <w:r w:rsidRPr="00E367B2">
              <w:rPr>
                <w:rFonts w:ascii="Calibri" w:hAnsi="Calibri"/>
              </w:rPr>
              <w:t>The method for assessment of publication bias</w:t>
            </w:r>
          </w:p>
        </w:tc>
        <w:tc>
          <w:tcPr>
            <w:tcW w:w="5400" w:type="dxa"/>
            <w:gridSpan w:val="2"/>
            <w:shd w:val="clear" w:color="auto" w:fill="auto"/>
            <w:noWrap/>
            <w:vAlign w:val="center"/>
            <w:hideMark/>
          </w:tcPr>
          <w:p w14:paraId="371905C9" w14:textId="77777777" w:rsidR="003356FE" w:rsidRPr="00E367B2" w:rsidRDefault="003356FE" w:rsidP="00D341CD">
            <w:pPr>
              <w:rPr>
                <w:rFonts w:ascii="Calibri" w:hAnsi="Calibri"/>
                <w:color w:val="000000"/>
              </w:rPr>
            </w:pPr>
            <w:r w:rsidRPr="00E367B2">
              <w:rPr>
                <w:rFonts w:ascii="Calibri" w:hAnsi="Calibri"/>
                <w:color w:val="000000"/>
              </w:rPr>
              <w:t>Funnel plot (if at least 10 studies included in meta-analysis)</w:t>
            </w:r>
          </w:p>
        </w:tc>
        <w:tc>
          <w:tcPr>
            <w:tcW w:w="1080" w:type="dxa"/>
            <w:shd w:val="clear" w:color="auto" w:fill="auto"/>
            <w:noWrap/>
            <w:vAlign w:val="center"/>
            <w:hideMark/>
          </w:tcPr>
          <w:p w14:paraId="55FFD28D" w14:textId="77777777" w:rsidR="003356FE" w:rsidRPr="00E367B2" w:rsidRDefault="003356FE" w:rsidP="00D341CD">
            <w:pPr>
              <w:jc w:val="center"/>
              <w:rPr>
                <w:rFonts w:ascii="Calibri" w:hAnsi="Calibri"/>
                <w:color w:val="000000"/>
              </w:rPr>
            </w:pPr>
          </w:p>
        </w:tc>
      </w:tr>
      <w:tr w:rsidR="003356FE" w:rsidRPr="00E367B2" w14:paraId="08C8646C" w14:textId="77777777" w:rsidTr="00D341CD">
        <w:trPr>
          <w:trHeight w:val="240"/>
        </w:trPr>
        <w:tc>
          <w:tcPr>
            <w:tcW w:w="10630" w:type="dxa"/>
            <w:gridSpan w:val="5"/>
            <w:tcBorders>
              <w:bottom w:val="single" w:sz="4" w:space="0" w:color="auto"/>
            </w:tcBorders>
            <w:shd w:val="clear" w:color="auto" w:fill="2E025E"/>
            <w:noWrap/>
            <w:vAlign w:val="center"/>
            <w:hideMark/>
          </w:tcPr>
          <w:p w14:paraId="12BD71EE" w14:textId="77777777" w:rsidR="003356FE" w:rsidRPr="00E367B2" w:rsidRDefault="003356FE" w:rsidP="00D341CD">
            <w:pPr>
              <w:jc w:val="center"/>
              <w:rPr>
                <w:rFonts w:ascii="Calibri" w:hAnsi="Calibri"/>
                <w:color w:val="000000"/>
              </w:rPr>
            </w:pPr>
          </w:p>
        </w:tc>
      </w:tr>
      <w:tr w:rsidR="003356FE" w:rsidRPr="00E367B2" w14:paraId="0450FB89" w14:textId="77777777" w:rsidTr="00D341CD">
        <w:trPr>
          <w:trHeight w:val="627"/>
        </w:trPr>
        <w:tc>
          <w:tcPr>
            <w:tcW w:w="4150" w:type="dxa"/>
            <w:gridSpan w:val="2"/>
            <w:tcBorders>
              <w:left w:val="single" w:sz="4" w:space="0" w:color="auto"/>
              <w:right w:val="nil"/>
            </w:tcBorders>
            <w:shd w:val="clear" w:color="auto" w:fill="auto"/>
            <w:noWrap/>
            <w:vAlign w:val="center"/>
            <w:hideMark/>
          </w:tcPr>
          <w:p w14:paraId="0AC1361D" w14:textId="77777777" w:rsidR="003356FE" w:rsidRPr="00E367B2" w:rsidRDefault="003356FE" w:rsidP="00D341CD">
            <w:pPr>
              <w:rPr>
                <w:rFonts w:ascii="Calibri" w:hAnsi="Calibri"/>
              </w:rPr>
            </w:pPr>
            <w:r w:rsidRPr="00E367B2">
              <w:rPr>
                <w:rFonts w:ascii="Calibri" w:hAnsi="Calibri"/>
              </w:rPr>
              <w:t xml:space="preserve">Final approval by (names, affiliations): </w:t>
            </w:r>
          </w:p>
        </w:tc>
        <w:tc>
          <w:tcPr>
            <w:tcW w:w="4560" w:type="dxa"/>
            <w:tcBorders>
              <w:left w:val="nil"/>
              <w:right w:val="nil"/>
            </w:tcBorders>
            <w:shd w:val="clear" w:color="auto" w:fill="auto"/>
            <w:vAlign w:val="center"/>
          </w:tcPr>
          <w:p w14:paraId="3145B6D3" w14:textId="77777777" w:rsidR="003356FE" w:rsidRPr="00E367B2" w:rsidRDefault="003356FE" w:rsidP="00D341CD">
            <w:pPr>
              <w:rPr>
                <w:rFonts w:ascii="Calibri" w:hAnsi="Calibri"/>
              </w:rPr>
            </w:pPr>
          </w:p>
        </w:tc>
        <w:tc>
          <w:tcPr>
            <w:tcW w:w="1920" w:type="dxa"/>
            <w:gridSpan w:val="2"/>
            <w:tcBorders>
              <w:left w:val="nil"/>
            </w:tcBorders>
            <w:shd w:val="clear" w:color="auto" w:fill="auto"/>
            <w:vAlign w:val="center"/>
          </w:tcPr>
          <w:p w14:paraId="5A8390A5" w14:textId="77777777" w:rsidR="003356FE" w:rsidRPr="00E367B2" w:rsidRDefault="003356FE" w:rsidP="00D341CD">
            <w:pPr>
              <w:rPr>
                <w:rFonts w:ascii="Calibri" w:hAnsi="Calibri"/>
              </w:rPr>
            </w:pPr>
            <w:r w:rsidRPr="00E367B2">
              <w:rPr>
                <w:rFonts w:ascii="Calibri" w:hAnsi="Calibri"/>
              </w:rPr>
              <w:t xml:space="preserve">Date: </w:t>
            </w:r>
          </w:p>
        </w:tc>
      </w:tr>
    </w:tbl>
    <w:p w14:paraId="31CE7855" w14:textId="77777777" w:rsidR="003356FE" w:rsidRDefault="003356FE"/>
    <w:p w14:paraId="53D13A7B" w14:textId="77777777" w:rsidR="002630A6" w:rsidRDefault="002630A6" w:rsidP="003356FE">
      <w:pPr>
        <w:rPr>
          <w:rFonts w:asciiTheme="majorBidi" w:hAnsiTheme="majorBidi" w:cstheme="majorBidi"/>
          <w:b/>
          <w:bCs/>
        </w:rPr>
      </w:pPr>
      <w:r>
        <w:rPr>
          <w:rFonts w:asciiTheme="majorBidi" w:hAnsiTheme="majorBidi" w:cstheme="majorBidi"/>
          <w:b/>
          <w:bCs/>
        </w:rPr>
        <w:br w:type="page"/>
      </w:r>
    </w:p>
    <w:p w14:paraId="58EB2C3E" w14:textId="6F8DE799" w:rsidR="003356FE" w:rsidRPr="00E367B2" w:rsidRDefault="00B52FB7" w:rsidP="00B52FB7">
      <w:r>
        <w:lastRenderedPageBreak/>
        <w:t xml:space="preserve">Table </w:t>
      </w:r>
      <w:r w:rsidR="003356FE">
        <w:t xml:space="preserve">S 2. </w:t>
      </w:r>
      <w:r w:rsidR="003356FE" w:rsidRPr="00E367B2">
        <w:t>Search strategy</w:t>
      </w:r>
    </w:p>
    <w:tbl>
      <w:tblPr>
        <w:tblStyle w:val="PlainTable2"/>
        <w:tblpPr w:leftFromText="180" w:rightFromText="180" w:vertAnchor="text" w:horzAnchor="margin" w:tblpY="369"/>
        <w:tblW w:w="0" w:type="auto"/>
        <w:tblLook w:val="04A0" w:firstRow="1" w:lastRow="0" w:firstColumn="1" w:lastColumn="0" w:noHBand="0" w:noVBand="1"/>
      </w:tblPr>
      <w:tblGrid>
        <w:gridCol w:w="743"/>
        <w:gridCol w:w="500"/>
        <w:gridCol w:w="8117"/>
      </w:tblGrid>
      <w:tr w:rsidR="00D341CD" w:rsidRPr="003B58A6" w14:paraId="3711650E" w14:textId="77777777" w:rsidTr="003B58A6">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743" w:type="dxa"/>
            <w:gridSpan w:val="2"/>
          </w:tcPr>
          <w:p w14:paraId="4BF0AD85" w14:textId="77777777" w:rsidR="00D341CD" w:rsidRPr="003B58A6" w:rsidRDefault="00D341CD" w:rsidP="00B644F9">
            <w:pPr>
              <w:rPr>
                <w:b w:val="0"/>
                <w:bCs w:val="0"/>
                <w:sz w:val="18"/>
                <w:szCs w:val="18"/>
              </w:rPr>
            </w:pPr>
            <w:r w:rsidRPr="003B58A6">
              <w:rPr>
                <w:b w:val="0"/>
                <w:bCs w:val="0"/>
                <w:sz w:val="18"/>
                <w:szCs w:val="18"/>
              </w:rPr>
              <w:t>#</w:t>
            </w:r>
          </w:p>
        </w:tc>
        <w:tc>
          <w:tcPr>
            <w:tcW w:w="8607" w:type="dxa"/>
          </w:tcPr>
          <w:p w14:paraId="6B3DA5E0" w14:textId="77777777" w:rsidR="00D341CD" w:rsidRPr="003B58A6" w:rsidRDefault="00D341CD" w:rsidP="00B644F9">
            <w:pPr>
              <w:cnfStyle w:val="100000000000" w:firstRow="1" w:lastRow="0" w:firstColumn="0" w:lastColumn="0" w:oddVBand="0" w:evenVBand="0" w:oddHBand="0" w:evenHBand="0" w:firstRowFirstColumn="0" w:firstRowLastColumn="0" w:lastRowFirstColumn="0" w:lastRowLastColumn="0"/>
              <w:rPr>
                <w:b w:val="0"/>
                <w:bCs w:val="0"/>
                <w:sz w:val="18"/>
                <w:szCs w:val="18"/>
              </w:rPr>
            </w:pPr>
            <w:r w:rsidRPr="003B58A6">
              <w:rPr>
                <w:b w:val="0"/>
                <w:bCs w:val="0"/>
                <w:sz w:val="18"/>
                <w:szCs w:val="18"/>
              </w:rPr>
              <w:t>Search Statement</w:t>
            </w:r>
          </w:p>
        </w:tc>
      </w:tr>
      <w:tr w:rsidR="00D341CD" w:rsidRPr="003B58A6" w14:paraId="7843AD2D" w14:textId="77777777" w:rsidTr="003B58A6">
        <w:trPr>
          <w:cnfStyle w:val="000000100000" w:firstRow="0" w:lastRow="0" w:firstColumn="0" w:lastColumn="0" w:oddVBand="0" w:evenVBand="0" w:oddHBand="1"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9350" w:type="dxa"/>
            <w:gridSpan w:val="3"/>
          </w:tcPr>
          <w:p w14:paraId="41E7E4DC" w14:textId="49DEC38D" w:rsidR="00D341CD" w:rsidRPr="003B58A6" w:rsidRDefault="00D341CD" w:rsidP="00B644F9">
            <w:pPr>
              <w:rPr>
                <w:rFonts w:asciiTheme="minorBidi" w:hAnsiTheme="minorBidi"/>
                <w:b w:val="0"/>
                <w:bCs w:val="0"/>
                <w:sz w:val="18"/>
                <w:szCs w:val="18"/>
              </w:rPr>
            </w:pPr>
            <w:r w:rsidRPr="003B58A6">
              <w:rPr>
                <w:b w:val="0"/>
                <w:bCs w:val="0"/>
                <w:sz w:val="18"/>
                <w:szCs w:val="18"/>
              </w:rPr>
              <w:t>Medline data base</w:t>
            </w:r>
            <w:r w:rsidR="00E07C2D" w:rsidRPr="003B58A6">
              <w:rPr>
                <w:b w:val="0"/>
                <w:bCs w:val="0"/>
                <w:sz w:val="18"/>
                <w:szCs w:val="18"/>
              </w:rPr>
              <w:t xml:space="preserve"> (start from January 1</w:t>
            </w:r>
            <w:r w:rsidR="00E07C2D" w:rsidRPr="003B58A6">
              <w:rPr>
                <w:b w:val="0"/>
                <w:bCs w:val="0"/>
                <w:sz w:val="18"/>
                <w:szCs w:val="18"/>
                <w:vertAlign w:val="superscript"/>
              </w:rPr>
              <w:t>st</w:t>
            </w:r>
            <w:r w:rsidR="00E07C2D" w:rsidRPr="003B58A6">
              <w:rPr>
                <w:b w:val="0"/>
                <w:bCs w:val="0"/>
                <w:sz w:val="18"/>
                <w:szCs w:val="18"/>
              </w:rPr>
              <w:t xml:space="preserve"> 1946)</w:t>
            </w:r>
          </w:p>
        </w:tc>
      </w:tr>
      <w:tr w:rsidR="00D341CD" w:rsidRPr="003B58A6" w14:paraId="0257627F"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315EAC78" w14:textId="77777777" w:rsidR="00D341CD" w:rsidRPr="003B58A6" w:rsidRDefault="00D341CD" w:rsidP="00B644F9">
            <w:pPr>
              <w:rPr>
                <w:b w:val="0"/>
                <w:bCs w:val="0"/>
                <w:sz w:val="18"/>
                <w:szCs w:val="18"/>
              </w:rPr>
            </w:pPr>
            <w:r w:rsidRPr="003B58A6">
              <w:rPr>
                <w:b w:val="0"/>
                <w:bCs w:val="0"/>
                <w:sz w:val="18"/>
                <w:szCs w:val="18"/>
              </w:rPr>
              <w:t>1</w:t>
            </w:r>
          </w:p>
        </w:tc>
        <w:tc>
          <w:tcPr>
            <w:tcW w:w="8607" w:type="dxa"/>
          </w:tcPr>
          <w:p w14:paraId="180B3E07"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 xml:space="preserve">exp Anti-Inflammatory Agents, Non-Steroidal/ </w:t>
            </w:r>
          </w:p>
        </w:tc>
      </w:tr>
      <w:tr w:rsidR="00D341CD" w:rsidRPr="003B58A6" w14:paraId="67FBA5C0"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6D6A4E58" w14:textId="77777777" w:rsidR="00D341CD" w:rsidRPr="003B58A6" w:rsidRDefault="00D341CD" w:rsidP="00B644F9">
            <w:pPr>
              <w:rPr>
                <w:b w:val="0"/>
                <w:bCs w:val="0"/>
                <w:sz w:val="18"/>
                <w:szCs w:val="18"/>
              </w:rPr>
            </w:pPr>
            <w:r w:rsidRPr="003B58A6">
              <w:rPr>
                <w:b w:val="0"/>
                <w:bCs w:val="0"/>
                <w:sz w:val="18"/>
                <w:szCs w:val="18"/>
              </w:rPr>
              <w:t>2</w:t>
            </w:r>
          </w:p>
        </w:tc>
        <w:tc>
          <w:tcPr>
            <w:tcW w:w="8607" w:type="dxa"/>
          </w:tcPr>
          <w:p w14:paraId="224C6642"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(non-steroid* adj3 (</w:t>
            </w:r>
            <w:r w:rsidRPr="003B58A6">
              <w:rPr>
                <w:noProof/>
                <w:sz w:val="18"/>
                <w:szCs w:val="18"/>
              </w:rPr>
              <w:t>inflammat</w:t>
            </w:r>
            <w:r w:rsidRPr="003B58A6">
              <w:rPr>
                <w:sz w:val="18"/>
                <w:szCs w:val="18"/>
              </w:rPr>
              <w:t>* or anti-</w:t>
            </w:r>
            <w:r w:rsidRPr="003B58A6">
              <w:rPr>
                <w:noProof/>
                <w:sz w:val="18"/>
                <w:szCs w:val="18"/>
              </w:rPr>
              <w:t>inflammat</w:t>
            </w:r>
            <w:r w:rsidRPr="003B58A6">
              <w:rPr>
                <w:sz w:val="18"/>
                <w:szCs w:val="18"/>
              </w:rPr>
              <w:t>* or antiinflammat*)).ti,ab,</w:t>
            </w:r>
            <w:r w:rsidRPr="003B58A6">
              <w:rPr>
                <w:noProof/>
                <w:sz w:val="18"/>
                <w:szCs w:val="18"/>
              </w:rPr>
              <w:t>kf</w:t>
            </w:r>
            <w:r w:rsidRPr="003B58A6">
              <w:rPr>
                <w:sz w:val="18"/>
                <w:szCs w:val="18"/>
              </w:rPr>
              <w:t>.</w:t>
            </w:r>
            <w:r w:rsidRPr="003B58A6">
              <w:rPr>
                <w:sz w:val="18"/>
                <w:szCs w:val="18"/>
              </w:rPr>
              <w:tab/>
            </w:r>
          </w:p>
        </w:tc>
      </w:tr>
      <w:tr w:rsidR="00D341CD" w:rsidRPr="003B58A6" w14:paraId="532757AD"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3C12A44C" w14:textId="77777777" w:rsidR="00D341CD" w:rsidRPr="003B58A6" w:rsidRDefault="00D341CD" w:rsidP="00B644F9">
            <w:pPr>
              <w:rPr>
                <w:b w:val="0"/>
                <w:bCs w:val="0"/>
                <w:sz w:val="18"/>
                <w:szCs w:val="18"/>
              </w:rPr>
            </w:pPr>
            <w:r w:rsidRPr="003B58A6">
              <w:rPr>
                <w:b w:val="0"/>
                <w:bCs w:val="0"/>
                <w:sz w:val="18"/>
                <w:szCs w:val="18"/>
              </w:rPr>
              <w:t>3</w:t>
            </w:r>
          </w:p>
        </w:tc>
        <w:tc>
          <w:tcPr>
            <w:tcW w:w="8607" w:type="dxa"/>
          </w:tcPr>
          <w:p w14:paraId="3235C084"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((cyclooxygenase or cyclo-oxygenase or COX-2) adj1 (inhibit* or attenuat*)).ti,ab,</w:t>
            </w:r>
            <w:r w:rsidRPr="003B58A6">
              <w:rPr>
                <w:noProof/>
                <w:sz w:val="18"/>
                <w:szCs w:val="18"/>
              </w:rPr>
              <w:t>kf</w:t>
            </w:r>
            <w:r w:rsidRPr="003B58A6">
              <w:rPr>
                <w:sz w:val="18"/>
                <w:szCs w:val="18"/>
              </w:rPr>
              <w:t>.</w:t>
            </w:r>
            <w:r w:rsidRPr="003B58A6">
              <w:rPr>
                <w:sz w:val="18"/>
                <w:szCs w:val="18"/>
              </w:rPr>
              <w:tab/>
            </w:r>
          </w:p>
        </w:tc>
      </w:tr>
      <w:tr w:rsidR="00D341CD" w:rsidRPr="003B58A6" w14:paraId="1B6B7132"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275B6BE1" w14:textId="77777777" w:rsidR="00D341CD" w:rsidRPr="003B58A6" w:rsidRDefault="00D341CD" w:rsidP="00B644F9">
            <w:pPr>
              <w:rPr>
                <w:b w:val="0"/>
                <w:bCs w:val="0"/>
                <w:noProof/>
                <w:sz w:val="18"/>
                <w:szCs w:val="18"/>
              </w:rPr>
            </w:pPr>
            <w:r w:rsidRPr="003B58A6">
              <w:rPr>
                <w:b w:val="0"/>
                <w:bCs w:val="0"/>
                <w:noProof/>
                <w:sz w:val="18"/>
                <w:szCs w:val="18"/>
              </w:rPr>
              <w:t>4</w:t>
            </w:r>
          </w:p>
        </w:tc>
        <w:tc>
          <w:tcPr>
            <w:tcW w:w="8607" w:type="dxa"/>
          </w:tcPr>
          <w:p w14:paraId="79465D05"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noProof/>
                <w:sz w:val="18"/>
                <w:szCs w:val="18"/>
              </w:rPr>
              <w:t>(adapalene or ampyrone or antipyrine or apazone or aspirin or bufexamac or carprofen or celecoxib or clonixin or curcumin or diclofenac or diflunisal or dipyrone or epirizole or etanercept or etodolac or fenoprofen or feprazone or flurbiprofen or ibuprofen or indomethacin or ketoprofen or ketorolac or masoprocol or meclofenamic or mefenamic or mesalamine or naproxen or niflumic or olopatadine or oxyphenbutazone or phenylbutazone or piroxicam or salicylate* or sulfasalazine or sulindac or suprofen or tolmetin).ti,ab,kf.</w:t>
            </w:r>
            <w:r w:rsidRPr="003B58A6">
              <w:rPr>
                <w:sz w:val="18"/>
                <w:szCs w:val="18"/>
              </w:rPr>
              <w:tab/>
            </w:r>
          </w:p>
        </w:tc>
      </w:tr>
      <w:tr w:rsidR="00D341CD" w:rsidRPr="003B58A6" w14:paraId="62EC9A1B"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03E23FB1" w14:textId="77777777" w:rsidR="00D341CD" w:rsidRPr="003B58A6" w:rsidRDefault="00D341CD" w:rsidP="00B644F9">
            <w:pPr>
              <w:rPr>
                <w:b w:val="0"/>
                <w:bCs w:val="0"/>
                <w:sz w:val="18"/>
                <w:szCs w:val="18"/>
              </w:rPr>
            </w:pPr>
            <w:r w:rsidRPr="003B58A6">
              <w:rPr>
                <w:b w:val="0"/>
                <w:bCs w:val="0"/>
                <w:sz w:val="18"/>
                <w:szCs w:val="18"/>
              </w:rPr>
              <w:t>5</w:t>
            </w:r>
          </w:p>
        </w:tc>
        <w:tc>
          <w:tcPr>
            <w:tcW w:w="8607" w:type="dxa"/>
          </w:tcPr>
          <w:p w14:paraId="19B22971"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 xml:space="preserve">(NSAID? or </w:t>
            </w:r>
            <w:r w:rsidRPr="003B58A6">
              <w:rPr>
                <w:noProof/>
                <w:sz w:val="18"/>
                <w:szCs w:val="18"/>
              </w:rPr>
              <w:t>tactupump</w:t>
            </w:r>
            <w:r w:rsidRPr="003B58A6">
              <w:rPr>
                <w:sz w:val="18"/>
                <w:szCs w:val="18"/>
              </w:rPr>
              <w:t xml:space="preserve"> or </w:t>
            </w:r>
            <w:r w:rsidRPr="003B58A6">
              <w:rPr>
                <w:noProof/>
                <w:sz w:val="18"/>
                <w:szCs w:val="18"/>
              </w:rPr>
              <w:t>galderma</w:t>
            </w:r>
            <w:r w:rsidRPr="003B58A6">
              <w:rPr>
                <w:sz w:val="18"/>
                <w:szCs w:val="18"/>
              </w:rPr>
              <w:t xml:space="preserve"> or </w:t>
            </w:r>
            <w:r w:rsidRPr="003B58A6">
              <w:rPr>
                <w:noProof/>
                <w:sz w:val="18"/>
                <w:szCs w:val="18"/>
              </w:rPr>
              <w:t>differin</w:t>
            </w:r>
            <w:r w:rsidRPr="003B58A6">
              <w:rPr>
                <w:sz w:val="18"/>
                <w:szCs w:val="18"/>
              </w:rPr>
              <w:t xml:space="preserve"> or </w:t>
            </w:r>
            <w:r w:rsidRPr="003B58A6">
              <w:rPr>
                <w:noProof/>
                <w:sz w:val="18"/>
                <w:szCs w:val="18"/>
              </w:rPr>
              <w:t>auralgan</w:t>
            </w:r>
            <w:r w:rsidRPr="003B58A6">
              <w:rPr>
                <w:sz w:val="18"/>
                <w:szCs w:val="18"/>
              </w:rPr>
              <w:t xml:space="preserve"> or paladin or salicylic or floctafenine or meloxicam or nabumetone or </w:t>
            </w:r>
            <w:r w:rsidRPr="003B58A6">
              <w:rPr>
                <w:noProof/>
                <w:sz w:val="18"/>
                <w:szCs w:val="18"/>
              </w:rPr>
              <w:t>napafenac</w:t>
            </w:r>
            <w:r w:rsidRPr="003B58A6">
              <w:rPr>
                <w:sz w:val="18"/>
                <w:szCs w:val="18"/>
              </w:rPr>
              <w:t xml:space="preserve"> or oxaprozin or tenoxicam or </w:t>
            </w:r>
            <w:r w:rsidRPr="003B58A6">
              <w:rPr>
                <w:noProof/>
                <w:sz w:val="18"/>
                <w:szCs w:val="18"/>
              </w:rPr>
              <w:t>tiaprofenic</w:t>
            </w:r>
            <w:r w:rsidRPr="003B58A6">
              <w:rPr>
                <w:sz w:val="18"/>
                <w:szCs w:val="18"/>
              </w:rPr>
              <w:t>).ti</w:t>
            </w:r>
            <w:r w:rsidRPr="003B58A6">
              <w:rPr>
                <w:noProof/>
                <w:sz w:val="18"/>
                <w:szCs w:val="18"/>
              </w:rPr>
              <w:t>,ab</w:t>
            </w:r>
            <w:r w:rsidRPr="003B58A6">
              <w:rPr>
                <w:sz w:val="18"/>
                <w:szCs w:val="18"/>
              </w:rPr>
              <w:t>,kf.</w:t>
            </w:r>
            <w:r w:rsidRPr="003B58A6">
              <w:rPr>
                <w:sz w:val="18"/>
                <w:szCs w:val="18"/>
              </w:rPr>
              <w:tab/>
            </w:r>
          </w:p>
        </w:tc>
      </w:tr>
      <w:tr w:rsidR="00D341CD" w:rsidRPr="003B58A6" w14:paraId="48E00B86"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29E0F7A5" w14:textId="77777777" w:rsidR="00D341CD" w:rsidRPr="003B58A6" w:rsidRDefault="00D341CD" w:rsidP="00B644F9">
            <w:pPr>
              <w:rPr>
                <w:b w:val="0"/>
                <w:bCs w:val="0"/>
                <w:sz w:val="18"/>
                <w:szCs w:val="18"/>
              </w:rPr>
            </w:pPr>
            <w:r w:rsidRPr="003B58A6">
              <w:rPr>
                <w:b w:val="0"/>
                <w:bCs w:val="0"/>
                <w:sz w:val="18"/>
                <w:szCs w:val="18"/>
              </w:rPr>
              <w:t>6</w:t>
            </w:r>
          </w:p>
        </w:tc>
        <w:tc>
          <w:tcPr>
            <w:tcW w:w="8607" w:type="dxa"/>
          </w:tcPr>
          <w:p w14:paraId="368935C1"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or/1-5</w:t>
            </w:r>
            <w:r w:rsidRPr="003B58A6">
              <w:rPr>
                <w:sz w:val="18"/>
                <w:szCs w:val="18"/>
              </w:rPr>
              <w:tab/>
            </w:r>
          </w:p>
        </w:tc>
      </w:tr>
      <w:tr w:rsidR="00D341CD" w:rsidRPr="003B58A6" w14:paraId="3C471ABC"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5626E86C" w14:textId="77777777" w:rsidR="00D341CD" w:rsidRPr="003B58A6" w:rsidRDefault="00D341CD" w:rsidP="00B644F9">
            <w:pPr>
              <w:rPr>
                <w:b w:val="0"/>
                <w:bCs w:val="0"/>
                <w:sz w:val="18"/>
                <w:szCs w:val="18"/>
              </w:rPr>
            </w:pPr>
            <w:r w:rsidRPr="003B58A6">
              <w:rPr>
                <w:b w:val="0"/>
                <w:bCs w:val="0"/>
                <w:sz w:val="18"/>
                <w:szCs w:val="18"/>
              </w:rPr>
              <w:t>7</w:t>
            </w:r>
          </w:p>
        </w:tc>
        <w:tc>
          <w:tcPr>
            <w:tcW w:w="8607" w:type="dxa"/>
          </w:tcPr>
          <w:p w14:paraId="2DAF61C9"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exp Fractures, Bone/</w:t>
            </w:r>
            <w:r w:rsidRPr="003B58A6">
              <w:rPr>
                <w:sz w:val="18"/>
                <w:szCs w:val="18"/>
              </w:rPr>
              <w:tab/>
            </w:r>
          </w:p>
        </w:tc>
      </w:tr>
      <w:tr w:rsidR="00D341CD" w:rsidRPr="003B58A6" w14:paraId="300FBF7F"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0ED9796A" w14:textId="77777777" w:rsidR="00D341CD" w:rsidRPr="003B58A6" w:rsidRDefault="00D341CD" w:rsidP="00B644F9">
            <w:pPr>
              <w:rPr>
                <w:b w:val="0"/>
                <w:bCs w:val="0"/>
                <w:sz w:val="18"/>
                <w:szCs w:val="18"/>
              </w:rPr>
            </w:pPr>
            <w:r w:rsidRPr="003B58A6">
              <w:rPr>
                <w:b w:val="0"/>
                <w:bCs w:val="0"/>
                <w:sz w:val="18"/>
                <w:szCs w:val="18"/>
              </w:rPr>
              <w:t>8</w:t>
            </w:r>
          </w:p>
        </w:tc>
        <w:tc>
          <w:tcPr>
            <w:tcW w:w="8607" w:type="dxa"/>
          </w:tcPr>
          <w:p w14:paraId="48138630"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 xml:space="preserve">exp "Bone and Bones"/de, in, me, pa, </w:t>
            </w:r>
            <w:r w:rsidRPr="003B58A6">
              <w:rPr>
                <w:noProof/>
                <w:sz w:val="18"/>
                <w:szCs w:val="18"/>
              </w:rPr>
              <w:t>pd</w:t>
            </w:r>
            <w:r w:rsidRPr="003B58A6">
              <w:rPr>
                <w:sz w:val="18"/>
                <w:szCs w:val="18"/>
              </w:rPr>
              <w:t>, pp [Drug Effects, Injuries, Metabolism, Pathology, Pharmacology, Physiopathology]</w:t>
            </w:r>
            <w:r w:rsidRPr="003B58A6">
              <w:rPr>
                <w:sz w:val="18"/>
                <w:szCs w:val="18"/>
              </w:rPr>
              <w:tab/>
            </w:r>
          </w:p>
        </w:tc>
      </w:tr>
      <w:tr w:rsidR="00D341CD" w:rsidRPr="003B58A6" w14:paraId="2A7E52D1"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67323FBB" w14:textId="77777777" w:rsidR="00D341CD" w:rsidRPr="003B58A6" w:rsidRDefault="00D341CD" w:rsidP="00B644F9">
            <w:pPr>
              <w:rPr>
                <w:b w:val="0"/>
                <w:bCs w:val="0"/>
                <w:sz w:val="18"/>
                <w:szCs w:val="18"/>
              </w:rPr>
            </w:pPr>
            <w:r w:rsidRPr="003B58A6">
              <w:rPr>
                <w:b w:val="0"/>
                <w:bCs w:val="0"/>
                <w:sz w:val="18"/>
                <w:szCs w:val="18"/>
              </w:rPr>
              <w:t>9</w:t>
            </w:r>
          </w:p>
        </w:tc>
        <w:tc>
          <w:tcPr>
            <w:tcW w:w="8607" w:type="dxa"/>
          </w:tcPr>
          <w:p w14:paraId="0DC3C58C"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exp Fracture Healing/</w:t>
            </w:r>
            <w:r w:rsidRPr="003B58A6">
              <w:rPr>
                <w:sz w:val="18"/>
                <w:szCs w:val="18"/>
              </w:rPr>
              <w:tab/>
            </w:r>
          </w:p>
        </w:tc>
      </w:tr>
      <w:tr w:rsidR="00D341CD" w:rsidRPr="003B58A6" w14:paraId="61831CFF"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4B3BF64A" w14:textId="77777777" w:rsidR="00D341CD" w:rsidRPr="003B58A6" w:rsidRDefault="00D341CD" w:rsidP="00B644F9">
            <w:pPr>
              <w:rPr>
                <w:b w:val="0"/>
                <w:bCs w:val="0"/>
                <w:sz w:val="18"/>
                <w:szCs w:val="18"/>
              </w:rPr>
            </w:pPr>
            <w:r w:rsidRPr="003B58A6">
              <w:rPr>
                <w:b w:val="0"/>
                <w:bCs w:val="0"/>
                <w:sz w:val="18"/>
                <w:szCs w:val="18"/>
              </w:rPr>
              <w:t>10</w:t>
            </w:r>
          </w:p>
        </w:tc>
        <w:tc>
          <w:tcPr>
            <w:tcW w:w="8607" w:type="dxa"/>
          </w:tcPr>
          <w:p w14:paraId="566450F8"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exp Bone Remodeling/</w:t>
            </w:r>
            <w:r w:rsidRPr="003B58A6">
              <w:rPr>
                <w:sz w:val="18"/>
                <w:szCs w:val="18"/>
              </w:rPr>
              <w:tab/>
            </w:r>
          </w:p>
        </w:tc>
      </w:tr>
      <w:tr w:rsidR="00D341CD" w:rsidRPr="003B58A6" w14:paraId="565E3FF4"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7DFC59D8" w14:textId="77777777" w:rsidR="00D341CD" w:rsidRPr="003B58A6" w:rsidRDefault="00D341CD" w:rsidP="00B644F9">
            <w:pPr>
              <w:rPr>
                <w:b w:val="0"/>
                <w:bCs w:val="0"/>
                <w:sz w:val="18"/>
                <w:szCs w:val="18"/>
              </w:rPr>
            </w:pPr>
            <w:r w:rsidRPr="003B58A6">
              <w:rPr>
                <w:b w:val="0"/>
                <w:bCs w:val="0"/>
                <w:sz w:val="18"/>
                <w:szCs w:val="18"/>
              </w:rPr>
              <w:t>11</w:t>
            </w:r>
          </w:p>
        </w:tc>
        <w:tc>
          <w:tcPr>
            <w:tcW w:w="8607" w:type="dxa"/>
          </w:tcPr>
          <w:p w14:paraId="550FB34C"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exp Bone Density/</w:t>
            </w:r>
            <w:r w:rsidRPr="003B58A6">
              <w:rPr>
                <w:sz w:val="18"/>
                <w:szCs w:val="18"/>
              </w:rPr>
              <w:tab/>
            </w:r>
          </w:p>
        </w:tc>
      </w:tr>
      <w:tr w:rsidR="00D341CD" w:rsidRPr="003B58A6" w14:paraId="34649DC2"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78C84935" w14:textId="77777777" w:rsidR="00D341CD" w:rsidRPr="003B58A6" w:rsidRDefault="00D341CD" w:rsidP="00B644F9">
            <w:pPr>
              <w:rPr>
                <w:b w:val="0"/>
                <w:bCs w:val="0"/>
                <w:sz w:val="18"/>
                <w:szCs w:val="18"/>
              </w:rPr>
            </w:pPr>
            <w:r w:rsidRPr="003B58A6">
              <w:rPr>
                <w:b w:val="0"/>
                <w:bCs w:val="0"/>
                <w:sz w:val="18"/>
                <w:szCs w:val="18"/>
              </w:rPr>
              <w:t>12</w:t>
            </w:r>
          </w:p>
        </w:tc>
        <w:tc>
          <w:tcPr>
            <w:tcW w:w="8607" w:type="dxa"/>
          </w:tcPr>
          <w:p w14:paraId="36AD60BA"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(bone adj3 (broken or fracture* or remodel* or regenerat* or density)).ti,ab,kf.</w:t>
            </w:r>
            <w:r w:rsidRPr="003B58A6">
              <w:rPr>
                <w:sz w:val="18"/>
                <w:szCs w:val="18"/>
              </w:rPr>
              <w:tab/>
            </w:r>
          </w:p>
        </w:tc>
      </w:tr>
      <w:tr w:rsidR="00D341CD" w:rsidRPr="003B58A6" w14:paraId="10D36E6A"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1304DB52" w14:textId="77777777" w:rsidR="00D341CD" w:rsidRPr="003B58A6" w:rsidRDefault="00D341CD" w:rsidP="00B644F9">
            <w:pPr>
              <w:rPr>
                <w:b w:val="0"/>
                <w:bCs w:val="0"/>
                <w:sz w:val="18"/>
                <w:szCs w:val="18"/>
              </w:rPr>
            </w:pPr>
            <w:r w:rsidRPr="003B58A6">
              <w:rPr>
                <w:b w:val="0"/>
                <w:bCs w:val="0"/>
                <w:sz w:val="18"/>
                <w:szCs w:val="18"/>
              </w:rPr>
              <w:t>13</w:t>
            </w:r>
          </w:p>
        </w:tc>
        <w:tc>
          <w:tcPr>
            <w:tcW w:w="8607" w:type="dxa"/>
          </w:tcPr>
          <w:p w14:paraId="3C5E82F9"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((fracture? or bone?) adj3 heal*).ti,ab,kf.</w:t>
            </w:r>
            <w:r w:rsidRPr="003B58A6">
              <w:rPr>
                <w:sz w:val="18"/>
                <w:szCs w:val="18"/>
              </w:rPr>
              <w:tab/>
            </w:r>
          </w:p>
        </w:tc>
      </w:tr>
      <w:tr w:rsidR="00D341CD" w:rsidRPr="003B58A6" w14:paraId="488BDC75"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1A3F97D3" w14:textId="77777777" w:rsidR="00D341CD" w:rsidRPr="003B58A6" w:rsidRDefault="00D341CD" w:rsidP="00B644F9">
            <w:pPr>
              <w:rPr>
                <w:b w:val="0"/>
                <w:bCs w:val="0"/>
                <w:sz w:val="18"/>
                <w:szCs w:val="18"/>
              </w:rPr>
            </w:pPr>
            <w:r w:rsidRPr="003B58A6">
              <w:rPr>
                <w:b w:val="0"/>
                <w:bCs w:val="0"/>
                <w:sz w:val="18"/>
                <w:szCs w:val="18"/>
              </w:rPr>
              <w:t>14</w:t>
            </w:r>
          </w:p>
        </w:tc>
        <w:tc>
          <w:tcPr>
            <w:tcW w:w="8607" w:type="dxa"/>
          </w:tcPr>
          <w:p w14:paraId="14B03FCA"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((displace* or open or closed or comminuted or greenstick or transverse or oblique or buckled or pathologic or stress or hairline or compound or traumatic or periprosthetic or linear or spiral or compression or avulsion or impacted or burst or chance or flexion or supracondylar) adj3 fracture*).ti</w:t>
            </w:r>
            <w:r w:rsidRPr="003B58A6">
              <w:rPr>
                <w:noProof/>
                <w:sz w:val="18"/>
                <w:szCs w:val="18"/>
              </w:rPr>
              <w:t>,ab</w:t>
            </w:r>
            <w:r w:rsidRPr="003B58A6">
              <w:rPr>
                <w:sz w:val="18"/>
                <w:szCs w:val="18"/>
              </w:rPr>
              <w:t>,kf.</w:t>
            </w:r>
            <w:r w:rsidRPr="003B58A6">
              <w:rPr>
                <w:sz w:val="18"/>
                <w:szCs w:val="18"/>
              </w:rPr>
              <w:tab/>
            </w:r>
          </w:p>
        </w:tc>
      </w:tr>
      <w:tr w:rsidR="00D341CD" w:rsidRPr="003B58A6" w14:paraId="2562E885"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3895578F" w14:textId="77777777" w:rsidR="00D341CD" w:rsidRPr="003B58A6" w:rsidRDefault="00D341CD" w:rsidP="00B644F9">
            <w:pPr>
              <w:rPr>
                <w:b w:val="0"/>
                <w:bCs w:val="0"/>
                <w:sz w:val="18"/>
                <w:szCs w:val="18"/>
              </w:rPr>
            </w:pPr>
            <w:r w:rsidRPr="003B58A6">
              <w:rPr>
                <w:b w:val="0"/>
                <w:bCs w:val="0"/>
                <w:sz w:val="18"/>
                <w:szCs w:val="18"/>
              </w:rPr>
              <w:t>15</w:t>
            </w:r>
          </w:p>
        </w:tc>
        <w:tc>
          <w:tcPr>
            <w:tcW w:w="8607" w:type="dxa"/>
          </w:tcPr>
          <w:p w14:paraId="544CE7BC"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 xml:space="preserve">((holstein-lewis or jefferson or clay-shoveler or holdsworth or hume or essex-lopresti or galeazzi or colles? or smith* or barton* or monteggia or rolando or bennett* or boxer* or </w:t>
            </w:r>
            <w:r w:rsidRPr="003B58A6">
              <w:rPr>
                <w:noProof/>
                <w:sz w:val="18"/>
                <w:szCs w:val="18"/>
              </w:rPr>
              <w:t>duverney</w:t>
            </w:r>
            <w:r w:rsidRPr="003B58A6">
              <w:rPr>
                <w:sz w:val="18"/>
                <w:szCs w:val="18"/>
              </w:rPr>
              <w:t xml:space="preserve"> or pilon or </w:t>
            </w:r>
            <w:r w:rsidRPr="003B58A6">
              <w:rPr>
                <w:noProof/>
                <w:sz w:val="18"/>
                <w:szCs w:val="18"/>
              </w:rPr>
              <w:t>bumper or segond or gosselin or toddler* or</w:t>
            </w:r>
            <w:r w:rsidRPr="003B58A6">
              <w:rPr>
                <w:sz w:val="18"/>
                <w:szCs w:val="18"/>
              </w:rPr>
              <w:t xml:space="preserve"> bosworth or maisonneuve or "le fort" or pott* or lisfranc or jones or march) adj3 fracture*).ti,ab,kf.</w:t>
            </w:r>
            <w:r w:rsidRPr="003B58A6">
              <w:rPr>
                <w:sz w:val="18"/>
                <w:szCs w:val="18"/>
              </w:rPr>
              <w:tab/>
            </w:r>
          </w:p>
        </w:tc>
      </w:tr>
      <w:tr w:rsidR="00D341CD" w:rsidRPr="003B58A6" w14:paraId="461041F7"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5E7F0C42" w14:textId="77777777" w:rsidR="00D341CD" w:rsidRPr="003B58A6" w:rsidRDefault="00D341CD" w:rsidP="00B644F9">
            <w:pPr>
              <w:rPr>
                <w:b w:val="0"/>
                <w:bCs w:val="0"/>
                <w:sz w:val="18"/>
                <w:szCs w:val="18"/>
              </w:rPr>
            </w:pPr>
            <w:r w:rsidRPr="003B58A6">
              <w:rPr>
                <w:b w:val="0"/>
                <w:bCs w:val="0"/>
                <w:sz w:val="18"/>
                <w:szCs w:val="18"/>
              </w:rPr>
              <w:t>16</w:t>
            </w:r>
          </w:p>
        </w:tc>
        <w:tc>
          <w:tcPr>
            <w:tcW w:w="8607" w:type="dxa"/>
          </w:tcPr>
          <w:p w14:paraId="4B0626ED"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 xml:space="preserve">((skull or mandibular or nasal or cervical or rib? or sternal or shoulder? </w:t>
            </w:r>
            <w:r w:rsidRPr="003B58A6">
              <w:rPr>
                <w:noProof/>
                <w:sz w:val="18"/>
                <w:szCs w:val="18"/>
              </w:rPr>
              <w:t>or</w:t>
            </w:r>
            <w:r w:rsidRPr="003B58A6">
              <w:rPr>
                <w:sz w:val="18"/>
                <w:szCs w:val="18"/>
              </w:rPr>
              <w:t xml:space="preserve"> arm? or humerus or forearm? </w:t>
            </w:r>
            <w:r w:rsidRPr="003B58A6">
              <w:rPr>
                <w:noProof/>
                <w:sz w:val="18"/>
                <w:szCs w:val="18"/>
              </w:rPr>
              <w:t>or</w:t>
            </w:r>
            <w:r w:rsidRPr="003B58A6">
              <w:rPr>
                <w:sz w:val="18"/>
                <w:szCs w:val="18"/>
              </w:rPr>
              <w:t xml:space="preserve"> ulnar or radius or distal or scaphoid or pelvic or femoral or patella or crus or tibia? or trimalleolar or calcaneal or bimalleolar) adj3 fracture*).ti,ab,</w:t>
            </w:r>
            <w:r w:rsidRPr="003B58A6">
              <w:rPr>
                <w:noProof/>
                <w:sz w:val="18"/>
                <w:szCs w:val="18"/>
              </w:rPr>
              <w:t>kf</w:t>
            </w:r>
            <w:r w:rsidRPr="003B58A6">
              <w:rPr>
                <w:sz w:val="18"/>
                <w:szCs w:val="18"/>
              </w:rPr>
              <w:t>.</w:t>
            </w:r>
            <w:r w:rsidRPr="003B58A6">
              <w:rPr>
                <w:sz w:val="18"/>
                <w:szCs w:val="18"/>
              </w:rPr>
              <w:tab/>
            </w:r>
          </w:p>
        </w:tc>
      </w:tr>
      <w:tr w:rsidR="00D341CD" w:rsidRPr="003B58A6" w14:paraId="1745B2FB"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78BF81D6" w14:textId="77777777" w:rsidR="00D341CD" w:rsidRPr="003B58A6" w:rsidRDefault="00D341CD" w:rsidP="00B644F9">
            <w:pPr>
              <w:rPr>
                <w:b w:val="0"/>
                <w:bCs w:val="0"/>
                <w:sz w:val="18"/>
                <w:szCs w:val="18"/>
              </w:rPr>
            </w:pPr>
            <w:r w:rsidRPr="003B58A6">
              <w:rPr>
                <w:b w:val="0"/>
                <w:bCs w:val="0"/>
                <w:sz w:val="18"/>
                <w:szCs w:val="18"/>
              </w:rPr>
              <w:t>17</w:t>
            </w:r>
          </w:p>
        </w:tc>
        <w:tc>
          <w:tcPr>
            <w:tcW w:w="8607" w:type="dxa"/>
          </w:tcPr>
          <w:p w14:paraId="65E4D82A"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or/7-16</w:t>
            </w:r>
            <w:r w:rsidRPr="003B58A6">
              <w:rPr>
                <w:sz w:val="18"/>
                <w:szCs w:val="18"/>
              </w:rPr>
              <w:tab/>
            </w:r>
          </w:p>
        </w:tc>
      </w:tr>
      <w:tr w:rsidR="00D341CD" w:rsidRPr="003B58A6" w14:paraId="17EB504D"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67EFF3FD" w14:textId="77777777" w:rsidR="00D341CD" w:rsidRPr="003B58A6" w:rsidRDefault="00D341CD" w:rsidP="00B644F9">
            <w:pPr>
              <w:rPr>
                <w:b w:val="0"/>
                <w:bCs w:val="0"/>
                <w:sz w:val="18"/>
                <w:szCs w:val="18"/>
              </w:rPr>
            </w:pPr>
            <w:r w:rsidRPr="003B58A6">
              <w:rPr>
                <w:b w:val="0"/>
                <w:bCs w:val="0"/>
                <w:sz w:val="18"/>
                <w:szCs w:val="18"/>
              </w:rPr>
              <w:t>18</w:t>
            </w:r>
          </w:p>
        </w:tc>
        <w:tc>
          <w:tcPr>
            <w:tcW w:w="8607" w:type="dxa"/>
          </w:tcPr>
          <w:p w14:paraId="7B702293" w14:textId="77777777" w:rsidR="00D341CD" w:rsidRPr="003B58A6" w:rsidRDefault="00D341CD"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6 and 17</w:t>
            </w:r>
            <w:r w:rsidRPr="003B58A6">
              <w:rPr>
                <w:sz w:val="18"/>
                <w:szCs w:val="18"/>
              </w:rPr>
              <w:tab/>
            </w:r>
          </w:p>
        </w:tc>
      </w:tr>
      <w:tr w:rsidR="00D341CD" w:rsidRPr="003B58A6" w14:paraId="6EEBDCC9"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397446DB" w14:textId="77777777" w:rsidR="00D341CD" w:rsidRPr="003B58A6" w:rsidRDefault="00D341CD" w:rsidP="00B644F9">
            <w:pPr>
              <w:rPr>
                <w:b w:val="0"/>
                <w:bCs w:val="0"/>
                <w:sz w:val="18"/>
                <w:szCs w:val="18"/>
              </w:rPr>
            </w:pPr>
            <w:r w:rsidRPr="003B58A6">
              <w:rPr>
                <w:b w:val="0"/>
                <w:bCs w:val="0"/>
                <w:sz w:val="18"/>
                <w:szCs w:val="18"/>
              </w:rPr>
              <w:t>19</w:t>
            </w:r>
          </w:p>
        </w:tc>
        <w:tc>
          <w:tcPr>
            <w:tcW w:w="8607" w:type="dxa"/>
          </w:tcPr>
          <w:p w14:paraId="3CCF11D5" w14:textId="77777777" w:rsidR="00D341CD" w:rsidRPr="003B58A6" w:rsidRDefault="00D341CD"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18 not (humans/ not (humans/ and animals/))</w:t>
            </w:r>
          </w:p>
        </w:tc>
      </w:tr>
      <w:tr w:rsidR="00CA16D0" w:rsidRPr="003B58A6" w14:paraId="0B305614"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3"/>
          </w:tcPr>
          <w:p w14:paraId="722B78E7" w14:textId="6BE4F914" w:rsidR="00CA16D0" w:rsidRPr="003B58A6" w:rsidRDefault="00CA16D0" w:rsidP="00B644F9">
            <w:pPr>
              <w:rPr>
                <w:b w:val="0"/>
                <w:bCs w:val="0"/>
                <w:sz w:val="18"/>
                <w:szCs w:val="18"/>
              </w:rPr>
            </w:pPr>
            <w:r w:rsidRPr="003B58A6">
              <w:rPr>
                <w:b w:val="0"/>
                <w:bCs w:val="0"/>
                <w:sz w:val="18"/>
                <w:szCs w:val="18"/>
              </w:rPr>
              <w:t xml:space="preserve">COCHRANE LIBRARY/DARE/CENTRAL ( started from    </w:t>
            </w:r>
          </w:p>
          <w:p w14:paraId="78AC75CE" w14:textId="644625F8" w:rsidR="00CA16D0" w:rsidRPr="003B58A6" w:rsidRDefault="00CA16D0" w:rsidP="00B644F9">
            <w:pPr>
              <w:rPr>
                <w:b w:val="0"/>
                <w:bCs w:val="0"/>
                <w:sz w:val="18"/>
                <w:szCs w:val="18"/>
              </w:rPr>
            </w:pPr>
            <w:r w:rsidRPr="003B58A6">
              <w:rPr>
                <w:b w:val="0"/>
                <w:bCs w:val="0"/>
                <w:sz w:val="18"/>
                <w:szCs w:val="18"/>
              </w:rPr>
              <w:t>(All keyword searches are "All Text")</w:t>
            </w:r>
          </w:p>
        </w:tc>
      </w:tr>
      <w:tr w:rsidR="00CA16D0" w:rsidRPr="003B58A6" w14:paraId="00992273"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1F4C149C" w14:textId="7A9EFDC9" w:rsidR="00CA16D0" w:rsidRPr="003B58A6" w:rsidRDefault="00CA16D0" w:rsidP="00B644F9">
            <w:pPr>
              <w:rPr>
                <w:b w:val="0"/>
                <w:bCs w:val="0"/>
                <w:sz w:val="18"/>
                <w:szCs w:val="18"/>
              </w:rPr>
            </w:pPr>
            <w:r w:rsidRPr="003B58A6">
              <w:rPr>
                <w:b w:val="0"/>
                <w:bCs w:val="0"/>
                <w:sz w:val="18"/>
                <w:szCs w:val="18"/>
              </w:rPr>
              <w:t>1</w:t>
            </w:r>
          </w:p>
        </w:tc>
        <w:tc>
          <w:tcPr>
            <w:tcW w:w="8607" w:type="dxa"/>
          </w:tcPr>
          <w:p w14:paraId="44BF7931" w14:textId="3F1479FA"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MeSH descriptor: [Anti-Inflammatory Agents, Non-Steroidal] explode all trees</w:t>
            </w:r>
          </w:p>
        </w:tc>
      </w:tr>
      <w:tr w:rsidR="00CA16D0" w:rsidRPr="003B58A6" w14:paraId="7B40BA53"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71093587" w14:textId="407AEEBF" w:rsidR="00CA16D0" w:rsidRPr="003B58A6" w:rsidRDefault="00CA16D0" w:rsidP="00B644F9">
            <w:pPr>
              <w:rPr>
                <w:b w:val="0"/>
                <w:bCs w:val="0"/>
                <w:sz w:val="18"/>
                <w:szCs w:val="18"/>
              </w:rPr>
            </w:pPr>
            <w:r w:rsidRPr="003B58A6">
              <w:rPr>
                <w:b w:val="0"/>
                <w:bCs w:val="0"/>
                <w:sz w:val="18"/>
                <w:szCs w:val="18"/>
              </w:rPr>
              <w:t>2</w:t>
            </w:r>
          </w:p>
        </w:tc>
        <w:tc>
          <w:tcPr>
            <w:tcW w:w="8607" w:type="dxa"/>
          </w:tcPr>
          <w:p w14:paraId="0957756E" w14:textId="0F982ECF"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(non-steroid* NEAR/3 (inflammat* or anti-inflammat* or antiinflammat*))</w:t>
            </w:r>
          </w:p>
        </w:tc>
      </w:tr>
      <w:tr w:rsidR="00CA16D0" w:rsidRPr="003B58A6" w14:paraId="1F8B16A4"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27F7485F" w14:textId="4725F06D" w:rsidR="00CA16D0" w:rsidRPr="003B58A6" w:rsidRDefault="00CA16D0" w:rsidP="00B644F9">
            <w:pPr>
              <w:rPr>
                <w:b w:val="0"/>
                <w:bCs w:val="0"/>
                <w:sz w:val="18"/>
                <w:szCs w:val="18"/>
              </w:rPr>
            </w:pPr>
            <w:r w:rsidRPr="003B58A6">
              <w:rPr>
                <w:b w:val="0"/>
                <w:bCs w:val="0"/>
                <w:sz w:val="18"/>
                <w:szCs w:val="18"/>
              </w:rPr>
              <w:t>3</w:t>
            </w:r>
          </w:p>
        </w:tc>
        <w:tc>
          <w:tcPr>
            <w:tcW w:w="8607" w:type="dxa"/>
          </w:tcPr>
          <w:p w14:paraId="54A02A7E" w14:textId="5C487D82"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((cyclooxygenase or cyclo-oxygenase or COX-2) NEAR/1 (inhibit* or attenuat*))</w:t>
            </w:r>
          </w:p>
        </w:tc>
      </w:tr>
      <w:tr w:rsidR="00CA16D0" w:rsidRPr="003B58A6" w14:paraId="5669561A"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3BFE7B64" w14:textId="158553AD" w:rsidR="00CA16D0" w:rsidRPr="003B58A6" w:rsidRDefault="00CA16D0" w:rsidP="00B644F9">
            <w:pPr>
              <w:rPr>
                <w:b w:val="0"/>
                <w:bCs w:val="0"/>
                <w:sz w:val="18"/>
                <w:szCs w:val="18"/>
              </w:rPr>
            </w:pPr>
            <w:r w:rsidRPr="003B58A6">
              <w:rPr>
                <w:b w:val="0"/>
                <w:bCs w:val="0"/>
                <w:sz w:val="18"/>
                <w:szCs w:val="18"/>
              </w:rPr>
              <w:t>4</w:t>
            </w:r>
          </w:p>
        </w:tc>
        <w:tc>
          <w:tcPr>
            <w:tcW w:w="8607" w:type="dxa"/>
          </w:tcPr>
          <w:p w14:paraId="2CD0841F" w14:textId="6403DAE9"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(adapalene or ampyrone or antipyrine or apazone or aspirin or bufexamac or carprofen or celecoxib or clonixin or curcumin or diclofenac or diflunisal or dipyrone or epirizole or etanercept or etodolac or fenoprofen or feprazone or flurbiprofen or ibuprofen or indomethacin or ketoprofen or ketorolac or masoprocol or meclofenamic or mefenamic or mesalamine or naproxen or niflumic or olopatadine or oxyphenbutazone or phenylbutazone or piroxicam or salicylate* or sulfasalazine or sulindac or suprofen or tolmetin)</w:t>
            </w:r>
          </w:p>
        </w:tc>
      </w:tr>
      <w:tr w:rsidR="00CA16D0" w:rsidRPr="003B58A6" w14:paraId="30977749"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02398CA4" w14:textId="36E7D1AA" w:rsidR="00CA16D0" w:rsidRPr="003B58A6" w:rsidRDefault="00CA16D0" w:rsidP="00B644F9">
            <w:pPr>
              <w:rPr>
                <w:b w:val="0"/>
                <w:bCs w:val="0"/>
                <w:sz w:val="18"/>
                <w:szCs w:val="18"/>
              </w:rPr>
            </w:pPr>
            <w:r w:rsidRPr="003B58A6">
              <w:rPr>
                <w:b w:val="0"/>
                <w:bCs w:val="0"/>
                <w:sz w:val="18"/>
                <w:szCs w:val="18"/>
              </w:rPr>
              <w:t>5</w:t>
            </w:r>
          </w:p>
        </w:tc>
        <w:tc>
          <w:tcPr>
            <w:tcW w:w="8607" w:type="dxa"/>
          </w:tcPr>
          <w:p w14:paraId="74D5291F" w14:textId="02F21210"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(NSAID? or tactupump or galderma or differin or auralgan or paladin or salicylic or floctafenine or meloxicam or nabumetone or napafenac or oxaprozin or tenoxicam or tiaprofenic)</w:t>
            </w:r>
          </w:p>
        </w:tc>
      </w:tr>
      <w:tr w:rsidR="00CA16D0" w:rsidRPr="003B58A6" w14:paraId="03D7E769"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5385B073" w14:textId="76633AF9" w:rsidR="00CA16D0" w:rsidRPr="003B58A6" w:rsidRDefault="00CA16D0" w:rsidP="00B644F9">
            <w:pPr>
              <w:rPr>
                <w:b w:val="0"/>
                <w:bCs w:val="0"/>
                <w:sz w:val="18"/>
                <w:szCs w:val="18"/>
              </w:rPr>
            </w:pPr>
            <w:r w:rsidRPr="003B58A6">
              <w:rPr>
                <w:b w:val="0"/>
                <w:bCs w:val="0"/>
                <w:sz w:val="18"/>
                <w:szCs w:val="18"/>
              </w:rPr>
              <w:t>6</w:t>
            </w:r>
          </w:p>
        </w:tc>
        <w:tc>
          <w:tcPr>
            <w:tcW w:w="8607" w:type="dxa"/>
          </w:tcPr>
          <w:p w14:paraId="4ACF0AA3" w14:textId="1BAB9521"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#1 OR #2 OR #3 OR #4 OR #5</w:t>
            </w:r>
          </w:p>
        </w:tc>
      </w:tr>
      <w:tr w:rsidR="00CA16D0" w:rsidRPr="003B58A6" w14:paraId="3824FEC4"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0D72D46B" w14:textId="57DA68F4" w:rsidR="00CA16D0" w:rsidRPr="003B58A6" w:rsidRDefault="00CA16D0" w:rsidP="00B644F9">
            <w:pPr>
              <w:rPr>
                <w:b w:val="0"/>
                <w:bCs w:val="0"/>
                <w:sz w:val="18"/>
                <w:szCs w:val="18"/>
              </w:rPr>
            </w:pPr>
            <w:r w:rsidRPr="003B58A6">
              <w:rPr>
                <w:b w:val="0"/>
                <w:bCs w:val="0"/>
                <w:sz w:val="18"/>
                <w:szCs w:val="18"/>
              </w:rPr>
              <w:t>7</w:t>
            </w:r>
          </w:p>
        </w:tc>
        <w:tc>
          <w:tcPr>
            <w:tcW w:w="8607" w:type="dxa"/>
          </w:tcPr>
          <w:p w14:paraId="094BB32A" w14:textId="2084D800"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MeSH descriptor: [Fractures, Bone] explode all trees</w:t>
            </w:r>
          </w:p>
        </w:tc>
      </w:tr>
      <w:tr w:rsidR="00CA16D0" w:rsidRPr="003B58A6" w14:paraId="5C7A05C0"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329C156A" w14:textId="70F93446" w:rsidR="00CA16D0" w:rsidRPr="003B58A6" w:rsidRDefault="00CA16D0" w:rsidP="00B644F9">
            <w:pPr>
              <w:rPr>
                <w:b w:val="0"/>
                <w:bCs w:val="0"/>
                <w:sz w:val="18"/>
                <w:szCs w:val="18"/>
              </w:rPr>
            </w:pPr>
            <w:r w:rsidRPr="003B58A6">
              <w:rPr>
                <w:b w:val="0"/>
                <w:bCs w:val="0"/>
                <w:sz w:val="18"/>
                <w:szCs w:val="18"/>
              </w:rPr>
              <w:t>8</w:t>
            </w:r>
          </w:p>
        </w:tc>
        <w:tc>
          <w:tcPr>
            <w:tcW w:w="8607" w:type="dxa"/>
          </w:tcPr>
          <w:p w14:paraId="28EE63DE" w14:textId="235F4DA5"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MeSH descriptor: [Bone and Bones] explode all trees</w:t>
            </w:r>
          </w:p>
        </w:tc>
      </w:tr>
      <w:tr w:rsidR="00CA16D0" w:rsidRPr="003B58A6" w14:paraId="163CC361"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62C68475" w14:textId="23576741" w:rsidR="00CA16D0" w:rsidRPr="003B58A6" w:rsidRDefault="00CA16D0" w:rsidP="00B644F9">
            <w:pPr>
              <w:rPr>
                <w:b w:val="0"/>
                <w:bCs w:val="0"/>
                <w:sz w:val="18"/>
                <w:szCs w:val="18"/>
              </w:rPr>
            </w:pPr>
            <w:r w:rsidRPr="003B58A6">
              <w:rPr>
                <w:b w:val="0"/>
                <w:bCs w:val="0"/>
                <w:sz w:val="18"/>
                <w:szCs w:val="18"/>
              </w:rPr>
              <w:t>9</w:t>
            </w:r>
          </w:p>
        </w:tc>
        <w:tc>
          <w:tcPr>
            <w:tcW w:w="8607" w:type="dxa"/>
          </w:tcPr>
          <w:p w14:paraId="74D47942" w14:textId="1A327E06"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MeSH descriptor: [Fracture Healing] explode all trees</w:t>
            </w:r>
          </w:p>
        </w:tc>
      </w:tr>
      <w:tr w:rsidR="00CA16D0" w:rsidRPr="003B58A6" w14:paraId="2234BED2"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38343E7F" w14:textId="6909949C" w:rsidR="00CA16D0" w:rsidRPr="003B58A6" w:rsidRDefault="00CA16D0" w:rsidP="00B644F9">
            <w:pPr>
              <w:rPr>
                <w:b w:val="0"/>
                <w:bCs w:val="0"/>
                <w:sz w:val="18"/>
                <w:szCs w:val="18"/>
              </w:rPr>
            </w:pPr>
            <w:r w:rsidRPr="003B58A6">
              <w:rPr>
                <w:b w:val="0"/>
                <w:bCs w:val="0"/>
                <w:sz w:val="18"/>
                <w:szCs w:val="18"/>
              </w:rPr>
              <w:t>10</w:t>
            </w:r>
          </w:p>
        </w:tc>
        <w:tc>
          <w:tcPr>
            <w:tcW w:w="8607" w:type="dxa"/>
          </w:tcPr>
          <w:p w14:paraId="474E4EE0" w14:textId="1E195FCF"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MeSH descriptor: [Bone Remodeling] explode all trees</w:t>
            </w:r>
          </w:p>
        </w:tc>
      </w:tr>
      <w:tr w:rsidR="00CA16D0" w:rsidRPr="003B58A6" w14:paraId="03B0DBEC"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22F2F330" w14:textId="4FF0AAC7" w:rsidR="00CA16D0" w:rsidRPr="003B58A6" w:rsidRDefault="00CA16D0" w:rsidP="00B644F9">
            <w:pPr>
              <w:rPr>
                <w:b w:val="0"/>
                <w:bCs w:val="0"/>
                <w:sz w:val="18"/>
                <w:szCs w:val="18"/>
              </w:rPr>
            </w:pPr>
            <w:r w:rsidRPr="003B58A6">
              <w:rPr>
                <w:b w:val="0"/>
                <w:bCs w:val="0"/>
                <w:sz w:val="18"/>
                <w:szCs w:val="18"/>
              </w:rPr>
              <w:lastRenderedPageBreak/>
              <w:t>11</w:t>
            </w:r>
          </w:p>
        </w:tc>
        <w:tc>
          <w:tcPr>
            <w:tcW w:w="8607" w:type="dxa"/>
          </w:tcPr>
          <w:p w14:paraId="5D6841CA" w14:textId="4E7D4172"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MeSH descriptor: [Bone Density] explode all trees</w:t>
            </w:r>
          </w:p>
        </w:tc>
      </w:tr>
      <w:tr w:rsidR="00CA16D0" w:rsidRPr="003B58A6" w14:paraId="1AED7F12"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3DC0F67C" w14:textId="1652A2DF" w:rsidR="00CA16D0" w:rsidRPr="003B58A6" w:rsidRDefault="00CA16D0" w:rsidP="00B644F9">
            <w:pPr>
              <w:rPr>
                <w:b w:val="0"/>
                <w:bCs w:val="0"/>
                <w:sz w:val="18"/>
                <w:szCs w:val="18"/>
              </w:rPr>
            </w:pPr>
            <w:r w:rsidRPr="003B58A6">
              <w:rPr>
                <w:b w:val="0"/>
                <w:bCs w:val="0"/>
                <w:sz w:val="18"/>
                <w:szCs w:val="18"/>
              </w:rPr>
              <w:t>12</w:t>
            </w:r>
          </w:p>
        </w:tc>
        <w:tc>
          <w:tcPr>
            <w:tcW w:w="8607" w:type="dxa"/>
          </w:tcPr>
          <w:p w14:paraId="2EBCC565" w14:textId="36448390"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(bone NEAR/3 (broken or fracture* or remodel* or regenerat* or density))</w:t>
            </w:r>
          </w:p>
        </w:tc>
      </w:tr>
      <w:tr w:rsidR="00CA16D0" w:rsidRPr="003B58A6" w14:paraId="64924AE9"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7DF2C81E" w14:textId="3BD50DCE" w:rsidR="00CA16D0" w:rsidRPr="003B58A6" w:rsidRDefault="00CA16D0" w:rsidP="00B644F9">
            <w:pPr>
              <w:rPr>
                <w:b w:val="0"/>
                <w:bCs w:val="0"/>
                <w:sz w:val="18"/>
                <w:szCs w:val="18"/>
              </w:rPr>
            </w:pPr>
            <w:r w:rsidRPr="003B58A6">
              <w:rPr>
                <w:b w:val="0"/>
                <w:bCs w:val="0"/>
                <w:sz w:val="18"/>
                <w:szCs w:val="18"/>
              </w:rPr>
              <w:t>13</w:t>
            </w:r>
          </w:p>
        </w:tc>
        <w:tc>
          <w:tcPr>
            <w:tcW w:w="8607" w:type="dxa"/>
          </w:tcPr>
          <w:p w14:paraId="65F43496" w14:textId="7D77FA49"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((fracture? or bone?) NEAR/3 heal*)</w:t>
            </w:r>
          </w:p>
        </w:tc>
      </w:tr>
      <w:tr w:rsidR="00CA16D0" w:rsidRPr="003B58A6" w14:paraId="5BEF587E"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25076F8C" w14:textId="6D3EE247" w:rsidR="00CA16D0" w:rsidRPr="003B58A6" w:rsidRDefault="00CA16D0" w:rsidP="00B644F9">
            <w:pPr>
              <w:rPr>
                <w:b w:val="0"/>
                <w:bCs w:val="0"/>
                <w:sz w:val="18"/>
                <w:szCs w:val="18"/>
              </w:rPr>
            </w:pPr>
            <w:r w:rsidRPr="003B58A6">
              <w:rPr>
                <w:b w:val="0"/>
                <w:bCs w:val="0"/>
                <w:sz w:val="18"/>
                <w:szCs w:val="18"/>
              </w:rPr>
              <w:t>14</w:t>
            </w:r>
          </w:p>
        </w:tc>
        <w:tc>
          <w:tcPr>
            <w:tcW w:w="8607" w:type="dxa"/>
          </w:tcPr>
          <w:p w14:paraId="294F229B" w14:textId="7EC9AD97"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((displace* or open or closed or comminuted or greenstick or transverse or oblique or buckled or pathologic or stress or hairline or compound or traumatic or periprosthetic or linear or spiral or compression or avulsion or impacted or burst or chance or flexion or supracondylar) NEAR/3 fracture*)</w:t>
            </w:r>
          </w:p>
        </w:tc>
      </w:tr>
      <w:tr w:rsidR="00CA16D0" w:rsidRPr="003B58A6" w14:paraId="174B4E3A"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081387BF" w14:textId="459F381C" w:rsidR="00CA16D0" w:rsidRPr="003B58A6" w:rsidRDefault="00CA16D0" w:rsidP="00B644F9">
            <w:pPr>
              <w:rPr>
                <w:b w:val="0"/>
                <w:bCs w:val="0"/>
                <w:sz w:val="18"/>
                <w:szCs w:val="18"/>
              </w:rPr>
            </w:pPr>
            <w:r w:rsidRPr="003B58A6">
              <w:rPr>
                <w:b w:val="0"/>
                <w:bCs w:val="0"/>
                <w:sz w:val="18"/>
                <w:szCs w:val="18"/>
              </w:rPr>
              <w:t>15</w:t>
            </w:r>
          </w:p>
        </w:tc>
        <w:tc>
          <w:tcPr>
            <w:tcW w:w="8607" w:type="dxa"/>
          </w:tcPr>
          <w:p w14:paraId="704B6414" w14:textId="1A15696D"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((holstein-lewis or jefferson or clay-shoveler or holdsworth or hume or essex-lopresti or galeazzi or colles? or smith* or barton* or monteggia or rolando or bennett* or boxer* or duverney or pilon or bumper or segond or gosselin or toddler* or bosworth or maisonneuve or "le fort" or pott* or lisfranc or jones or march) NEAR/3 fracture*)</w:t>
            </w:r>
          </w:p>
        </w:tc>
      </w:tr>
      <w:tr w:rsidR="00CA16D0" w:rsidRPr="003B58A6" w14:paraId="2D9EE705"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172C18A5" w14:textId="74FA48ED" w:rsidR="00CA16D0" w:rsidRPr="003B58A6" w:rsidRDefault="00CA16D0" w:rsidP="00B644F9">
            <w:pPr>
              <w:rPr>
                <w:b w:val="0"/>
                <w:bCs w:val="0"/>
                <w:sz w:val="18"/>
                <w:szCs w:val="18"/>
              </w:rPr>
            </w:pPr>
            <w:r w:rsidRPr="003B58A6">
              <w:rPr>
                <w:b w:val="0"/>
                <w:bCs w:val="0"/>
                <w:sz w:val="18"/>
                <w:szCs w:val="18"/>
              </w:rPr>
              <w:t>16</w:t>
            </w:r>
          </w:p>
        </w:tc>
        <w:tc>
          <w:tcPr>
            <w:tcW w:w="8607" w:type="dxa"/>
          </w:tcPr>
          <w:p w14:paraId="11BA280B" w14:textId="427A3FE8"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((skull or mandibular or nasal or cervical or rib? or sternal or shoulder? or arm? or humerus or forearm? or ulnar or radius or distal or scaphoid or pelvic or femoral or patella or crus or tibia? or trimalleolar or calcaneal or bimalleolar) NEAR/3 fracture*)</w:t>
            </w:r>
          </w:p>
        </w:tc>
      </w:tr>
      <w:tr w:rsidR="00CA16D0" w:rsidRPr="003B58A6" w14:paraId="2DD4E51A"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513859F8" w14:textId="039F5E51" w:rsidR="00CA16D0" w:rsidRPr="003B58A6" w:rsidRDefault="00CA16D0" w:rsidP="00B644F9">
            <w:pPr>
              <w:rPr>
                <w:b w:val="0"/>
                <w:bCs w:val="0"/>
                <w:sz w:val="18"/>
                <w:szCs w:val="18"/>
              </w:rPr>
            </w:pPr>
            <w:r w:rsidRPr="003B58A6">
              <w:rPr>
                <w:b w:val="0"/>
                <w:bCs w:val="0"/>
                <w:sz w:val="18"/>
                <w:szCs w:val="18"/>
              </w:rPr>
              <w:t>17</w:t>
            </w:r>
          </w:p>
        </w:tc>
        <w:tc>
          <w:tcPr>
            <w:tcW w:w="8607" w:type="dxa"/>
          </w:tcPr>
          <w:p w14:paraId="79E052C9" w14:textId="66F281CB" w:rsidR="00CA16D0" w:rsidRPr="003B58A6" w:rsidRDefault="00CA16D0"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rPr>
              <w:t>#7 OR #8 OR #9 OR #10 OR #11 OR #12 OR #13 OR #14 OR #15 OR #16</w:t>
            </w:r>
          </w:p>
        </w:tc>
      </w:tr>
      <w:tr w:rsidR="00CA16D0" w:rsidRPr="003B58A6" w14:paraId="16863ACB"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42201690" w14:textId="461E147A" w:rsidR="00CA16D0" w:rsidRPr="003B58A6" w:rsidRDefault="00CA16D0" w:rsidP="00B644F9">
            <w:pPr>
              <w:rPr>
                <w:b w:val="0"/>
                <w:bCs w:val="0"/>
                <w:sz w:val="18"/>
                <w:szCs w:val="18"/>
              </w:rPr>
            </w:pPr>
            <w:r w:rsidRPr="003B58A6">
              <w:rPr>
                <w:b w:val="0"/>
                <w:bCs w:val="0"/>
                <w:sz w:val="18"/>
                <w:szCs w:val="18"/>
              </w:rPr>
              <w:t>18</w:t>
            </w:r>
          </w:p>
        </w:tc>
        <w:tc>
          <w:tcPr>
            <w:tcW w:w="8607" w:type="dxa"/>
          </w:tcPr>
          <w:p w14:paraId="640E6003" w14:textId="006A32C6" w:rsidR="00CA16D0" w:rsidRPr="003B58A6" w:rsidRDefault="00CA16D0"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#6 AND #17</w:t>
            </w:r>
          </w:p>
        </w:tc>
      </w:tr>
      <w:tr w:rsidR="005109B8" w:rsidRPr="003B58A6" w14:paraId="6B20E047" w14:textId="77777777" w:rsidTr="003B58A6">
        <w:tc>
          <w:tcPr>
            <w:cnfStyle w:val="001000000000" w:firstRow="0" w:lastRow="0" w:firstColumn="1" w:lastColumn="0" w:oddVBand="0" w:evenVBand="0" w:oddHBand="0" w:evenHBand="0" w:firstRowFirstColumn="0" w:firstRowLastColumn="0" w:lastRowFirstColumn="0" w:lastRowLastColumn="0"/>
            <w:tcW w:w="9350" w:type="dxa"/>
            <w:gridSpan w:val="3"/>
          </w:tcPr>
          <w:p w14:paraId="18AE207B" w14:textId="3B3D8B17" w:rsidR="005109B8" w:rsidRPr="003B58A6" w:rsidRDefault="005109B8" w:rsidP="00B644F9">
            <w:pPr>
              <w:rPr>
                <w:b w:val="0"/>
                <w:bCs w:val="0"/>
                <w:sz w:val="18"/>
                <w:szCs w:val="18"/>
              </w:rPr>
            </w:pPr>
            <w:r w:rsidRPr="003B58A6">
              <w:rPr>
                <w:b w:val="0"/>
                <w:bCs w:val="0"/>
                <w:sz w:val="18"/>
                <w:szCs w:val="18"/>
                <w:lang w:eastAsia="en-GB"/>
              </w:rPr>
              <w:t>EMBASE (OVID)</w:t>
            </w:r>
          </w:p>
        </w:tc>
      </w:tr>
      <w:tr w:rsidR="005109B8" w:rsidRPr="003B58A6" w14:paraId="1F2F377C"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75C232E4" w14:textId="3568CB11" w:rsidR="005109B8" w:rsidRPr="003B58A6" w:rsidRDefault="005109B8" w:rsidP="00B644F9">
            <w:pPr>
              <w:rPr>
                <w:b w:val="0"/>
                <w:bCs w:val="0"/>
                <w:sz w:val="18"/>
                <w:szCs w:val="18"/>
              </w:rPr>
            </w:pPr>
            <w:r w:rsidRPr="003B58A6">
              <w:rPr>
                <w:b w:val="0"/>
                <w:bCs w:val="0"/>
                <w:sz w:val="18"/>
                <w:szCs w:val="18"/>
              </w:rPr>
              <w:t>1</w:t>
            </w:r>
          </w:p>
        </w:tc>
        <w:tc>
          <w:tcPr>
            <w:tcW w:w="8607" w:type="dxa"/>
          </w:tcPr>
          <w:p w14:paraId="36275D33" w14:textId="125F8C45"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exp nonsteroid antiinflammatory agent/</w:t>
            </w:r>
          </w:p>
        </w:tc>
      </w:tr>
      <w:tr w:rsidR="005109B8" w:rsidRPr="003B58A6" w14:paraId="189DF6C1"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1CA8C978" w14:textId="789532F2" w:rsidR="005109B8" w:rsidRPr="003B58A6" w:rsidRDefault="005109B8" w:rsidP="00B644F9">
            <w:pPr>
              <w:rPr>
                <w:b w:val="0"/>
                <w:bCs w:val="0"/>
                <w:sz w:val="18"/>
                <w:szCs w:val="18"/>
              </w:rPr>
            </w:pPr>
            <w:r w:rsidRPr="003B58A6">
              <w:rPr>
                <w:b w:val="0"/>
                <w:bCs w:val="0"/>
                <w:sz w:val="18"/>
                <w:szCs w:val="18"/>
              </w:rPr>
              <w:t>2</w:t>
            </w:r>
          </w:p>
        </w:tc>
        <w:tc>
          <w:tcPr>
            <w:tcW w:w="8607" w:type="dxa"/>
          </w:tcPr>
          <w:p w14:paraId="1245BE30" w14:textId="4A8266FA"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exp prostaglandin synthase inhibitor/</w:t>
            </w:r>
          </w:p>
        </w:tc>
      </w:tr>
      <w:tr w:rsidR="005109B8" w:rsidRPr="003B58A6" w14:paraId="5281FCBF"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50C12248" w14:textId="0ED055D8" w:rsidR="005109B8" w:rsidRPr="003B58A6" w:rsidRDefault="005109B8" w:rsidP="00B644F9">
            <w:pPr>
              <w:rPr>
                <w:b w:val="0"/>
                <w:bCs w:val="0"/>
                <w:sz w:val="18"/>
                <w:szCs w:val="18"/>
              </w:rPr>
            </w:pPr>
            <w:r w:rsidRPr="003B58A6">
              <w:rPr>
                <w:b w:val="0"/>
                <w:bCs w:val="0"/>
                <w:sz w:val="18"/>
                <w:szCs w:val="18"/>
              </w:rPr>
              <w:t>3</w:t>
            </w:r>
          </w:p>
        </w:tc>
        <w:tc>
          <w:tcPr>
            <w:tcW w:w="8607" w:type="dxa"/>
          </w:tcPr>
          <w:p w14:paraId="1C4D09E9" w14:textId="07B55FDD"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(non-steroid* adj3 (inflammat* or anti-inflammat* or antiinflammat*)).ti,ab,kw.</w:t>
            </w:r>
          </w:p>
        </w:tc>
      </w:tr>
      <w:tr w:rsidR="005109B8" w:rsidRPr="003B58A6" w14:paraId="19155EC9"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7AA7088C" w14:textId="6979F08B" w:rsidR="005109B8" w:rsidRPr="003B58A6" w:rsidRDefault="005109B8" w:rsidP="00B644F9">
            <w:pPr>
              <w:rPr>
                <w:b w:val="0"/>
                <w:bCs w:val="0"/>
                <w:sz w:val="18"/>
                <w:szCs w:val="18"/>
              </w:rPr>
            </w:pPr>
            <w:r w:rsidRPr="003B58A6">
              <w:rPr>
                <w:b w:val="0"/>
                <w:bCs w:val="0"/>
                <w:sz w:val="18"/>
                <w:szCs w:val="18"/>
              </w:rPr>
              <w:t>4</w:t>
            </w:r>
          </w:p>
        </w:tc>
        <w:tc>
          <w:tcPr>
            <w:tcW w:w="8607" w:type="dxa"/>
          </w:tcPr>
          <w:p w14:paraId="74FFEC33" w14:textId="542B48FF"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(adapalene or ampyrone or antipyrine or apazone or aspirin or bufexamac or carprofen or celecoxib or clonixin or curcumin or diclofenac or diflunisal or dipyrone or epirizole or etanercept or etodolac or fenoprofen or feprazone or flurbiprofen or ibuprofen or indomethacin or ketoprofen or ketorolac or masoprocol or meclofenamic or mefenamic or mesalamine or naproxen or niflumic or olopatadine or oxyphenbutazone or phenylbutazone or piroxicam or salicylate* or sulfasalazine or sulindac or suprofen or tolmetin).ti,ab,kw.</w:t>
            </w:r>
          </w:p>
        </w:tc>
      </w:tr>
      <w:tr w:rsidR="005109B8" w:rsidRPr="003B58A6" w14:paraId="2F8AC1CD"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1DD17BE0" w14:textId="060E03BA" w:rsidR="005109B8" w:rsidRPr="003B58A6" w:rsidRDefault="005109B8" w:rsidP="00B644F9">
            <w:pPr>
              <w:rPr>
                <w:b w:val="0"/>
                <w:bCs w:val="0"/>
                <w:sz w:val="18"/>
                <w:szCs w:val="18"/>
              </w:rPr>
            </w:pPr>
            <w:r w:rsidRPr="003B58A6">
              <w:rPr>
                <w:b w:val="0"/>
                <w:bCs w:val="0"/>
                <w:sz w:val="18"/>
                <w:szCs w:val="18"/>
              </w:rPr>
              <w:t>5</w:t>
            </w:r>
          </w:p>
        </w:tc>
        <w:tc>
          <w:tcPr>
            <w:tcW w:w="8607" w:type="dxa"/>
          </w:tcPr>
          <w:p w14:paraId="0889F50E" w14:textId="1B9C42D2"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(NSAID? or tactupump or galderma or differin or auralgan or paladin or salicylic or floctafenine or meloxicam or nabumetone or napafenac or oxaprozin or tenoxicam or tiaprofenic).ti,ab,kw.</w:t>
            </w:r>
          </w:p>
        </w:tc>
      </w:tr>
      <w:tr w:rsidR="005109B8" w:rsidRPr="003B58A6" w14:paraId="30FAFB02"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5C5E8F94" w14:textId="62B1BA61" w:rsidR="005109B8" w:rsidRPr="003B58A6" w:rsidRDefault="005109B8" w:rsidP="00B644F9">
            <w:pPr>
              <w:rPr>
                <w:b w:val="0"/>
                <w:bCs w:val="0"/>
                <w:sz w:val="18"/>
                <w:szCs w:val="18"/>
              </w:rPr>
            </w:pPr>
            <w:r w:rsidRPr="003B58A6">
              <w:rPr>
                <w:b w:val="0"/>
                <w:bCs w:val="0"/>
                <w:sz w:val="18"/>
                <w:szCs w:val="18"/>
              </w:rPr>
              <w:t>6</w:t>
            </w:r>
          </w:p>
        </w:tc>
        <w:tc>
          <w:tcPr>
            <w:tcW w:w="8607" w:type="dxa"/>
          </w:tcPr>
          <w:p w14:paraId="32B6FC54" w14:textId="54BC2025"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((cyclooxygenase or cyclo-oxygenase or COX-2) adj1 (inhibit* or attenuat*)).ti,ab,kw.</w:t>
            </w:r>
          </w:p>
        </w:tc>
      </w:tr>
      <w:tr w:rsidR="005109B8" w:rsidRPr="003B58A6" w14:paraId="10B3B4F0"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67DE9DBA" w14:textId="574803D6" w:rsidR="005109B8" w:rsidRPr="003B58A6" w:rsidRDefault="005109B8" w:rsidP="00B644F9">
            <w:pPr>
              <w:rPr>
                <w:b w:val="0"/>
                <w:bCs w:val="0"/>
                <w:sz w:val="18"/>
                <w:szCs w:val="18"/>
              </w:rPr>
            </w:pPr>
            <w:r w:rsidRPr="003B58A6">
              <w:rPr>
                <w:b w:val="0"/>
                <w:bCs w:val="0"/>
                <w:sz w:val="18"/>
                <w:szCs w:val="18"/>
              </w:rPr>
              <w:t>7</w:t>
            </w:r>
          </w:p>
        </w:tc>
        <w:tc>
          <w:tcPr>
            <w:tcW w:w="8607" w:type="dxa"/>
          </w:tcPr>
          <w:p w14:paraId="6255CD59" w14:textId="502A0B93"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or/1-6</w:t>
            </w:r>
          </w:p>
        </w:tc>
      </w:tr>
      <w:tr w:rsidR="005109B8" w:rsidRPr="003B58A6" w14:paraId="528AEB0D"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0AEB194C" w14:textId="00C81877" w:rsidR="005109B8" w:rsidRPr="003B58A6" w:rsidRDefault="005109B8" w:rsidP="00B644F9">
            <w:pPr>
              <w:rPr>
                <w:b w:val="0"/>
                <w:bCs w:val="0"/>
                <w:sz w:val="18"/>
                <w:szCs w:val="18"/>
              </w:rPr>
            </w:pPr>
            <w:r w:rsidRPr="003B58A6">
              <w:rPr>
                <w:b w:val="0"/>
                <w:bCs w:val="0"/>
                <w:sz w:val="18"/>
                <w:szCs w:val="18"/>
              </w:rPr>
              <w:t>8</w:t>
            </w:r>
          </w:p>
        </w:tc>
        <w:tc>
          <w:tcPr>
            <w:tcW w:w="8607" w:type="dxa"/>
          </w:tcPr>
          <w:p w14:paraId="7836348D" w14:textId="780AE1F6"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exp *fracture/</w:t>
            </w:r>
          </w:p>
        </w:tc>
      </w:tr>
      <w:tr w:rsidR="005109B8" w:rsidRPr="003B58A6" w14:paraId="3726DF38"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0950A140" w14:textId="175F3A0A" w:rsidR="005109B8" w:rsidRPr="003B58A6" w:rsidRDefault="005109B8" w:rsidP="00B644F9">
            <w:pPr>
              <w:rPr>
                <w:b w:val="0"/>
                <w:bCs w:val="0"/>
                <w:sz w:val="18"/>
                <w:szCs w:val="18"/>
              </w:rPr>
            </w:pPr>
            <w:r w:rsidRPr="003B58A6">
              <w:rPr>
                <w:b w:val="0"/>
                <w:bCs w:val="0"/>
                <w:sz w:val="18"/>
                <w:szCs w:val="18"/>
              </w:rPr>
              <w:t>9</w:t>
            </w:r>
          </w:p>
        </w:tc>
        <w:tc>
          <w:tcPr>
            <w:tcW w:w="8607" w:type="dxa"/>
          </w:tcPr>
          <w:p w14:paraId="7546C600" w14:textId="548B9938"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exp *bone/</w:t>
            </w:r>
          </w:p>
        </w:tc>
      </w:tr>
      <w:tr w:rsidR="005109B8" w:rsidRPr="003B58A6" w14:paraId="156C1D2D"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738C43F3" w14:textId="7BF43737" w:rsidR="005109B8" w:rsidRPr="003B58A6" w:rsidRDefault="005109B8" w:rsidP="00B644F9">
            <w:pPr>
              <w:rPr>
                <w:b w:val="0"/>
                <w:bCs w:val="0"/>
                <w:sz w:val="18"/>
                <w:szCs w:val="18"/>
              </w:rPr>
            </w:pPr>
            <w:r w:rsidRPr="003B58A6">
              <w:rPr>
                <w:b w:val="0"/>
                <w:bCs w:val="0"/>
                <w:sz w:val="18"/>
                <w:szCs w:val="18"/>
              </w:rPr>
              <w:t>10</w:t>
            </w:r>
          </w:p>
        </w:tc>
        <w:tc>
          <w:tcPr>
            <w:tcW w:w="8607" w:type="dxa"/>
          </w:tcPr>
          <w:p w14:paraId="6717C1A1" w14:textId="0A81E71E"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exp bone remodeling/</w:t>
            </w:r>
          </w:p>
        </w:tc>
      </w:tr>
      <w:tr w:rsidR="005109B8" w:rsidRPr="003B58A6" w14:paraId="40160A5D"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5EFFC021" w14:textId="428D240F" w:rsidR="005109B8" w:rsidRPr="003B58A6" w:rsidRDefault="005109B8" w:rsidP="00B644F9">
            <w:pPr>
              <w:rPr>
                <w:b w:val="0"/>
                <w:bCs w:val="0"/>
                <w:sz w:val="18"/>
                <w:szCs w:val="18"/>
              </w:rPr>
            </w:pPr>
            <w:r w:rsidRPr="003B58A6">
              <w:rPr>
                <w:b w:val="0"/>
                <w:bCs w:val="0"/>
                <w:sz w:val="18"/>
                <w:szCs w:val="18"/>
              </w:rPr>
              <w:t>11</w:t>
            </w:r>
          </w:p>
        </w:tc>
        <w:tc>
          <w:tcPr>
            <w:tcW w:w="8607" w:type="dxa"/>
          </w:tcPr>
          <w:p w14:paraId="147AA4EE" w14:textId="348C2159"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exp bone density/</w:t>
            </w:r>
          </w:p>
        </w:tc>
      </w:tr>
      <w:tr w:rsidR="005109B8" w:rsidRPr="003B58A6" w14:paraId="62B8236E"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179C9764" w14:textId="7CDD6AFE" w:rsidR="005109B8" w:rsidRPr="003B58A6" w:rsidRDefault="005109B8" w:rsidP="00B644F9">
            <w:pPr>
              <w:rPr>
                <w:b w:val="0"/>
                <w:bCs w:val="0"/>
                <w:sz w:val="18"/>
                <w:szCs w:val="18"/>
              </w:rPr>
            </w:pPr>
            <w:r w:rsidRPr="003B58A6">
              <w:rPr>
                <w:b w:val="0"/>
                <w:bCs w:val="0"/>
                <w:sz w:val="18"/>
                <w:szCs w:val="18"/>
              </w:rPr>
              <w:t>12</w:t>
            </w:r>
          </w:p>
        </w:tc>
        <w:tc>
          <w:tcPr>
            <w:tcW w:w="8607" w:type="dxa"/>
          </w:tcPr>
          <w:p w14:paraId="6D68A613" w14:textId="7EE816B0"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(bone adj3 (broken or fracture* or remodel* or regenerat* or density)).ti,ab,kw.</w:t>
            </w:r>
          </w:p>
        </w:tc>
      </w:tr>
      <w:tr w:rsidR="005109B8" w:rsidRPr="003B58A6" w14:paraId="1F98DD53"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5C8590F9" w14:textId="272C0F3F" w:rsidR="005109B8" w:rsidRPr="003B58A6" w:rsidRDefault="005109B8" w:rsidP="00B644F9">
            <w:pPr>
              <w:rPr>
                <w:b w:val="0"/>
                <w:bCs w:val="0"/>
                <w:sz w:val="18"/>
                <w:szCs w:val="18"/>
              </w:rPr>
            </w:pPr>
            <w:r w:rsidRPr="003B58A6">
              <w:rPr>
                <w:b w:val="0"/>
                <w:bCs w:val="0"/>
                <w:sz w:val="18"/>
                <w:szCs w:val="18"/>
              </w:rPr>
              <w:t>13</w:t>
            </w:r>
          </w:p>
        </w:tc>
        <w:tc>
          <w:tcPr>
            <w:tcW w:w="8607" w:type="dxa"/>
          </w:tcPr>
          <w:p w14:paraId="0B178012" w14:textId="28BB6975"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((fracture? or bone?) adj3 heal*).ti,ab,kw.</w:t>
            </w:r>
          </w:p>
        </w:tc>
      </w:tr>
      <w:tr w:rsidR="005109B8" w:rsidRPr="003B58A6" w14:paraId="7335858F"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2E948229" w14:textId="37142658" w:rsidR="005109B8" w:rsidRPr="003B58A6" w:rsidRDefault="005109B8" w:rsidP="00B644F9">
            <w:pPr>
              <w:rPr>
                <w:b w:val="0"/>
                <w:bCs w:val="0"/>
                <w:sz w:val="18"/>
                <w:szCs w:val="18"/>
              </w:rPr>
            </w:pPr>
            <w:r w:rsidRPr="003B58A6">
              <w:rPr>
                <w:b w:val="0"/>
                <w:bCs w:val="0"/>
                <w:sz w:val="18"/>
                <w:szCs w:val="18"/>
              </w:rPr>
              <w:t>14</w:t>
            </w:r>
          </w:p>
        </w:tc>
        <w:tc>
          <w:tcPr>
            <w:tcW w:w="8607" w:type="dxa"/>
          </w:tcPr>
          <w:p w14:paraId="12521D2A" w14:textId="38C9695F"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((displace* or open or closed or comminuted or greenstick or transverse or oblique or buckled or pathologic or stress or hairline or compound or traumatic or periprosthetic or linear or spiral or compression or avulsion or impacted or burst or chance or flexion or supracondylar) adj3 fracture*).ti,ab,kw.</w:t>
            </w:r>
          </w:p>
        </w:tc>
      </w:tr>
      <w:tr w:rsidR="005109B8" w:rsidRPr="003B58A6" w14:paraId="231769F8"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38958C43" w14:textId="47A66B17" w:rsidR="005109B8" w:rsidRPr="003B58A6" w:rsidRDefault="005109B8" w:rsidP="00B644F9">
            <w:pPr>
              <w:rPr>
                <w:b w:val="0"/>
                <w:bCs w:val="0"/>
                <w:sz w:val="18"/>
                <w:szCs w:val="18"/>
              </w:rPr>
            </w:pPr>
            <w:r w:rsidRPr="003B58A6">
              <w:rPr>
                <w:b w:val="0"/>
                <w:bCs w:val="0"/>
                <w:sz w:val="18"/>
                <w:szCs w:val="18"/>
              </w:rPr>
              <w:t>15</w:t>
            </w:r>
          </w:p>
        </w:tc>
        <w:tc>
          <w:tcPr>
            <w:tcW w:w="8607" w:type="dxa"/>
          </w:tcPr>
          <w:p w14:paraId="5C32C75F" w14:textId="21DC4060"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((holstein-lewis or jefferson or clay-shoveler or holdsworth or hume or essex-lopresti or galeazzi or colles? or smith* or barton* or monteggia or rolando or bennett* or boxer* or duverney or pilon or bumper or segond or gosselin or toddler* or bosworth or maisonneuve or "le fort" or pott* or lisfranc or jones or march) adj3 fracture*).ti,ab,kw.</w:t>
            </w:r>
          </w:p>
        </w:tc>
      </w:tr>
      <w:tr w:rsidR="005109B8" w:rsidRPr="003B58A6" w14:paraId="109B3B92"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3A2679AD" w14:textId="4E92131A" w:rsidR="005109B8" w:rsidRPr="003B58A6" w:rsidRDefault="005109B8" w:rsidP="00B644F9">
            <w:pPr>
              <w:rPr>
                <w:b w:val="0"/>
                <w:bCs w:val="0"/>
                <w:sz w:val="18"/>
                <w:szCs w:val="18"/>
              </w:rPr>
            </w:pPr>
            <w:r w:rsidRPr="003B58A6">
              <w:rPr>
                <w:b w:val="0"/>
                <w:bCs w:val="0"/>
                <w:sz w:val="18"/>
                <w:szCs w:val="18"/>
              </w:rPr>
              <w:t>16</w:t>
            </w:r>
          </w:p>
        </w:tc>
        <w:tc>
          <w:tcPr>
            <w:tcW w:w="8607" w:type="dxa"/>
          </w:tcPr>
          <w:p w14:paraId="7116BE9B" w14:textId="199E54B4"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((skull or mandibular or nasal or cervical or rib? or sternal or shoulder? or arm? or humerus or forearm? or ulnar or radius or distal or scaphoid or pelvic or femoral or patella or crus or tibia? or trimalleolar or calcaneal or bimalleolar) adj3 fracture*).ti,ab,kw.</w:t>
            </w:r>
          </w:p>
        </w:tc>
      </w:tr>
      <w:tr w:rsidR="005109B8" w:rsidRPr="003B58A6" w14:paraId="38C479D4"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582E92AA" w14:textId="254FCCE3" w:rsidR="005109B8" w:rsidRPr="003B58A6" w:rsidRDefault="005109B8" w:rsidP="00B644F9">
            <w:pPr>
              <w:rPr>
                <w:b w:val="0"/>
                <w:bCs w:val="0"/>
                <w:sz w:val="18"/>
                <w:szCs w:val="18"/>
              </w:rPr>
            </w:pPr>
            <w:r w:rsidRPr="003B58A6">
              <w:rPr>
                <w:b w:val="0"/>
                <w:bCs w:val="0"/>
                <w:sz w:val="18"/>
                <w:szCs w:val="18"/>
              </w:rPr>
              <w:t>17</w:t>
            </w:r>
          </w:p>
        </w:tc>
        <w:tc>
          <w:tcPr>
            <w:tcW w:w="8607" w:type="dxa"/>
          </w:tcPr>
          <w:p w14:paraId="0DBD7880" w14:textId="6A244F36"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or/8-16</w:t>
            </w:r>
          </w:p>
        </w:tc>
      </w:tr>
      <w:tr w:rsidR="005109B8" w:rsidRPr="003B58A6" w14:paraId="05F9B362"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2BC44D14" w14:textId="57650A61" w:rsidR="005109B8" w:rsidRPr="003B58A6" w:rsidRDefault="005109B8" w:rsidP="00B644F9">
            <w:pPr>
              <w:rPr>
                <w:b w:val="0"/>
                <w:bCs w:val="0"/>
                <w:sz w:val="18"/>
                <w:szCs w:val="18"/>
              </w:rPr>
            </w:pPr>
            <w:r w:rsidRPr="003B58A6">
              <w:rPr>
                <w:b w:val="0"/>
                <w:bCs w:val="0"/>
                <w:sz w:val="18"/>
                <w:szCs w:val="18"/>
              </w:rPr>
              <w:t>18</w:t>
            </w:r>
          </w:p>
        </w:tc>
        <w:tc>
          <w:tcPr>
            <w:tcW w:w="8607" w:type="dxa"/>
          </w:tcPr>
          <w:p w14:paraId="24CDCB37" w14:textId="0DFFB1F2"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sz w:val="18"/>
                <w:szCs w:val="18"/>
              </w:rPr>
            </w:pPr>
            <w:r w:rsidRPr="003B58A6">
              <w:rPr>
                <w:sz w:val="18"/>
                <w:szCs w:val="18"/>
                <w:lang w:eastAsia="en-CA"/>
              </w:rPr>
              <w:t>7 and 17</w:t>
            </w:r>
          </w:p>
        </w:tc>
      </w:tr>
      <w:tr w:rsidR="005109B8" w:rsidRPr="003B58A6" w14:paraId="6F346ED2"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72F84DCA" w14:textId="34B5E783" w:rsidR="005109B8" w:rsidRPr="003B58A6" w:rsidRDefault="005109B8" w:rsidP="00B644F9">
            <w:pPr>
              <w:rPr>
                <w:b w:val="0"/>
                <w:bCs w:val="0"/>
                <w:sz w:val="18"/>
                <w:szCs w:val="18"/>
              </w:rPr>
            </w:pPr>
            <w:r w:rsidRPr="003B58A6">
              <w:rPr>
                <w:b w:val="0"/>
                <w:bCs w:val="0"/>
                <w:sz w:val="18"/>
                <w:szCs w:val="18"/>
              </w:rPr>
              <w:t>19</w:t>
            </w:r>
          </w:p>
        </w:tc>
        <w:tc>
          <w:tcPr>
            <w:tcW w:w="8607" w:type="dxa"/>
          </w:tcPr>
          <w:p w14:paraId="3ACD409C" w14:textId="255A56E6"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lang w:eastAsia="en-CA"/>
              </w:rPr>
              <w:t>18 not (humans/ not (humans/ and animals/))</w:t>
            </w:r>
          </w:p>
        </w:tc>
      </w:tr>
      <w:tr w:rsidR="0092647F" w:rsidRPr="003B58A6" w14:paraId="4B3B6F48" w14:textId="77777777" w:rsidTr="003B58A6">
        <w:tc>
          <w:tcPr>
            <w:cnfStyle w:val="001000000000" w:firstRow="0" w:lastRow="0" w:firstColumn="1" w:lastColumn="0" w:oddVBand="0" w:evenVBand="0" w:oddHBand="0" w:evenHBand="0" w:firstRowFirstColumn="0" w:firstRowLastColumn="0" w:lastRowFirstColumn="0" w:lastRowLastColumn="0"/>
            <w:tcW w:w="9350" w:type="dxa"/>
            <w:gridSpan w:val="3"/>
          </w:tcPr>
          <w:p w14:paraId="33E09EDE" w14:textId="07331B2A" w:rsidR="0092647F" w:rsidRPr="003B58A6" w:rsidRDefault="0092647F" w:rsidP="00B644F9">
            <w:pPr>
              <w:rPr>
                <w:rFonts w:cstheme="minorHAnsi"/>
                <w:b w:val="0"/>
                <w:bCs w:val="0"/>
                <w:sz w:val="18"/>
                <w:szCs w:val="18"/>
              </w:rPr>
            </w:pPr>
            <w:r w:rsidRPr="003B58A6">
              <w:rPr>
                <w:rFonts w:cstheme="minorHAnsi"/>
                <w:b w:val="0"/>
                <w:bCs w:val="0"/>
                <w:sz w:val="18"/>
                <w:szCs w:val="18"/>
              </w:rPr>
              <w:t>CINAHL</w:t>
            </w:r>
          </w:p>
        </w:tc>
      </w:tr>
      <w:tr w:rsidR="005109B8" w:rsidRPr="003B58A6" w14:paraId="7B8436A9"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686113C1" w14:textId="07E5A18D" w:rsidR="005109B8" w:rsidRPr="003B58A6" w:rsidRDefault="005109B8" w:rsidP="00B644F9">
            <w:pPr>
              <w:rPr>
                <w:rFonts w:cstheme="minorHAnsi"/>
                <w:b w:val="0"/>
                <w:bCs w:val="0"/>
                <w:sz w:val="18"/>
                <w:szCs w:val="18"/>
              </w:rPr>
            </w:pPr>
            <w:r w:rsidRPr="003B58A6">
              <w:rPr>
                <w:rFonts w:cstheme="minorHAnsi"/>
                <w:b w:val="0"/>
                <w:bCs w:val="0"/>
                <w:sz w:val="18"/>
                <w:szCs w:val="18"/>
              </w:rPr>
              <w:t>1</w:t>
            </w:r>
          </w:p>
        </w:tc>
        <w:tc>
          <w:tcPr>
            <w:tcW w:w="8607" w:type="dxa"/>
          </w:tcPr>
          <w:p w14:paraId="6F3FBEB6" w14:textId="1C44695B" w:rsidR="005109B8" w:rsidRPr="003B58A6" w:rsidRDefault="0092647F"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rPr>
              <w:t>(MH "Antiinflammatory Agents, Non-Steroidal+")</w:t>
            </w:r>
          </w:p>
        </w:tc>
      </w:tr>
      <w:tr w:rsidR="005109B8" w:rsidRPr="003B58A6" w14:paraId="65BB4BF9"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7E61F240" w14:textId="0F735945" w:rsidR="005109B8" w:rsidRPr="003B58A6" w:rsidRDefault="005109B8" w:rsidP="00B644F9">
            <w:pPr>
              <w:rPr>
                <w:rFonts w:cstheme="minorHAnsi"/>
                <w:b w:val="0"/>
                <w:bCs w:val="0"/>
                <w:sz w:val="18"/>
                <w:szCs w:val="18"/>
              </w:rPr>
            </w:pPr>
            <w:r w:rsidRPr="003B58A6">
              <w:rPr>
                <w:rFonts w:cstheme="minorHAnsi"/>
                <w:b w:val="0"/>
                <w:bCs w:val="0"/>
                <w:sz w:val="18"/>
                <w:szCs w:val="18"/>
              </w:rPr>
              <w:t>2</w:t>
            </w:r>
          </w:p>
        </w:tc>
        <w:tc>
          <w:tcPr>
            <w:tcW w:w="8607" w:type="dxa"/>
          </w:tcPr>
          <w:p w14:paraId="0E97844E" w14:textId="1F0D3E4D" w:rsidR="005109B8" w:rsidRPr="003B58A6" w:rsidRDefault="0092647F"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rPr>
              <w:t>TI (non-steroid* N3 (inflammat* or anti-inflammat* or antiinflammat*)) OR AB (non-steroid* N3 (inflammat* or anti-inflammat* or antiinflammat*))</w:t>
            </w:r>
          </w:p>
        </w:tc>
      </w:tr>
      <w:tr w:rsidR="005109B8" w:rsidRPr="003B58A6" w14:paraId="708BB559" w14:textId="77777777" w:rsidTr="003B58A6">
        <w:trPr>
          <w:cnfStyle w:val="000000100000" w:firstRow="0" w:lastRow="0" w:firstColumn="0" w:lastColumn="0" w:oddVBand="0" w:evenVBand="0" w:oddHBand="1" w:evenHBand="0" w:firstRowFirstColumn="0" w:firstRowLastColumn="0" w:lastRowFirstColumn="0" w:lastRowLastColumn="0"/>
          <w:trHeight w:val="699"/>
        </w:trPr>
        <w:tc>
          <w:tcPr>
            <w:cnfStyle w:val="001000000000" w:firstRow="0" w:lastRow="0" w:firstColumn="1" w:lastColumn="0" w:oddVBand="0" w:evenVBand="0" w:oddHBand="0" w:evenHBand="0" w:firstRowFirstColumn="0" w:firstRowLastColumn="0" w:lastRowFirstColumn="0" w:lastRowLastColumn="0"/>
            <w:tcW w:w="743" w:type="dxa"/>
            <w:gridSpan w:val="2"/>
          </w:tcPr>
          <w:p w14:paraId="46C6F2A0" w14:textId="573464A3" w:rsidR="005109B8" w:rsidRPr="003B58A6" w:rsidRDefault="005109B8" w:rsidP="00B644F9">
            <w:pPr>
              <w:rPr>
                <w:rFonts w:cstheme="minorHAnsi"/>
                <w:b w:val="0"/>
                <w:bCs w:val="0"/>
                <w:sz w:val="18"/>
                <w:szCs w:val="18"/>
              </w:rPr>
            </w:pPr>
            <w:r w:rsidRPr="003B58A6">
              <w:rPr>
                <w:rFonts w:cstheme="minorHAnsi"/>
                <w:b w:val="0"/>
                <w:bCs w:val="0"/>
                <w:sz w:val="18"/>
                <w:szCs w:val="18"/>
              </w:rPr>
              <w:t>3</w:t>
            </w:r>
          </w:p>
        </w:tc>
        <w:tc>
          <w:tcPr>
            <w:tcW w:w="8607" w:type="dxa"/>
          </w:tcPr>
          <w:p w14:paraId="123FA340" w14:textId="77777777" w:rsidR="0092647F" w:rsidRPr="003B58A6" w:rsidRDefault="0092647F" w:rsidP="00B644F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TI ((cyclooxygenase or cyclo-oxygenase or COX-2) N1 (inhibit* or attenuat*)) OR AB ((cyclooxygenase or cyclo-oxygenase or COX-2) N1 (inhibit* or attenuat*))</w:t>
            </w:r>
          </w:p>
          <w:p w14:paraId="5956C335" w14:textId="77777777"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5109B8" w:rsidRPr="003B58A6" w14:paraId="0FF02062"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28F18A0D" w14:textId="1005A061" w:rsidR="005109B8" w:rsidRPr="003B58A6" w:rsidRDefault="005109B8" w:rsidP="00B644F9">
            <w:pPr>
              <w:rPr>
                <w:rFonts w:cstheme="minorHAnsi"/>
                <w:b w:val="0"/>
                <w:bCs w:val="0"/>
                <w:sz w:val="18"/>
                <w:szCs w:val="18"/>
              </w:rPr>
            </w:pPr>
            <w:r w:rsidRPr="003B58A6">
              <w:rPr>
                <w:rFonts w:cstheme="minorHAnsi"/>
                <w:b w:val="0"/>
                <w:bCs w:val="0"/>
                <w:sz w:val="18"/>
                <w:szCs w:val="18"/>
              </w:rPr>
              <w:t>4</w:t>
            </w:r>
          </w:p>
        </w:tc>
        <w:tc>
          <w:tcPr>
            <w:tcW w:w="8607" w:type="dxa"/>
          </w:tcPr>
          <w:p w14:paraId="553E12AA" w14:textId="77777777" w:rsidR="0092647F" w:rsidRPr="003B58A6" w:rsidRDefault="0092647F" w:rsidP="00B644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 xml:space="preserve">TI (adapalene or ampyrone or antipyrine or apazone or aspirin or bufexamac or carprofen or celecoxib or clonixin or curcumin or diclofenac or diflunisal or dipyrone or epirizole or etanercept or etodolac or </w:t>
            </w:r>
            <w:r w:rsidRPr="003B58A6">
              <w:rPr>
                <w:rFonts w:eastAsia="Times New Roman" w:cstheme="minorHAnsi"/>
                <w:color w:val="000000"/>
                <w:sz w:val="18"/>
                <w:szCs w:val="18"/>
              </w:rPr>
              <w:lastRenderedPageBreak/>
              <w:t>fenoprofen or feprazone or flurbiprofen or ibuprofen or indomethacin or ketoprofen or ketorolac or masoprocol or meclofenamic or mefenamic or mesalamine or naproxen or niflumic or olopatadine or oxyphenbutazone or phenylbutazone or piroxicam or salicylate* or sulfasalazine or sulindac or suprofen or tolmetin) OR AB (adapalene or ampyrone or antipyrine or apazone or aspirin or bufexamac or carprofen or celecoxib or clonixin or curcumin or diclofenac or diflunisal or dipyrone or epirizole or etanercept or etodolac or fenoprofen or feprazone or flurbiprofen or ibuprofen or indomethacin or ketoprofen or ketorolac or masoprocol or meclofenamic or mefenamic or mesalamine or naproxen or niflumic or olopatadine or oxyphenbutazone or phenylbutazone or piroxicam or salicylate* or sulfasalazine or sulindac or suprofen or tolmetin)</w:t>
            </w:r>
          </w:p>
          <w:p w14:paraId="5549EC03" w14:textId="77777777"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5109B8" w:rsidRPr="003B58A6" w14:paraId="69EECF0E"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394F67B7" w14:textId="42E65093" w:rsidR="005109B8" w:rsidRPr="003B58A6" w:rsidRDefault="005109B8" w:rsidP="00B644F9">
            <w:pPr>
              <w:rPr>
                <w:rFonts w:cstheme="minorHAnsi"/>
                <w:b w:val="0"/>
                <w:bCs w:val="0"/>
                <w:sz w:val="18"/>
                <w:szCs w:val="18"/>
              </w:rPr>
            </w:pPr>
            <w:r w:rsidRPr="003B58A6">
              <w:rPr>
                <w:rFonts w:cstheme="minorHAnsi"/>
                <w:b w:val="0"/>
                <w:bCs w:val="0"/>
                <w:sz w:val="18"/>
                <w:szCs w:val="18"/>
              </w:rPr>
              <w:lastRenderedPageBreak/>
              <w:t>5</w:t>
            </w:r>
          </w:p>
        </w:tc>
        <w:tc>
          <w:tcPr>
            <w:tcW w:w="8607" w:type="dxa"/>
          </w:tcPr>
          <w:p w14:paraId="5A7E84B0" w14:textId="77777777" w:rsidR="0092647F" w:rsidRPr="003B58A6" w:rsidRDefault="0092647F" w:rsidP="00B644F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TI (NSAID? or tactupump or galderma or differin or auralgan or paladin or salicylic or floctafenine or meloxicam or nabumetone or napafenac or oxaprozin or tenoxicam or tiaprofenic) OR AB (NSAID? or tactupump or galderma or differin or auralgan or paladin or salicylic or floctafenine or meloxicam or nabumetone or napafenac or oxaprozin or tenoxicam or tiaprofenic)</w:t>
            </w:r>
          </w:p>
          <w:p w14:paraId="364AAD80" w14:textId="77777777"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5109B8" w:rsidRPr="003B58A6" w14:paraId="1BA8B161"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31DC28D3" w14:textId="18ADFF1B" w:rsidR="005109B8" w:rsidRPr="003B58A6" w:rsidRDefault="005109B8" w:rsidP="00B644F9">
            <w:pPr>
              <w:rPr>
                <w:rFonts w:cstheme="minorHAnsi"/>
                <w:b w:val="0"/>
                <w:bCs w:val="0"/>
                <w:sz w:val="18"/>
                <w:szCs w:val="18"/>
              </w:rPr>
            </w:pPr>
            <w:r w:rsidRPr="003B58A6">
              <w:rPr>
                <w:rFonts w:cstheme="minorHAnsi"/>
                <w:b w:val="0"/>
                <w:bCs w:val="0"/>
                <w:sz w:val="18"/>
                <w:szCs w:val="18"/>
              </w:rPr>
              <w:t>6</w:t>
            </w:r>
          </w:p>
        </w:tc>
        <w:tc>
          <w:tcPr>
            <w:tcW w:w="8607" w:type="dxa"/>
          </w:tcPr>
          <w:p w14:paraId="3E3C3F5A" w14:textId="77777777" w:rsidR="0092647F" w:rsidRPr="003B58A6" w:rsidRDefault="0092647F" w:rsidP="00B644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S1 OR S2 OR S3 OR S4 OR S5</w:t>
            </w:r>
          </w:p>
          <w:p w14:paraId="661701B0" w14:textId="77777777"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5109B8" w:rsidRPr="003B58A6" w14:paraId="2F3A7706"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431BDD78" w14:textId="66207145" w:rsidR="005109B8" w:rsidRPr="003B58A6" w:rsidRDefault="005109B8" w:rsidP="00B644F9">
            <w:pPr>
              <w:rPr>
                <w:rFonts w:cstheme="minorHAnsi"/>
                <w:b w:val="0"/>
                <w:bCs w:val="0"/>
                <w:sz w:val="18"/>
                <w:szCs w:val="18"/>
              </w:rPr>
            </w:pPr>
            <w:r w:rsidRPr="003B58A6">
              <w:rPr>
                <w:rFonts w:cstheme="minorHAnsi"/>
                <w:b w:val="0"/>
                <w:bCs w:val="0"/>
                <w:sz w:val="18"/>
                <w:szCs w:val="18"/>
              </w:rPr>
              <w:t>7</w:t>
            </w:r>
          </w:p>
        </w:tc>
        <w:tc>
          <w:tcPr>
            <w:tcW w:w="8607" w:type="dxa"/>
          </w:tcPr>
          <w:p w14:paraId="1F0C2029" w14:textId="31C356EC" w:rsidR="005109B8" w:rsidRPr="003B58A6" w:rsidRDefault="0092647F"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rPr>
              <w:t>(MH "Fractures+")</w:t>
            </w:r>
          </w:p>
        </w:tc>
      </w:tr>
      <w:tr w:rsidR="005109B8" w:rsidRPr="003B58A6" w14:paraId="4D8DBE66"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5F4B29E1" w14:textId="05A64255" w:rsidR="005109B8" w:rsidRPr="003B58A6" w:rsidRDefault="005109B8" w:rsidP="00B644F9">
            <w:pPr>
              <w:rPr>
                <w:rFonts w:cstheme="minorHAnsi"/>
                <w:b w:val="0"/>
                <w:bCs w:val="0"/>
                <w:sz w:val="18"/>
                <w:szCs w:val="18"/>
              </w:rPr>
            </w:pPr>
            <w:r w:rsidRPr="003B58A6">
              <w:rPr>
                <w:rFonts w:cstheme="minorHAnsi"/>
                <w:b w:val="0"/>
                <w:bCs w:val="0"/>
                <w:sz w:val="18"/>
                <w:szCs w:val="18"/>
              </w:rPr>
              <w:t>8</w:t>
            </w:r>
          </w:p>
        </w:tc>
        <w:tc>
          <w:tcPr>
            <w:tcW w:w="8607" w:type="dxa"/>
          </w:tcPr>
          <w:p w14:paraId="5AA9140C" w14:textId="77777777" w:rsidR="0092647F" w:rsidRPr="003B58A6" w:rsidRDefault="0092647F" w:rsidP="00B644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(MH "Bone and Bones+/DE/IN/ME/PA/PP")</w:t>
            </w:r>
          </w:p>
          <w:p w14:paraId="6192888F" w14:textId="77777777"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5109B8" w:rsidRPr="003B58A6" w14:paraId="21D3E1A4"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69E69215" w14:textId="564B5752" w:rsidR="005109B8" w:rsidRPr="003B58A6" w:rsidRDefault="005109B8" w:rsidP="00B644F9">
            <w:pPr>
              <w:rPr>
                <w:rFonts w:cstheme="minorHAnsi"/>
                <w:b w:val="0"/>
                <w:bCs w:val="0"/>
                <w:sz w:val="18"/>
                <w:szCs w:val="18"/>
              </w:rPr>
            </w:pPr>
            <w:r w:rsidRPr="003B58A6">
              <w:rPr>
                <w:rFonts w:cstheme="minorHAnsi"/>
                <w:b w:val="0"/>
                <w:bCs w:val="0"/>
                <w:sz w:val="18"/>
                <w:szCs w:val="18"/>
              </w:rPr>
              <w:t>9</w:t>
            </w:r>
          </w:p>
        </w:tc>
        <w:tc>
          <w:tcPr>
            <w:tcW w:w="8607" w:type="dxa"/>
          </w:tcPr>
          <w:p w14:paraId="0EE50648" w14:textId="77777777" w:rsidR="0092647F" w:rsidRPr="003B58A6" w:rsidRDefault="0092647F" w:rsidP="00B644F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(MH "Fracture Healing")</w:t>
            </w:r>
          </w:p>
          <w:p w14:paraId="4D7F25A4" w14:textId="77777777"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5109B8" w:rsidRPr="003B58A6" w14:paraId="46BEAF0A"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6916A468" w14:textId="7B982D17" w:rsidR="005109B8" w:rsidRPr="003B58A6" w:rsidRDefault="005109B8" w:rsidP="00B644F9">
            <w:pPr>
              <w:rPr>
                <w:rFonts w:cstheme="minorHAnsi"/>
                <w:b w:val="0"/>
                <w:bCs w:val="0"/>
                <w:sz w:val="18"/>
                <w:szCs w:val="18"/>
              </w:rPr>
            </w:pPr>
            <w:r w:rsidRPr="003B58A6">
              <w:rPr>
                <w:rFonts w:cstheme="minorHAnsi"/>
                <w:b w:val="0"/>
                <w:bCs w:val="0"/>
                <w:sz w:val="18"/>
                <w:szCs w:val="18"/>
              </w:rPr>
              <w:t>10</w:t>
            </w:r>
          </w:p>
        </w:tc>
        <w:tc>
          <w:tcPr>
            <w:tcW w:w="8607" w:type="dxa"/>
          </w:tcPr>
          <w:p w14:paraId="24AE1DEC" w14:textId="337D94DD" w:rsidR="005109B8" w:rsidRPr="003B58A6" w:rsidRDefault="0092647F"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rPr>
              <w:t>(MH "Bone Remodeling+")</w:t>
            </w:r>
          </w:p>
        </w:tc>
      </w:tr>
      <w:tr w:rsidR="005109B8" w:rsidRPr="003B58A6" w14:paraId="7AD6C8BA"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57C18706" w14:textId="58FB106A" w:rsidR="005109B8" w:rsidRPr="003B58A6" w:rsidRDefault="005109B8" w:rsidP="00B644F9">
            <w:pPr>
              <w:rPr>
                <w:rFonts w:cstheme="minorHAnsi"/>
                <w:b w:val="0"/>
                <w:bCs w:val="0"/>
                <w:sz w:val="18"/>
                <w:szCs w:val="18"/>
              </w:rPr>
            </w:pPr>
            <w:r w:rsidRPr="003B58A6">
              <w:rPr>
                <w:rFonts w:cstheme="minorHAnsi"/>
                <w:b w:val="0"/>
                <w:bCs w:val="0"/>
                <w:sz w:val="18"/>
                <w:szCs w:val="18"/>
              </w:rPr>
              <w:t>11</w:t>
            </w:r>
          </w:p>
        </w:tc>
        <w:tc>
          <w:tcPr>
            <w:tcW w:w="8607" w:type="dxa"/>
          </w:tcPr>
          <w:p w14:paraId="3665CF84" w14:textId="69908B37" w:rsidR="005109B8" w:rsidRPr="003B58A6" w:rsidRDefault="0092647F"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rPr>
              <w:t>(MH "Bone Density")</w:t>
            </w:r>
          </w:p>
        </w:tc>
      </w:tr>
      <w:tr w:rsidR="005109B8" w:rsidRPr="003B58A6" w14:paraId="027A4535"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66F36ACA" w14:textId="62D787AE" w:rsidR="005109B8" w:rsidRPr="003B58A6" w:rsidRDefault="005109B8" w:rsidP="00B644F9">
            <w:pPr>
              <w:rPr>
                <w:rFonts w:cstheme="minorHAnsi"/>
                <w:b w:val="0"/>
                <w:bCs w:val="0"/>
                <w:sz w:val="18"/>
                <w:szCs w:val="18"/>
              </w:rPr>
            </w:pPr>
            <w:r w:rsidRPr="003B58A6">
              <w:rPr>
                <w:rFonts w:cstheme="minorHAnsi"/>
                <w:b w:val="0"/>
                <w:bCs w:val="0"/>
                <w:sz w:val="18"/>
                <w:szCs w:val="18"/>
              </w:rPr>
              <w:t>12</w:t>
            </w:r>
          </w:p>
        </w:tc>
        <w:tc>
          <w:tcPr>
            <w:tcW w:w="8607" w:type="dxa"/>
          </w:tcPr>
          <w:p w14:paraId="5152DD92" w14:textId="77777777" w:rsidR="0092647F" w:rsidRPr="003B58A6" w:rsidRDefault="0092647F" w:rsidP="00B644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TI (bone N3 (broken or fracture* or remodel* or regenerat* or density)) OR AB (bone N3 (broken or fracture* or remodel* or regenerat* or density))</w:t>
            </w:r>
          </w:p>
          <w:p w14:paraId="2354ACEA" w14:textId="77777777"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5109B8" w:rsidRPr="003B58A6" w14:paraId="4FC82B57"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2AED31CD" w14:textId="34EE1DBF" w:rsidR="005109B8" w:rsidRPr="003B58A6" w:rsidRDefault="005109B8" w:rsidP="00B644F9">
            <w:pPr>
              <w:rPr>
                <w:rFonts w:cstheme="minorHAnsi"/>
                <w:b w:val="0"/>
                <w:bCs w:val="0"/>
                <w:sz w:val="18"/>
                <w:szCs w:val="18"/>
              </w:rPr>
            </w:pPr>
            <w:r w:rsidRPr="003B58A6">
              <w:rPr>
                <w:rFonts w:cstheme="minorHAnsi"/>
                <w:b w:val="0"/>
                <w:bCs w:val="0"/>
                <w:sz w:val="18"/>
                <w:szCs w:val="18"/>
              </w:rPr>
              <w:t>13</w:t>
            </w:r>
          </w:p>
        </w:tc>
        <w:tc>
          <w:tcPr>
            <w:tcW w:w="8607" w:type="dxa"/>
          </w:tcPr>
          <w:p w14:paraId="689C5079" w14:textId="09A91484" w:rsidR="005109B8" w:rsidRPr="003B58A6" w:rsidRDefault="0092647F"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rPr>
              <w:t>TI ((fracture? or bone?) N3 heal*) OR AB ((fracture? or bone?) N3 heal*)</w:t>
            </w:r>
          </w:p>
        </w:tc>
      </w:tr>
      <w:tr w:rsidR="005109B8" w:rsidRPr="003B58A6" w14:paraId="030CB87B"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63F0BBF3" w14:textId="1BC5876A" w:rsidR="005109B8" w:rsidRPr="003B58A6" w:rsidRDefault="005109B8" w:rsidP="00B644F9">
            <w:pPr>
              <w:rPr>
                <w:rFonts w:cstheme="minorHAnsi"/>
                <w:b w:val="0"/>
                <w:bCs w:val="0"/>
                <w:sz w:val="18"/>
                <w:szCs w:val="18"/>
              </w:rPr>
            </w:pPr>
            <w:r w:rsidRPr="003B58A6">
              <w:rPr>
                <w:rFonts w:cstheme="minorHAnsi"/>
                <w:b w:val="0"/>
                <w:bCs w:val="0"/>
                <w:sz w:val="18"/>
                <w:szCs w:val="18"/>
              </w:rPr>
              <w:t>14</w:t>
            </w:r>
          </w:p>
        </w:tc>
        <w:tc>
          <w:tcPr>
            <w:tcW w:w="8607" w:type="dxa"/>
          </w:tcPr>
          <w:p w14:paraId="25673298" w14:textId="3DDC3A1E" w:rsidR="005109B8" w:rsidRPr="003B58A6" w:rsidRDefault="0092647F"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rPr>
              <w:t>TI ((displace* or open or closed or comminuted or greenstick or transverse or oblique or buckled or pathologic or stress or hairline or compound or traumatic or periprosthetic or linear or spiral or compression or avulsion or impacted or burst or chance or flexion or supracondylar) N3 fracture*) OR AB ((displace* or open or closed or comminuted or greenstick or transverse or oblique or buckled or pathologic or stress or hairline or compound or traumatic or periprosthetic or linear or spiral or compression or avulsion or impacted or burst or chance or flexion or supracondylar) N3 fracture*)</w:t>
            </w:r>
          </w:p>
        </w:tc>
      </w:tr>
      <w:tr w:rsidR="005109B8" w:rsidRPr="003B58A6" w14:paraId="03E52188"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43804F9C" w14:textId="0FF19416" w:rsidR="005109B8" w:rsidRPr="003B58A6" w:rsidRDefault="005109B8" w:rsidP="00B644F9">
            <w:pPr>
              <w:rPr>
                <w:rFonts w:cstheme="minorHAnsi"/>
                <w:b w:val="0"/>
                <w:bCs w:val="0"/>
                <w:sz w:val="18"/>
                <w:szCs w:val="18"/>
              </w:rPr>
            </w:pPr>
            <w:r w:rsidRPr="003B58A6">
              <w:rPr>
                <w:rFonts w:cstheme="minorHAnsi"/>
                <w:b w:val="0"/>
                <w:bCs w:val="0"/>
                <w:sz w:val="18"/>
                <w:szCs w:val="18"/>
              </w:rPr>
              <w:t>15</w:t>
            </w:r>
          </w:p>
        </w:tc>
        <w:tc>
          <w:tcPr>
            <w:tcW w:w="8607" w:type="dxa"/>
          </w:tcPr>
          <w:p w14:paraId="33F8989A" w14:textId="77777777" w:rsidR="0092647F" w:rsidRPr="003B58A6" w:rsidRDefault="0092647F" w:rsidP="00B644F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TI ((holstein-lewis or jefferson or clay-shoveler or holdsworth or hume or essex-lopresti or galeazzi or colles? or smith* or barton* or monteggia or rolando or bennett* or boxer* or duverney or pilon or bumper or segond or gosselin or toddler* or bosworth or maisonneuve or "le fort" or pott* or lisfranc or jones or march) N3 fracture*) OR AB ((holstein-lewis or jefferson or clay-shoveler or holdsworth or hume or essex-lopresti or galeazzi or colles? or smith* or barton* or monteggia or rolando or bennett* or boxer* or duverney or pilon or bumper or segond or gosselin or toddler* or bosworth or maisonneuve or "le fort" or pott* or lisfranc or jones or march) N3 fracture*)</w:t>
            </w:r>
          </w:p>
          <w:p w14:paraId="2C7AF3BB" w14:textId="77777777"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5109B8" w:rsidRPr="003B58A6" w14:paraId="1597F6DD"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4645BF46" w14:textId="1C30C364" w:rsidR="005109B8" w:rsidRPr="003B58A6" w:rsidRDefault="005109B8" w:rsidP="00B644F9">
            <w:pPr>
              <w:rPr>
                <w:rFonts w:cstheme="minorHAnsi"/>
                <w:b w:val="0"/>
                <w:bCs w:val="0"/>
                <w:sz w:val="18"/>
                <w:szCs w:val="18"/>
              </w:rPr>
            </w:pPr>
            <w:r w:rsidRPr="003B58A6">
              <w:rPr>
                <w:rFonts w:cstheme="minorHAnsi"/>
                <w:b w:val="0"/>
                <w:bCs w:val="0"/>
                <w:sz w:val="18"/>
                <w:szCs w:val="18"/>
              </w:rPr>
              <w:t>16</w:t>
            </w:r>
          </w:p>
        </w:tc>
        <w:tc>
          <w:tcPr>
            <w:tcW w:w="8607" w:type="dxa"/>
          </w:tcPr>
          <w:p w14:paraId="0A5A66DE" w14:textId="77777777" w:rsidR="0092647F" w:rsidRPr="003B58A6" w:rsidRDefault="0092647F" w:rsidP="00B644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TI ((skull or mandibular or nasal or cervical or rib? or sternal or shoulder? or arm? or humerus or forearm? or ulnar or radius or distal or scaphoid or pelvic or femoral or patella or crus or tibia? or trimalleolar or calcaneal or bimalleolar) N3 fracture*) OR AB ((skull or mandibular or nasal or cervical or rib? or sternal or shoulder? or arm? or humerus or forearm? or ulnar or radius or distal or scaphoid or pelvic or femoral or patella or crus or tibia? or trimalleolar or calcaneal or bimalleolar) N3 fracture*)</w:t>
            </w:r>
          </w:p>
          <w:p w14:paraId="7CC7BC83" w14:textId="77777777"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5109B8" w:rsidRPr="003B58A6" w14:paraId="546645EA"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3" w:type="dxa"/>
            <w:gridSpan w:val="2"/>
          </w:tcPr>
          <w:p w14:paraId="054E611B" w14:textId="32291F57" w:rsidR="005109B8" w:rsidRPr="003B58A6" w:rsidRDefault="005109B8" w:rsidP="00B644F9">
            <w:pPr>
              <w:rPr>
                <w:rFonts w:cstheme="minorHAnsi"/>
                <w:b w:val="0"/>
                <w:bCs w:val="0"/>
                <w:sz w:val="18"/>
                <w:szCs w:val="18"/>
              </w:rPr>
            </w:pPr>
            <w:r w:rsidRPr="003B58A6">
              <w:rPr>
                <w:rFonts w:cstheme="minorHAnsi"/>
                <w:b w:val="0"/>
                <w:bCs w:val="0"/>
                <w:sz w:val="18"/>
                <w:szCs w:val="18"/>
              </w:rPr>
              <w:t>17</w:t>
            </w:r>
          </w:p>
        </w:tc>
        <w:tc>
          <w:tcPr>
            <w:tcW w:w="8607" w:type="dxa"/>
          </w:tcPr>
          <w:p w14:paraId="4780786A" w14:textId="77777777" w:rsidR="0092647F" w:rsidRPr="003B58A6" w:rsidRDefault="0092647F" w:rsidP="00B644F9">
            <w:pP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S7 OR S8 OR S9 OR S10 OR S11 OR S12 OR S13 OR S14 OR S15 OR S16</w:t>
            </w:r>
          </w:p>
          <w:p w14:paraId="2AF00115" w14:textId="77777777" w:rsidR="005109B8" w:rsidRPr="003B58A6" w:rsidRDefault="005109B8"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5109B8" w:rsidRPr="003B58A6" w14:paraId="5D5B0542" w14:textId="77777777" w:rsidTr="003B58A6">
        <w:tc>
          <w:tcPr>
            <w:cnfStyle w:val="001000000000" w:firstRow="0" w:lastRow="0" w:firstColumn="1" w:lastColumn="0" w:oddVBand="0" w:evenVBand="0" w:oddHBand="0" w:evenHBand="0" w:firstRowFirstColumn="0" w:firstRowLastColumn="0" w:lastRowFirstColumn="0" w:lastRowLastColumn="0"/>
            <w:tcW w:w="743" w:type="dxa"/>
            <w:gridSpan w:val="2"/>
          </w:tcPr>
          <w:p w14:paraId="6A987CE9" w14:textId="2AF64E7E" w:rsidR="005109B8" w:rsidRPr="003B58A6" w:rsidRDefault="005109B8" w:rsidP="00B644F9">
            <w:pPr>
              <w:rPr>
                <w:rFonts w:cstheme="minorHAnsi"/>
                <w:b w:val="0"/>
                <w:bCs w:val="0"/>
                <w:sz w:val="18"/>
                <w:szCs w:val="18"/>
              </w:rPr>
            </w:pPr>
            <w:r w:rsidRPr="003B58A6">
              <w:rPr>
                <w:rFonts w:cstheme="minorHAnsi"/>
                <w:b w:val="0"/>
                <w:bCs w:val="0"/>
                <w:sz w:val="18"/>
                <w:szCs w:val="18"/>
              </w:rPr>
              <w:t>18</w:t>
            </w:r>
          </w:p>
        </w:tc>
        <w:tc>
          <w:tcPr>
            <w:tcW w:w="8607" w:type="dxa"/>
          </w:tcPr>
          <w:p w14:paraId="3EA917D4" w14:textId="77777777" w:rsidR="0092647F" w:rsidRPr="003B58A6" w:rsidRDefault="0092647F" w:rsidP="00B644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S6 AND S17</w:t>
            </w:r>
          </w:p>
          <w:p w14:paraId="76FCDA99" w14:textId="77777777" w:rsidR="005109B8" w:rsidRPr="003B58A6" w:rsidRDefault="005109B8"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92647F" w:rsidRPr="003B58A6" w14:paraId="06763018"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3"/>
          </w:tcPr>
          <w:p w14:paraId="2D508E77" w14:textId="6E9DF732" w:rsidR="0092647F" w:rsidRPr="003B58A6" w:rsidRDefault="0092647F" w:rsidP="00B644F9">
            <w:pPr>
              <w:rPr>
                <w:rFonts w:eastAsia="Times New Roman" w:cstheme="minorHAnsi"/>
                <w:b w:val="0"/>
                <w:bCs w:val="0"/>
                <w:color w:val="000000"/>
                <w:sz w:val="18"/>
                <w:szCs w:val="18"/>
              </w:rPr>
            </w:pPr>
            <w:r w:rsidRPr="003B58A6">
              <w:rPr>
                <w:rFonts w:eastAsia="Times New Roman" w:cstheme="minorHAnsi"/>
                <w:b w:val="0"/>
                <w:bCs w:val="0"/>
                <w:color w:val="000000"/>
                <w:sz w:val="18"/>
                <w:szCs w:val="18"/>
              </w:rPr>
              <w:t>Scopus</w:t>
            </w:r>
          </w:p>
        </w:tc>
      </w:tr>
      <w:tr w:rsidR="0092647F" w:rsidRPr="003B58A6" w14:paraId="763F3AA0" w14:textId="77777777" w:rsidTr="003B58A6">
        <w:tc>
          <w:tcPr>
            <w:cnfStyle w:val="001000000000" w:firstRow="0" w:lastRow="0" w:firstColumn="1" w:lastColumn="0" w:oddVBand="0" w:evenVBand="0" w:oddHBand="0" w:evenHBand="0" w:firstRowFirstColumn="0" w:firstRowLastColumn="0" w:lastRowFirstColumn="0" w:lastRowLastColumn="0"/>
            <w:tcW w:w="9350" w:type="dxa"/>
            <w:gridSpan w:val="3"/>
          </w:tcPr>
          <w:p w14:paraId="23CA18E7" w14:textId="77777777" w:rsidR="0092647F" w:rsidRPr="003B58A6" w:rsidRDefault="0092647F" w:rsidP="00B644F9">
            <w:pPr>
              <w:rPr>
                <w:b w:val="0"/>
                <w:bCs w:val="0"/>
                <w:sz w:val="18"/>
                <w:szCs w:val="18"/>
              </w:rPr>
            </w:pPr>
            <w:r w:rsidRPr="003B58A6">
              <w:rPr>
                <w:b w:val="0"/>
                <w:bCs w:val="0"/>
                <w:sz w:val="18"/>
                <w:szCs w:val="18"/>
              </w:rPr>
              <w:t xml:space="preserve">( INDEXTERMS ( "Antiinflammatory Agents, Non-Steroidal" )  OR  TITLE-ABS-KEY ( non-steroid*  W/3  ( inflammat*  OR  anti-inflammat*  OR  antiinflammat* ) )  OR  TITLE-ABS-KEY ( ( cyclooxygenase  OR  cyclo-oxygenase  OR  cox-2 )  W/1  ( inhibit*  OR  attenuat* ) )  OR  TITLE-ABS-KEY ( adapalene  OR  ampyrone  OR  antipyrine  OR  apazone  OR  aspirin  OR  bufexamac  OR  carprofen  OR  celecoxib  OR  clonixin  OR  curcumin  OR  diclofenac  OR  diflunisal  OR  dipyrone  OR  epirizole  OR  etanercept  OR  etodolac  OR  fenoprofen  OR  </w:t>
            </w:r>
            <w:r w:rsidRPr="003B58A6">
              <w:rPr>
                <w:b w:val="0"/>
                <w:bCs w:val="0"/>
                <w:sz w:val="18"/>
                <w:szCs w:val="18"/>
              </w:rPr>
              <w:lastRenderedPageBreak/>
              <w:t>feprazone  OR  flurbiprofen  OR  ibuprofen  OR  indomethacin  OR  ketoprofen  OR  ketorolac  OR  masoprocol  OR  meclofenamic  OR  mefenamic  OR  mesalamine  OR  naproxen  OR  niflumic  OR  olopatadine  OR  oxyphenbutazone  OR  phenylbutazone  OR  piroxicam  OR  salicylate*  OR  sulfasalazine  OR  sulindac  OR  suprofen  OR  tolmetin )  OR  TITLE-ABS-KEY ( nsaid?  OR  tactupump  OR  galderma  OR  differin  OR  auralgan  OR  paladin  OR  salicylic  OR  floctafenine  OR  meloxicam  OR  nabumetone  OR  napafenac  OR  oxaprozin  OR  tenoxicam  OR  tiaprofenic ) )  AND  ( INDEXTERMS ( "Fractures, Bone" )  OR  INDEXTERMS ( "Bone and Bones" )  OR  INDEXTERMS ( "Fracture Healing" )  OR  INDEXTERMS ( "Bone Remodeling" )  OR  INDEXTERMS ( "Bone Density" )  OR  TITLE-ABS-KEY ( bone  W/3  ( broken  OR  fracture*  OR  remodel*  OR  regenerat*  OR  density ) )  OR  TITLE-ABS-KEY ( ( fracture?  OR  bone? )  W/3  heal* )  OR  TITLE-ABS-KEY ( ( displace*  OR  open  OR  closed  OR  comminuted  OR  greenstick  OR  transverse  OR  oblique  OR  buckled  OR  pathologic  OR  stress  OR  hairline  OR  compound  OR  traumatic  OR  periprosthetic  OR  linear  OR  spiral  OR  compression  OR  avulsion  OR  impacted  OR  burst  OR  chance  OR  flexion  OR  supracondylar )  W/3  fracture* )  OR  TITLE-ABS-KEY ( ( holstein-lewis  OR  jefferson  OR  clay-shoveler  OR  holdsworth  OR  hume  OR  essex-lopresti  OR  galeazzi  OR  colles?  OR  smith*  OR  barton*  OR  monteggia  OR  rolando  OR  bennett*  OR  boxer*  OR  duverney  OR  pilon  OR  bumper  OR  segond  OR  gosselin  OR  toddler*  OR  bosworth  OR  maisonneuve  OR  "le fort"  OR  pott*  OR  lisfranc  OR  jones  OR  march )  W/3  fracture* )  OR  TITLE-ABS-KEY ( ( skull  OR  mandibular  OR  nasal  OR  cervical  OR  rib?  OR  sternal  OR  shoulder?  OR  arm?  OR  humerus  OR  forearm?  OR  ulnar  OR  radius  OR  distal  OR  scaphoid  OR  pelvic  OR  femoral  OR  patella  OR  crus  OR  tibia?  OR  trimalleolar  OR  calcaneal  OR  bimalleolar )  W/3  fracture* ) )  AND NOT  DBCOLL ( medl ) </w:t>
            </w:r>
          </w:p>
          <w:p w14:paraId="18044106" w14:textId="77777777" w:rsidR="0092647F" w:rsidRPr="003B58A6" w:rsidRDefault="0092647F" w:rsidP="00B644F9">
            <w:pPr>
              <w:rPr>
                <w:rFonts w:eastAsia="Times New Roman" w:cstheme="minorHAnsi"/>
                <w:b w:val="0"/>
                <w:bCs w:val="0"/>
                <w:color w:val="000000"/>
                <w:sz w:val="18"/>
                <w:szCs w:val="18"/>
              </w:rPr>
            </w:pPr>
          </w:p>
        </w:tc>
      </w:tr>
      <w:tr w:rsidR="00B644F9" w:rsidRPr="003B58A6" w14:paraId="3D974B77"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3"/>
          </w:tcPr>
          <w:p w14:paraId="3858B151" w14:textId="17EC32CB" w:rsidR="00B644F9" w:rsidRPr="003B58A6" w:rsidRDefault="00B644F9" w:rsidP="00B644F9">
            <w:pPr>
              <w:rPr>
                <w:b w:val="0"/>
                <w:bCs w:val="0"/>
                <w:sz w:val="18"/>
                <w:szCs w:val="18"/>
              </w:rPr>
            </w:pPr>
            <w:r w:rsidRPr="003B58A6">
              <w:rPr>
                <w:b w:val="0"/>
                <w:bCs w:val="0"/>
                <w:sz w:val="18"/>
                <w:szCs w:val="18"/>
              </w:rPr>
              <w:lastRenderedPageBreak/>
              <w:t>Biosis (Ovid)</w:t>
            </w:r>
          </w:p>
        </w:tc>
      </w:tr>
      <w:tr w:rsidR="00B644F9" w:rsidRPr="003B58A6" w14:paraId="601191C8" w14:textId="77777777" w:rsidTr="003B58A6">
        <w:tc>
          <w:tcPr>
            <w:cnfStyle w:val="001000000000" w:firstRow="0" w:lastRow="0" w:firstColumn="1" w:lastColumn="0" w:oddVBand="0" w:evenVBand="0" w:oddHBand="0" w:evenHBand="0" w:firstRowFirstColumn="0" w:firstRowLastColumn="0" w:lastRowFirstColumn="0" w:lastRowLastColumn="0"/>
            <w:tcW w:w="279" w:type="dxa"/>
          </w:tcPr>
          <w:p w14:paraId="4D6C0B65" w14:textId="4F8A88CD" w:rsidR="00B644F9" w:rsidRPr="003B58A6" w:rsidRDefault="00B644F9" w:rsidP="00B644F9">
            <w:pPr>
              <w:rPr>
                <w:rFonts w:cstheme="minorHAnsi"/>
                <w:b w:val="0"/>
                <w:bCs w:val="0"/>
                <w:sz w:val="18"/>
                <w:szCs w:val="18"/>
              </w:rPr>
            </w:pPr>
            <w:r w:rsidRPr="003B58A6">
              <w:rPr>
                <w:rFonts w:cstheme="minorHAnsi"/>
                <w:b w:val="0"/>
                <w:bCs w:val="0"/>
                <w:sz w:val="18"/>
                <w:szCs w:val="18"/>
              </w:rPr>
              <w:t>1</w:t>
            </w:r>
          </w:p>
        </w:tc>
        <w:tc>
          <w:tcPr>
            <w:tcW w:w="9071" w:type="dxa"/>
            <w:gridSpan w:val="2"/>
          </w:tcPr>
          <w:p w14:paraId="44FE04F9" w14:textId="7467EC2F" w:rsidR="00B644F9" w:rsidRPr="003B58A6" w:rsidRDefault="00B644F9"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(non-steroid* adj3 (inflammat* or anti-inflammat* or antiinflammat*)).ti,ab,kf.</w:t>
            </w:r>
          </w:p>
        </w:tc>
      </w:tr>
      <w:tr w:rsidR="00B644F9" w:rsidRPr="003B58A6" w14:paraId="66E08BDB"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 w:type="dxa"/>
          </w:tcPr>
          <w:p w14:paraId="5C0C6139" w14:textId="10AF016F" w:rsidR="00B644F9" w:rsidRPr="003B58A6" w:rsidRDefault="00B644F9" w:rsidP="00B644F9">
            <w:pPr>
              <w:rPr>
                <w:rFonts w:cstheme="minorHAnsi"/>
                <w:b w:val="0"/>
                <w:bCs w:val="0"/>
                <w:sz w:val="18"/>
                <w:szCs w:val="18"/>
              </w:rPr>
            </w:pPr>
            <w:r w:rsidRPr="003B58A6">
              <w:rPr>
                <w:rFonts w:cstheme="minorHAnsi"/>
                <w:b w:val="0"/>
                <w:bCs w:val="0"/>
                <w:sz w:val="18"/>
                <w:szCs w:val="18"/>
              </w:rPr>
              <w:t>2</w:t>
            </w:r>
          </w:p>
        </w:tc>
        <w:tc>
          <w:tcPr>
            <w:tcW w:w="9071" w:type="dxa"/>
            <w:gridSpan w:val="2"/>
          </w:tcPr>
          <w:p w14:paraId="61FAA032" w14:textId="3DAFEBCE" w:rsidR="00B644F9" w:rsidRPr="003B58A6" w:rsidRDefault="00B644F9"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((cyclooxygenase or cyclo-oxygenase or COX-2) adj1 (inhibit* or attenuat*)).ti,ab,kf.</w:t>
            </w:r>
          </w:p>
        </w:tc>
      </w:tr>
      <w:tr w:rsidR="00B644F9" w:rsidRPr="003B58A6" w14:paraId="36D50C23" w14:textId="77777777" w:rsidTr="003B58A6">
        <w:tc>
          <w:tcPr>
            <w:cnfStyle w:val="001000000000" w:firstRow="0" w:lastRow="0" w:firstColumn="1" w:lastColumn="0" w:oddVBand="0" w:evenVBand="0" w:oddHBand="0" w:evenHBand="0" w:firstRowFirstColumn="0" w:firstRowLastColumn="0" w:lastRowFirstColumn="0" w:lastRowLastColumn="0"/>
            <w:tcW w:w="279" w:type="dxa"/>
          </w:tcPr>
          <w:p w14:paraId="1522615B" w14:textId="2668626D" w:rsidR="00B644F9" w:rsidRPr="003B58A6" w:rsidRDefault="00B644F9" w:rsidP="00B644F9">
            <w:pPr>
              <w:rPr>
                <w:rFonts w:cstheme="minorHAnsi"/>
                <w:b w:val="0"/>
                <w:bCs w:val="0"/>
                <w:sz w:val="18"/>
                <w:szCs w:val="18"/>
              </w:rPr>
            </w:pPr>
            <w:r w:rsidRPr="003B58A6">
              <w:rPr>
                <w:rFonts w:cstheme="minorHAnsi"/>
                <w:b w:val="0"/>
                <w:bCs w:val="0"/>
                <w:sz w:val="18"/>
                <w:szCs w:val="18"/>
              </w:rPr>
              <w:t>3</w:t>
            </w:r>
          </w:p>
        </w:tc>
        <w:tc>
          <w:tcPr>
            <w:tcW w:w="9071" w:type="dxa"/>
            <w:gridSpan w:val="2"/>
          </w:tcPr>
          <w:p w14:paraId="62FD9F4C" w14:textId="019F8961" w:rsidR="00B644F9" w:rsidRPr="003B58A6" w:rsidRDefault="00B644F9"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(adapalene or ampyrone or antipyrine or apazone or aspirin or bufexamac or carprofen or celecoxib or clonixin or curcumin or diclofenac or diflunisal or dipyrone or epirizole or etanercept or etodolac or fenoprofen or feprazone or flurbiprofen or ibuprofen or indomethacin or ketoprofen or ketorolac or masoprocol or meclofenamic or mefenamic or mesalamine or naproxen or niflumic or olopatadine or oxyphenbutazone or phenylbutazone or piroxicam or salicylate* or sulfasalazine or sulindac or suprofen or tolmetin).ti,ab,kf.</w:t>
            </w:r>
          </w:p>
        </w:tc>
      </w:tr>
      <w:tr w:rsidR="00B644F9" w:rsidRPr="003B58A6" w14:paraId="2C5C98E0"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 w:type="dxa"/>
          </w:tcPr>
          <w:p w14:paraId="15F9F57B" w14:textId="0D94C611" w:rsidR="00B644F9" w:rsidRPr="003B58A6" w:rsidRDefault="00B644F9" w:rsidP="00B644F9">
            <w:pPr>
              <w:rPr>
                <w:rFonts w:cstheme="minorHAnsi"/>
                <w:b w:val="0"/>
                <w:bCs w:val="0"/>
                <w:sz w:val="18"/>
                <w:szCs w:val="18"/>
              </w:rPr>
            </w:pPr>
            <w:r w:rsidRPr="003B58A6">
              <w:rPr>
                <w:rFonts w:cstheme="minorHAnsi"/>
                <w:b w:val="0"/>
                <w:bCs w:val="0"/>
                <w:sz w:val="18"/>
                <w:szCs w:val="18"/>
              </w:rPr>
              <w:t>4</w:t>
            </w:r>
          </w:p>
        </w:tc>
        <w:tc>
          <w:tcPr>
            <w:tcW w:w="9071" w:type="dxa"/>
            <w:gridSpan w:val="2"/>
          </w:tcPr>
          <w:p w14:paraId="314B2F26" w14:textId="332BB5F8" w:rsidR="00B644F9" w:rsidRPr="003B58A6" w:rsidRDefault="00B644F9"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(NSAID? or tactupump or galderma or differin or auralgan or paladin or salicylic or floctafenine or meloxicam or nabumetone or napafenac or oxaprozin or tenoxicam or tiaprofenic).ti,ab,kf.</w:t>
            </w:r>
          </w:p>
        </w:tc>
      </w:tr>
      <w:tr w:rsidR="00B644F9" w:rsidRPr="003B58A6" w14:paraId="6602BFD5" w14:textId="77777777" w:rsidTr="003B58A6">
        <w:tc>
          <w:tcPr>
            <w:cnfStyle w:val="001000000000" w:firstRow="0" w:lastRow="0" w:firstColumn="1" w:lastColumn="0" w:oddVBand="0" w:evenVBand="0" w:oddHBand="0" w:evenHBand="0" w:firstRowFirstColumn="0" w:firstRowLastColumn="0" w:lastRowFirstColumn="0" w:lastRowLastColumn="0"/>
            <w:tcW w:w="279" w:type="dxa"/>
          </w:tcPr>
          <w:p w14:paraId="0FF81D37" w14:textId="1F7F452E" w:rsidR="00B644F9" w:rsidRPr="003B58A6" w:rsidRDefault="00B644F9" w:rsidP="00B644F9">
            <w:pPr>
              <w:rPr>
                <w:rFonts w:cstheme="minorHAnsi"/>
                <w:b w:val="0"/>
                <w:bCs w:val="0"/>
                <w:sz w:val="18"/>
                <w:szCs w:val="18"/>
              </w:rPr>
            </w:pPr>
            <w:r w:rsidRPr="003B58A6">
              <w:rPr>
                <w:rFonts w:cstheme="minorHAnsi"/>
                <w:b w:val="0"/>
                <w:bCs w:val="0"/>
                <w:sz w:val="18"/>
                <w:szCs w:val="18"/>
              </w:rPr>
              <w:t>5</w:t>
            </w:r>
          </w:p>
        </w:tc>
        <w:tc>
          <w:tcPr>
            <w:tcW w:w="9071" w:type="dxa"/>
            <w:gridSpan w:val="2"/>
          </w:tcPr>
          <w:p w14:paraId="3C856F11" w14:textId="6E39091B" w:rsidR="00B644F9" w:rsidRPr="003B58A6" w:rsidRDefault="00B644F9"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or/1-5</w:t>
            </w:r>
          </w:p>
        </w:tc>
      </w:tr>
      <w:tr w:rsidR="00B644F9" w:rsidRPr="003B58A6" w14:paraId="4ED1F631"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 w:type="dxa"/>
          </w:tcPr>
          <w:p w14:paraId="4F327B21" w14:textId="708DC8BB" w:rsidR="00B644F9" w:rsidRPr="003B58A6" w:rsidRDefault="00B644F9" w:rsidP="00B644F9">
            <w:pPr>
              <w:rPr>
                <w:rFonts w:cstheme="minorHAnsi"/>
                <w:b w:val="0"/>
                <w:bCs w:val="0"/>
                <w:sz w:val="18"/>
                <w:szCs w:val="18"/>
              </w:rPr>
            </w:pPr>
            <w:r w:rsidRPr="003B58A6">
              <w:rPr>
                <w:rFonts w:cstheme="minorHAnsi"/>
                <w:b w:val="0"/>
                <w:bCs w:val="0"/>
                <w:sz w:val="18"/>
                <w:szCs w:val="18"/>
              </w:rPr>
              <w:t>6</w:t>
            </w:r>
          </w:p>
        </w:tc>
        <w:tc>
          <w:tcPr>
            <w:tcW w:w="9071" w:type="dxa"/>
            <w:gridSpan w:val="2"/>
          </w:tcPr>
          <w:p w14:paraId="5EAA858A" w14:textId="6A112AEE" w:rsidR="00B644F9" w:rsidRPr="003B58A6" w:rsidRDefault="00B644F9"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(bone adj3 (broken or fracture* or remodel* or regenerat* or density)).ti,ab,kf.</w:t>
            </w:r>
          </w:p>
        </w:tc>
      </w:tr>
      <w:tr w:rsidR="00B644F9" w:rsidRPr="003B58A6" w14:paraId="6F009D09" w14:textId="77777777" w:rsidTr="003B58A6">
        <w:tc>
          <w:tcPr>
            <w:cnfStyle w:val="001000000000" w:firstRow="0" w:lastRow="0" w:firstColumn="1" w:lastColumn="0" w:oddVBand="0" w:evenVBand="0" w:oddHBand="0" w:evenHBand="0" w:firstRowFirstColumn="0" w:firstRowLastColumn="0" w:lastRowFirstColumn="0" w:lastRowLastColumn="0"/>
            <w:tcW w:w="279" w:type="dxa"/>
          </w:tcPr>
          <w:p w14:paraId="59462F8B" w14:textId="0A5A91AB" w:rsidR="00B644F9" w:rsidRPr="003B58A6" w:rsidRDefault="00B644F9" w:rsidP="00B644F9">
            <w:pPr>
              <w:rPr>
                <w:rFonts w:cstheme="minorHAnsi"/>
                <w:b w:val="0"/>
                <w:bCs w:val="0"/>
                <w:sz w:val="18"/>
                <w:szCs w:val="18"/>
              </w:rPr>
            </w:pPr>
            <w:r w:rsidRPr="003B58A6">
              <w:rPr>
                <w:rFonts w:cstheme="minorHAnsi"/>
                <w:b w:val="0"/>
                <w:bCs w:val="0"/>
                <w:sz w:val="18"/>
                <w:szCs w:val="18"/>
              </w:rPr>
              <w:t>7</w:t>
            </w:r>
          </w:p>
        </w:tc>
        <w:tc>
          <w:tcPr>
            <w:tcW w:w="9071" w:type="dxa"/>
            <w:gridSpan w:val="2"/>
          </w:tcPr>
          <w:p w14:paraId="749ABAE3" w14:textId="1FFD7817" w:rsidR="00B644F9" w:rsidRPr="003B58A6" w:rsidRDefault="00B644F9"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((fracture? or bone?) adj3 heal*).ti,ab,kf.</w:t>
            </w:r>
          </w:p>
        </w:tc>
      </w:tr>
      <w:tr w:rsidR="00B644F9" w:rsidRPr="003B58A6" w14:paraId="70078C90"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 w:type="dxa"/>
          </w:tcPr>
          <w:p w14:paraId="4230460C" w14:textId="4F92F79B" w:rsidR="00B644F9" w:rsidRPr="003B58A6" w:rsidRDefault="00B644F9" w:rsidP="00B644F9">
            <w:pPr>
              <w:rPr>
                <w:rFonts w:cstheme="minorHAnsi"/>
                <w:b w:val="0"/>
                <w:bCs w:val="0"/>
                <w:sz w:val="18"/>
                <w:szCs w:val="18"/>
              </w:rPr>
            </w:pPr>
            <w:r w:rsidRPr="003B58A6">
              <w:rPr>
                <w:rFonts w:cstheme="minorHAnsi"/>
                <w:b w:val="0"/>
                <w:bCs w:val="0"/>
                <w:sz w:val="18"/>
                <w:szCs w:val="18"/>
              </w:rPr>
              <w:t>8</w:t>
            </w:r>
          </w:p>
        </w:tc>
        <w:tc>
          <w:tcPr>
            <w:tcW w:w="9071" w:type="dxa"/>
            <w:gridSpan w:val="2"/>
          </w:tcPr>
          <w:p w14:paraId="50FC098F" w14:textId="3BDE5EF0" w:rsidR="00B644F9" w:rsidRPr="003B58A6" w:rsidRDefault="00B644F9"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((displace* or open or closed or comminuted or greenstick or transverse or oblique or buckled or pathologic or stress or hairline or compound or traumatic or periprosthetic or linear or spiral or compression or avulsion or impacted or burst or chance or flexion or supracondylar) adj3 fracture*).ti,ab,kf.</w:t>
            </w:r>
          </w:p>
        </w:tc>
      </w:tr>
      <w:tr w:rsidR="00B644F9" w:rsidRPr="003B58A6" w14:paraId="33699563" w14:textId="77777777" w:rsidTr="003B58A6">
        <w:tc>
          <w:tcPr>
            <w:cnfStyle w:val="001000000000" w:firstRow="0" w:lastRow="0" w:firstColumn="1" w:lastColumn="0" w:oddVBand="0" w:evenVBand="0" w:oddHBand="0" w:evenHBand="0" w:firstRowFirstColumn="0" w:firstRowLastColumn="0" w:lastRowFirstColumn="0" w:lastRowLastColumn="0"/>
            <w:tcW w:w="279" w:type="dxa"/>
          </w:tcPr>
          <w:p w14:paraId="64ECBAE1" w14:textId="5431CEC6" w:rsidR="00B644F9" w:rsidRPr="003B58A6" w:rsidRDefault="00B644F9" w:rsidP="00B644F9">
            <w:pPr>
              <w:rPr>
                <w:rFonts w:cstheme="minorHAnsi"/>
                <w:b w:val="0"/>
                <w:bCs w:val="0"/>
                <w:sz w:val="18"/>
                <w:szCs w:val="18"/>
              </w:rPr>
            </w:pPr>
            <w:r w:rsidRPr="003B58A6">
              <w:rPr>
                <w:rFonts w:cstheme="minorHAnsi"/>
                <w:b w:val="0"/>
                <w:bCs w:val="0"/>
                <w:sz w:val="18"/>
                <w:szCs w:val="18"/>
              </w:rPr>
              <w:t>9</w:t>
            </w:r>
          </w:p>
        </w:tc>
        <w:tc>
          <w:tcPr>
            <w:tcW w:w="9071" w:type="dxa"/>
            <w:gridSpan w:val="2"/>
          </w:tcPr>
          <w:p w14:paraId="68CA4944" w14:textId="711369BE" w:rsidR="00B644F9" w:rsidRPr="003B58A6" w:rsidRDefault="00B644F9"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((holstein-lewis or jefferson or clay-shoveler or holdsworth or hume or essex-lopresti or galeazzi or colles? or smith* or barton* or monteggia or rolando or bennett* or boxer* or duverney or pilon or bumper or segond or gosselin or toddler* or bosworth or maisonneuve or "le fort" or pott* or lisfranc or jones or march) adj3 fracture*).ti,ab,kf.</w:t>
            </w:r>
          </w:p>
        </w:tc>
      </w:tr>
      <w:tr w:rsidR="00B644F9" w:rsidRPr="003B58A6" w14:paraId="5468B948"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 w:type="dxa"/>
          </w:tcPr>
          <w:p w14:paraId="24331135" w14:textId="5AD92E41" w:rsidR="00B644F9" w:rsidRPr="003B58A6" w:rsidRDefault="00B644F9" w:rsidP="00B644F9">
            <w:pPr>
              <w:rPr>
                <w:rFonts w:cstheme="minorHAnsi"/>
                <w:b w:val="0"/>
                <w:bCs w:val="0"/>
                <w:sz w:val="18"/>
                <w:szCs w:val="18"/>
              </w:rPr>
            </w:pPr>
            <w:r w:rsidRPr="003B58A6">
              <w:rPr>
                <w:rFonts w:cstheme="minorHAnsi"/>
                <w:b w:val="0"/>
                <w:bCs w:val="0"/>
                <w:sz w:val="18"/>
                <w:szCs w:val="18"/>
              </w:rPr>
              <w:t>10</w:t>
            </w:r>
          </w:p>
        </w:tc>
        <w:tc>
          <w:tcPr>
            <w:tcW w:w="9071" w:type="dxa"/>
            <w:gridSpan w:val="2"/>
          </w:tcPr>
          <w:p w14:paraId="5627EAD4" w14:textId="4EF3668A" w:rsidR="00B644F9" w:rsidRPr="003B58A6" w:rsidRDefault="00B644F9" w:rsidP="00B644F9">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3B58A6">
              <w:rPr>
                <w:rFonts w:eastAsia="Times New Roman" w:cstheme="minorHAnsi"/>
                <w:color w:val="000000"/>
                <w:sz w:val="18"/>
                <w:szCs w:val="18"/>
                <w:lang w:eastAsia="en-GB"/>
              </w:rPr>
              <w:t>((skull or mandibular or nasal or cervical or rib? or sternal or shoulder? or arm? or humerus or forearm? or ulnar or radius or distal or scaphoid or pelvic or femoral or patella or crus or tibia? or trimalleolar or calcaneal or bimalleolar) adj3 fracture*).ti,ab,kf.</w:t>
            </w:r>
          </w:p>
        </w:tc>
      </w:tr>
      <w:tr w:rsidR="00B644F9" w:rsidRPr="003B58A6" w14:paraId="7A6CE73F" w14:textId="77777777" w:rsidTr="003B58A6">
        <w:tc>
          <w:tcPr>
            <w:cnfStyle w:val="001000000000" w:firstRow="0" w:lastRow="0" w:firstColumn="1" w:lastColumn="0" w:oddVBand="0" w:evenVBand="0" w:oddHBand="0" w:evenHBand="0" w:firstRowFirstColumn="0" w:firstRowLastColumn="0" w:lastRowFirstColumn="0" w:lastRowLastColumn="0"/>
            <w:tcW w:w="279" w:type="dxa"/>
          </w:tcPr>
          <w:p w14:paraId="459299FB" w14:textId="4DF281E0" w:rsidR="00B644F9" w:rsidRPr="003B58A6" w:rsidRDefault="00B644F9" w:rsidP="00B644F9">
            <w:pPr>
              <w:rPr>
                <w:rFonts w:cstheme="minorHAnsi"/>
                <w:b w:val="0"/>
                <w:bCs w:val="0"/>
                <w:sz w:val="18"/>
                <w:szCs w:val="18"/>
              </w:rPr>
            </w:pPr>
            <w:r w:rsidRPr="003B58A6">
              <w:rPr>
                <w:rFonts w:cstheme="minorHAnsi"/>
                <w:b w:val="0"/>
                <w:bCs w:val="0"/>
                <w:sz w:val="18"/>
                <w:szCs w:val="18"/>
              </w:rPr>
              <w:t>11</w:t>
            </w:r>
          </w:p>
        </w:tc>
        <w:tc>
          <w:tcPr>
            <w:tcW w:w="9071" w:type="dxa"/>
            <w:gridSpan w:val="2"/>
          </w:tcPr>
          <w:p w14:paraId="19C2FA7A" w14:textId="77777777" w:rsidR="00B644F9" w:rsidRPr="003B58A6" w:rsidRDefault="00B644F9" w:rsidP="00B644F9">
            <w:pP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sz w:val="18"/>
                <w:szCs w:val="18"/>
              </w:rPr>
            </w:pPr>
            <w:r w:rsidRPr="003B58A6">
              <w:rPr>
                <w:rFonts w:eastAsia="Times New Roman" w:cstheme="minorHAnsi"/>
                <w:color w:val="000000"/>
                <w:sz w:val="18"/>
                <w:szCs w:val="18"/>
              </w:rPr>
              <w:t>or/7-16</w:t>
            </w:r>
          </w:p>
          <w:p w14:paraId="242A00C9" w14:textId="77777777" w:rsidR="00B644F9" w:rsidRPr="003B58A6" w:rsidRDefault="00B644F9" w:rsidP="00B644F9">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B644F9" w:rsidRPr="003B58A6" w14:paraId="49F4CDDE" w14:textId="77777777" w:rsidTr="003B58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 w:type="dxa"/>
          </w:tcPr>
          <w:p w14:paraId="4303381E" w14:textId="5C55622F" w:rsidR="00B644F9" w:rsidRPr="003B58A6" w:rsidRDefault="00B644F9" w:rsidP="00B644F9">
            <w:pPr>
              <w:rPr>
                <w:b w:val="0"/>
                <w:bCs w:val="0"/>
                <w:sz w:val="18"/>
                <w:szCs w:val="18"/>
              </w:rPr>
            </w:pPr>
            <w:r w:rsidRPr="003B58A6">
              <w:rPr>
                <w:b w:val="0"/>
                <w:bCs w:val="0"/>
                <w:sz w:val="18"/>
                <w:szCs w:val="18"/>
              </w:rPr>
              <w:t>12</w:t>
            </w:r>
          </w:p>
        </w:tc>
        <w:tc>
          <w:tcPr>
            <w:tcW w:w="9071" w:type="dxa"/>
            <w:gridSpan w:val="2"/>
          </w:tcPr>
          <w:p w14:paraId="6D8CB47B" w14:textId="7E0732AC" w:rsidR="00B644F9" w:rsidRPr="003B58A6" w:rsidRDefault="00B644F9" w:rsidP="00B644F9">
            <w:pPr>
              <w:cnfStyle w:val="000000100000" w:firstRow="0" w:lastRow="0" w:firstColumn="0" w:lastColumn="0" w:oddVBand="0" w:evenVBand="0" w:oddHBand="1" w:evenHBand="0" w:firstRowFirstColumn="0" w:firstRowLastColumn="0" w:lastRowFirstColumn="0" w:lastRowLastColumn="0"/>
              <w:rPr>
                <w:sz w:val="18"/>
                <w:szCs w:val="18"/>
              </w:rPr>
            </w:pPr>
            <w:r w:rsidRPr="003B58A6">
              <w:rPr>
                <w:sz w:val="18"/>
                <w:szCs w:val="18"/>
              </w:rPr>
              <w:t>5 and 11</w:t>
            </w:r>
          </w:p>
        </w:tc>
      </w:tr>
    </w:tbl>
    <w:p w14:paraId="0064BCBF" w14:textId="10431BCD" w:rsidR="005F33FD" w:rsidRDefault="005F33FD" w:rsidP="005F33FD">
      <w:r>
        <w:br w:type="page"/>
      </w:r>
    </w:p>
    <w:p w14:paraId="2104A42E" w14:textId="6A15A2E4" w:rsidR="005377C9" w:rsidRDefault="005377C9" w:rsidP="00B52FB7">
      <w:r>
        <w:lastRenderedPageBreak/>
        <w:t xml:space="preserve">Table S 3. </w:t>
      </w:r>
      <w:r w:rsidRPr="005F715C">
        <w:t xml:space="preserve">SYRCLE’s tool for assessing </w:t>
      </w:r>
      <w:r>
        <w:t xml:space="preserve">the </w:t>
      </w:r>
      <w:r w:rsidRPr="00D3426D">
        <w:rPr>
          <w:noProof/>
        </w:rPr>
        <w:t>risk</w:t>
      </w:r>
      <w:r w:rsidRPr="005F715C">
        <w:t xml:space="preserve"> of bias </w:t>
      </w:r>
      <w:r>
        <w:t>(</w:t>
      </w:r>
      <w:r w:rsidRPr="005F715C">
        <w:t>Hoo</w:t>
      </w:r>
      <w:r>
        <w:t>i</w:t>
      </w:r>
      <w:r w:rsidRPr="005F715C">
        <w:t xml:space="preserve">jman </w:t>
      </w:r>
      <w:r w:rsidRPr="00D3426D">
        <w:rPr>
          <w:noProof/>
        </w:rPr>
        <w:t>et al</w:t>
      </w:r>
      <w:r w:rsidRPr="005F715C">
        <w:t xml:space="preserve"> 2014</w:t>
      </w:r>
      <w:r>
        <w:t xml:space="preserve">) </w:t>
      </w:r>
      <w:r>
        <w:fldChar w:fldCharType="begin"/>
      </w:r>
      <w:r>
        <w:instrText xml:space="preserve"> ADDIN EN.CITE &lt;EndNote&gt;&lt;Cite&gt;&lt;Author&gt;Hooijmans&lt;/Author&gt;&lt;Year&gt;2014&lt;/Year&gt;&lt;RecNum&gt;4129&lt;/RecNum&gt;&lt;DisplayText&gt;(1)&lt;/DisplayText&gt;&lt;record&gt;&lt;rec-number&gt;4129&lt;/rec-number&gt;&lt;foreign-keys&gt;&lt;key app="EN" db-id="929z22wv3a2929ettfh529v8fsfd52ax9dsr" timestamp="1481742633"&gt;4129&lt;/key&gt;&lt;key app="ENWeb" db-id=""&gt;0&lt;/key&gt;&lt;/foreign-keys&gt;&lt;ref-type name="Journal Article"&gt;17&lt;/ref-type&gt;&lt;contributors&gt;&lt;authors&gt;&lt;author&gt;Hooijmans, C. R.&lt;/author&gt;&lt;author&gt;Rovers, M. M.&lt;/author&gt;&lt;author&gt;de Vries, R. B.&lt;/author&gt;&lt;author&gt;Leenaars, M.&lt;/author&gt;&lt;author&gt;Ritskes-Hoitinga, M.&lt;/author&gt;&lt;author&gt;Langendam, M. W.&lt;/author&gt;&lt;/authors&gt;&lt;/contributors&gt;&lt;auth-address&gt;SYRCLE at Central Animal Laboratory, Radboud University Medical Center, Nijmegen, the Netherlands. Carlijn.Hooijmans@radboudumc.nl.&lt;/auth-address&gt;&lt;titles&gt;&lt;title&gt;SYRCLE&amp;apos;s risk of bias tool for animal studies&lt;/title&gt;&lt;secondary-title&gt;BMC Med Res Methodol&lt;/secondary-title&gt;&lt;alt-title&gt;BMC medical research methodology&lt;/alt-title&gt;&lt;/titles&gt;&lt;periodical&gt;&lt;full-title&gt;BMC Med Res Methodol&lt;/full-title&gt;&lt;abbr-1&gt;BMC medical research methodology&lt;/abbr-1&gt;&lt;/periodical&gt;&lt;alt-periodical&gt;&lt;full-title&gt;BMC Med Res Methodol&lt;/full-title&gt;&lt;abbr-1&gt;BMC medical research methodology&lt;/abbr-1&gt;&lt;/alt-periodical&gt;&lt;pages&gt;43&lt;/pages&gt;&lt;volume&gt;14&lt;/volume&gt;&lt;edition&gt;2014/03/29&lt;/edition&gt;&lt;keywords&gt;&lt;keyword&gt;Animal Experimentation&lt;/keyword&gt;&lt;keyword&gt;Animals&lt;/keyword&gt;&lt;keyword&gt;*Bias (Epidemiology)&lt;/keyword&gt;&lt;keyword&gt;Drug Evaluation, Preclinical/*methods&lt;/keyword&gt;&lt;keyword&gt;Randomized Controlled Trials as Topic/*methods&lt;/keyword&gt;&lt;keyword&gt;Research Design&lt;/keyword&gt;&lt;/keywords&gt;&lt;dates&gt;&lt;year&gt;2014&lt;/year&gt;&lt;pub-dates&gt;&lt;date&gt;Mar 26&lt;/date&gt;&lt;/pub-dates&gt;&lt;/dates&gt;&lt;isbn&gt;1471-2288&lt;/isbn&gt;&lt;accession-num&gt;24667063&lt;/accession-num&gt;&lt;urls&gt;&lt;related-urls&gt;&lt;url&gt;https://www.ncbi.nlm.nih.gov/pmc/articles/PMC4230647/pdf/1471-2288-14-43.pdf&lt;/url&gt;&lt;/related-urls&gt;&lt;/urls&gt;&lt;custom2&gt;PMC4230647&lt;/custom2&gt;&lt;electronic-resource-num&gt;10.1186/1471-2288-14-43&lt;/electronic-resource-num&gt;&lt;remote-database-provider&gt;NLM&lt;/remote-database-provider&gt;&lt;language&gt;eng&lt;/language&gt;&lt;/record&gt;&lt;/Cite&gt;&lt;/EndNote&gt;</w:instrText>
      </w:r>
      <w:r>
        <w:fldChar w:fldCharType="separate"/>
      </w:r>
      <w:r>
        <w:rPr>
          <w:noProof/>
        </w:rPr>
        <w:t>(1)</w:t>
      </w:r>
      <w:r>
        <w:fldChar w:fldCharType="end"/>
      </w:r>
      <w:r w:rsidRPr="005F715C">
        <w:t xml:space="preserve"> </w:t>
      </w:r>
    </w:p>
    <w:p w14:paraId="4A1B2CB6" w14:textId="77777777" w:rsidR="005377C9" w:rsidRDefault="005377C9" w:rsidP="005377C9"/>
    <w:tbl>
      <w:tblPr>
        <w:tblStyle w:val="PlainTable2"/>
        <w:tblW w:w="9990" w:type="dxa"/>
        <w:tblLook w:val="04A0" w:firstRow="1" w:lastRow="0" w:firstColumn="1" w:lastColumn="0" w:noHBand="0" w:noVBand="1"/>
      </w:tblPr>
      <w:tblGrid>
        <w:gridCol w:w="567"/>
        <w:gridCol w:w="1290"/>
        <w:gridCol w:w="1510"/>
        <w:gridCol w:w="4310"/>
        <w:gridCol w:w="2313"/>
      </w:tblGrid>
      <w:tr w:rsidR="005377C9" w:rsidRPr="009942E0" w14:paraId="109A663B" w14:textId="77777777" w:rsidTr="009942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F8F1E35" w14:textId="77777777" w:rsidR="005377C9" w:rsidRPr="009942E0" w:rsidRDefault="005377C9" w:rsidP="005F33FD">
            <w:pPr>
              <w:spacing w:after="40"/>
              <w:rPr>
                <w:rFonts w:asciiTheme="minorBidi" w:hAnsiTheme="minorBidi"/>
                <w:b w:val="0"/>
                <w:bCs w:val="0"/>
                <w:sz w:val="18"/>
                <w:szCs w:val="18"/>
              </w:rPr>
            </w:pPr>
            <w:r w:rsidRPr="009942E0">
              <w:rPr>
                <w:rFonts w:asciiTheme="minorBidi" w:hAnsiTheme="minorBidi"/>
                <w:b w:val="0"/>
                <w:bCs w:val="0"/>
                <w:sz w:val="18"/>
                <w:szCs w:val="18"/>
              </w:rPr>
              <w:t>Item</w:t>
            </w:r>
          </w:p>
        </w:tc>
        <w:tc>
          <w:tcPr>
            <w:tcW w:w="0" w:type="auto"/>
            <w:hideMark/>
          </w:tcPr>
          <w:p w14:paraId="008693CD" w14:textId="77777777" w:rsidR="005377C9" w:rsidRPr="009942E0" w:rsidRDefault="005377C9" w:rsidP="005F33FD">
            <w:pPr>
              <w:spacing w:after="40"/>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18"/>
                <w:szCs w:val="18"/>
              </w:rPr>
            </w:pPr>
            <w:r w:rsidRPr="009942E0">
              <w:rPr>
                <w:rFonts w:asciiTheme="minorBidi" w:hAnsiTheme="minorBidi"/>
                <w:b w:val="0"/>
                <w:bCs w:val="0"/>
                <w:sz w:val="18"/>
                <w:szCs w:val="18"/>
              </w:rPr>
              <w:t>Type of bias</w:t>
            </w:r>
          </w:p>
        </w:tc>
        <w:tc>
          <w:tcPr>
            <w:tcW w:w="0" w:type="auto"/>
            <w:hideMark/>
          </w:tcPr>
          <w:p w14:paraId="45E0C9F5" w14:textId="77777777" w:rsidR="005377C9" w:rsidRPr="009942E0" w:rsidRDefault="005377C9" w:rsidP="005F33FD">
            <w:pPr>
              <w:spacing w:after="40"/>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18"/>
                <w:szCs w:val="18"/>
              </w:rPr>
            </w:pPr>
            <w:r w:rsidRPr="009942E0">
              <w:rPr>
                <w:rFonts w:asciiTheme="minorBidi" w:hAnsiTheme="minorBidi"/>
                <w:b w:val="0"/>
                <w:bCs w:val="0"/>
                <w:sz w:val="18"/>
                <w:szCs w:val="18"/>
              </w:rPr>
              <w:t>Domain</w:t>
            </w:r>
          </w:p>
        </w:tc>
        <w:tc>
          <w:tcPr>
            <w:tcW w:w="0" w:type="auto"/>
            <w:hideMark/>
          </w:tcPr>
          <w:p w14:paraId="5BB09578" w14:textId="77777777" w:rsidR="005377C9" w:rsidRPr="009942E0" w:rsidRDefault="005377C9" w:rsidP="005F33FD">
            <w:pPr>
              <w:spacing w:after="40"/>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18"/>
                <w:szCs w:val="18"/>
              </w:rPr>
            </w:pPr>
            <w:r w:rsidRPr="009942E0">
              <w:rPr>
                <w:rFonts w:asciiTheme="minorBidi" w:hAnsiTheme="minorBidi"/>
                <w:b w:val="0"/>
                <w:bCs w:val="0"/>
                <w:sz w:val="18"/>
                <w:szCs w:val="18"/>
              </w:rPr>
              <w:t>Description of domain</w:t>
            </w:r>
          </w:p>
        </w:tc>
        <w:tc>
          <w:tcPr>
            <w:tcW w:w="0" w:type="auto"/>
            <w:hideMark/>
          </w:tcPr>
          <w:p w14:paraId="2062FD41" w14:textId="77777777" w:rsidR="005377C9" w:rsidRPr="009942E0" w:rsidRDefault="005377C9" w:rsidP="005F33FD">
            <w:pPr>
              <w:spacing w:after="40"/>
              <w:cnfStyle w:val="100000000000" w:firstRow="1" w:lastRow="0" w:firstColumn="0" w:lastColumn="0" w:oddVBand="0" w:evenVBand="0" w:oddHBand="0" w:evenHBand="0" w:firstRowFirstColumn="0" w:firstRowLastColumn="0" w:lastRowFirstColumn="0" w:lastRowLastColumn="0"/>
              <w:rPr>
                <w:rFonts w:asciiTheme="minorBidi" w:hAnsiTheme="minorBidi"/>
                <w:b w:val="0"/>
                <w:bCs w:val="0"/>
                <w:sz w:val="18"/>
                <w:szCs w:val="18"/>
              </w:rPr>
            </w:pPr>
            <w:r w:rsidRPr="009942E0">
              <w:rPr>
                <w:rFonts w:asciiTheme="minorBidi" w:hAnsiTheme="minorBidi"/>
                <w:b w:val="0"/>
                <w:bCs w:val="0"/>
                <w:sz w:val="18"/>
                <w:szCs w:val="18"/>
              </w:rPr>
              <w:t>Review authors judgment</w:t>
            </w:r>
          </w:p>
        </w:tc>
      </w:tr>
      <w:tr w:rsidR="005377C9" w:rsidRPr="009942E0" w14:paraId="392D1D84" w14:textId="77777777" w:rsidTr="00994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E50A114"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1</w:t>
            </w:r>
          </w:p>
        </w:tc>
        <w:tc>
          <w:tcPr>
            <w:tcW w:w="0" w:type="auto"/>
            <w:hideMark/>
          </w:tcPr>
          <w:p w14:paraId="46404638"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Selection bias</w:t>
            </w:r>
          </w:p>
        </w:tc>
        <w:tc>
          <w:tcPr>
            <w:tcW w:w="0" w:type="auto"/>
            <w:hideMark/>
          </w:tcPr>
          <w:p w14:paraId="2AD2B6E6"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Sequence generation</w:t>
            </w:r>
          </w:p>
        </w:tc>
        <w:tc>
          <w:tcPr>
            <w:tcW w:w="0" w:type="auto"/>
            <w:hideMark/>
          </w:tcPr>
          <w:p w14:paraId="70BF6640"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Describe the methods used, if any, to generate the allocation sequence in sufficient detail to allow an assessment whether it should produce comparable groups.</w:t>
            </w:r>
          </w:p>
        </w:tc>
        <w:tc>
          <w:tcPr>
            <w:tcW w:w="0" w:type="auto"/>
            <w:hideMark/>
          </w:tcPr>
          <w:p w14:paraId="79C29723"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Was the allocation sequence adequately generated and applied? (*)</w:t>
            </w:r>
          </w:p>
        </w:tc>
      </w:tr>
      <w:tr w:rsidR="005377C9" w:rsidRPr="009942E0" w14:paraId="7DAACA96" w14:textId="77777777" w:rsidTr="009942E0">
        <w:tc>
          <w:tcPr>
            <w:cnfStyle w:val="001000000000" w:firstRow="0" w:lastRow="0" w:firstColumn="1" w:lastColumn="0" w:oddVBand="0" w:evenVBand="0" w:oddHBand="0" w:evenHBand="0" w:firstRowFirstColumn="0" w:firstRowLastColumn="0" w:lastRowFirstColumn="0" w:lastRowLastColumn="0"/>
            <w:tcW w:w="0" w:type="auto"/>
            <w:hideMark/>
          </w:tcPr>
          <w:p w14:paraId="12D217EA"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2</w:t>
            </w:r>
          </w:p>
        </w:tc>
        <w:tc>
          <w:tcPr>
            <w:tcW w:w="0" w:type="auto"/>
            <w:hideMark/>
          </w:tcPr>
          <w:p w14:paraId="20EC2003"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Selection bias</w:t>
            </w:r>
          </w:p>
        </w:tc>
        <w:tc>
          <w:tcPr>
            <w:tcW w:w="0" w:type="auto"/>
            <w:hideMark/>
          </w:tcPr>
          <w:p w14:paraId="1D94C8D1"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Baseline characteristics</w:t>
            </w:r>
          </w:p>
        </w:tc>
        <w:tc>
          <w:tcPr>
            <w:tcW w:w="0" w:type="auto"/>
            <w:hideMark/>
          </w:tcPr>
          <w:p w14:paraId="6FE8B677"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Describe all the possible prognostic factors or animal characteristics, if any, that are compared in order to judge whether or not intervention and control groups were similar at the start of the experiment.</w:t>
            </w:r>
          </w:p>
        </w:tc>
        <w:tc>
          <w:tcPr>
            <w:tcW w:w="0" w:type="auto"/>
            <w:hideMark/>
          </w:tcPr>
          <w:p w14:paraId="4DACEA71"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Were the groups similar at baseline or were they adjusted for confounders in the analysis?</w:t>
            </w:r>
          </w:p>
        </w:tc>
      </w:tr>
      <w:tr w:rsidR="005377C9" w:rsidRPr="009942E0" w14:paraId="6FBCC6A1" w14:textId="77777777" w:rsidTr="00994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C2ADF05"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3</w:t>
            </w:r>
          </w:p>
        </w:tc>
        <w:tc>
          <w:tcPr>
            <w:tcW w:w="0" w:type="auto"/>
            <w:hideMark/>
          </w:tcPr>
          <w:p w14:paraId="33BA867A"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Selection bias</w:t>
            </w:r>
          </w:p>
        </w:tc>
        <w:tc>
          <w:tcPr>
            <w:tcW w:w="0" w:type="auto"/>
            <w:hideMark/>
          </w:tcPr>
          <w:p w14:paraId="15C5D0FD"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Allocation concealment</w:t>
            </w:r>
          </w:p>
        </w:tc>
        <w:tc>
          <w:tcPr>
            <w:tcW w:w="0" w:type="auto"/>
            <w:hideMark/>
          </w:tcPr>
          <w:p w14:paraId="60EF2524"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Describe the method used to conceal the allocation sequence in sufficient detail to determine whether intervention allocations could have been foreseen before or during enrolment.</w:t>
            </w:r>
          </w:p>
        </w:tc>
        <w:tc>
          <w:tcPr>
            <w:tcW w:w="0" w:type="auto"/>
            <w:hideMark/>
          </w:tcPr>
          <w:p w14:paraId="5170CEDD"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Was the allocation adequately concealed? (*)</w:t>
            </w:r>
          </w:p>
        </w:tc>
      </w:tr>
      <w:tr w:rsidR="005377C9" w:rsidRPr="009942E0" w14:paraId="0C83C8AB" w14:textId="77777777" w:rsidTr="009942E0">
        <w:tc>
          <w:tcPr>
            <w:cnfStyle w:val="001000000000" w:firstRow="0" w:lastRow="0" w:firstColumn="1" w:lastColumn="0" w:oddVBand="0" w:evenVBand="0" w:oddHBand="0" w:evenHBand="0" w:firstRowFirstColumn="0" w:firstRowLastColumn="0" w:lastRowFirstColumn="0" w:lastRowLastColumn="0"/>
            <w:tcW w:w="0" w:type="auto"/>
            <w:hideMark/>
          </w:tcPr>
          <w:p w14:paraId="381D003B"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4</w:t>
            </w:r>
          </w:p>
        </w:tc>
        <w:tc>
          <w:tcPr>
            <w:tcW w:w="0" w:type="auto"/>
            <w:hideMark/>
          </w:tcPr>
          <w:p w14:paraId="4B9EA715"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Performance bias</w:t>
            </w:r>
          </w:p>
        </w:tc>
        <w:tc>
          <w:tcPr>
            <w:tcW w:w="0" w:type="auto"/>
            <w:hideMark/>
          </w:tcPr>
          <w:p w14:paraId="207CADB1"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Random housing</w:t>
            </w:r>
          </w:p>
        </w:tc>
        <w:tc>
          <w:tcPr>
            <w:tcW w:w="0" w:type="auto"/>
            <w:hideMark/>
          </w:tcPr>
          <w:p w14:paraId="6A2029B4"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Describe all measures used, if any, to house the animals randomly within the animal room.</w:t>
            </w:r>
          </w:p>
        </w:tc>
        <w:tc>
          <w:tcPr>
            <w:tcW w:w="0" w:type="auto"/>
            <w:hideMark/>
          </w:tcPr>
          <w:p w14:paraId="6EECC663"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Were the animals randomly housed during the experiment?</w:t>
            </w:r>
          </w:p>
        </w:tc>
      </w:tr>
      <w:tr w:rsidR="005377C9" w:rsidRPr="009942E0" w14:paraId="31F7B662" w14:textId="77777777" w:rsidTr="00994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6B5EF9C"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5</w:t>
            </w:r>
          </w:p>
        </w:tc>
        <w:tc>
          <w:tcPr>
            <w:tcW w:w="0" w:type="auto"/>
            <w:hideMark/>
          </w:tcPr>
          <w:p w14:paraId="7CB602F1"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Performance bias</w:t>
            </w:r>
          </w:p>
        </w:tc>
        <w:tc>
          <w:tcPr>
            <w:tcW w:w="0" w:type="auto"/>
            <w:hideMark/>
          </w:tcPr>
          <w:p w14:paraId="6D9BDE7F"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Blinding</w:t>
            </w:r>
          </w:p>
        </w:tc>
        <w:tc>
          <w:tcPr>
            <w:tcW w:w="0" w:type="auto"/>
            <w:hideMark/>
          </w:tcPr>
          <w:p w14:paraId="0FB38D39"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Describe all measures used, if any, to blind trial caregivers and researchers from knowing which intervention each animal received. Provide any information relating to whether the intended blinding was effective.</w:t>
            </w:r>
          </w:p>
        </w:tc>
        <w:tc>
          <w:tcPr>
            <w:tcW w:w="0" w:type="auto"/>
            <w:hideMark/>
          </w:tcPr>
          <w:p w14:paraId="763D8A83"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Were the caregivers and/or investigators blinded from knowledge which intervention each animal received during the experiment?</w:t>
            </w:r>
          </w:p>
        </w:tc>
      </w:tr>
      <w:tr w:rsidR="005377C9" w:rsidRPr="009942E0" w14:paraId="3758052F" w14:textId="77777777" w:rsidTr="009942E0">
        <w:tc>
          <w:tcPr>
            <w:cnfStyle w:val="001000000000" w:firstRow="0" w:lastRow="0" w:firstColumn="1" w:lastColumn="0" w:oddVBand="0" w:evenVBand="0" w:oddHBand="0" w:evenHBand="0" w:firstRowFirstColumn="0" w:firstRowLastColumn="0" w:lastRowFirstColumn="0" w:lastRowLastColumn="0"/>
            <w:tcW w:w="0" w:type="auto"/>
            <w:hideMark/>
          </w:tcPr>
          <w:p w14:paraId="071C8B92"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6</w:t>
            </w:r>
          </w:p>
        </w:tc>
        <w:tc>
          <w:tcPr>
            <w:tcW w:w="0" w:type="auto"/>
            <w:hideMark/>
          </w:tcPr>
          <w:p w14:paraId="6D231BD4"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Detection bias</w:t>
            </w:r>
          </w:p>
        </w:tc>
        <w:tc>
          <w:tcPr>
            <w:tcW w:w="0" w:type="auto"/>
            <w:hideMark/>
          </w:tcPr>
          <w:p w14:paraId="76EF9244"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Random outcome assessment</w:t>
            </w:r>
          </w:p>
        </w:tc>
        <w:tc>
          <w:tcPr>
            <w:tcW w:w="0" w:type="auto"/>
            <w:hideMark/>
          </w:tcPr>
          <w:p w14:paraId="5FCB3D74"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Describe whether or not animals were selected at random for outcome assessment, and which methods to select the animals, if any, were used.</w:t>
            </w:r>
          </w:p>
        </w:tc>
        <w:tc>
          <w:tcPr>
            <w:tcW w:w="0" w:type="auto"/>
            <w:hideMark/>
          </w:tcPr>
          <w:p w14:paraId="130163A2"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Were animals selected at random for outcome assessment?</w:t>
            </w:r>
          </w:p>
        </w:tc>
      </w:tr>
      <w:tr w:rsidR="005377C9" w:rsidRPr="009942E0" w14:paraId="409CC261" w14:textId="77777777" w:rsidTr="00994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46CBB2EB"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7</w:t>
            </w:r>
          </w:p>
        </w:tc>
        <w:tc>
          <w:tcPr>
            <w:tcW w:w="0" w:type="auto"/>
            <w:hideMark/>
          </w:tcPr>
          <w:p w14:paraId="0F9BA8DB"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Detection bias</w:t>
            </w:r>
          </w:p>
        </w:tc>
        <w:tc>
          <w:tcPr>
            <w:tcW w:w="0" w:type="auto"/>
            <w:hideMark/>
          </w:tcPr>
          <w:p w14:paraId="61A997F9"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Blinding</w:t>
            </w:r>
          </w:p>
        </w:tc>
        <w:tc>
          <w:tcPr>
            <w:tcW w:w="0" w:type="auto"/>
            <w:hideMark/>
          </w:tcPr>
          <w:p w14:paraId="4238110F"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Describe all measures used, if any, to blind outcome assessors from knowing which intervention each animal received. Provide any information relating to whether the intended blinding was effective.</w:t>
            </w:r>
          </w:p>
        </w:tc>
        <w:tc>
          <w:tcPr>
            <w:tcW w:w="0" w:type="auto"/>
            <w:hideMark/>
          </w:tcPr>
          <w:p w14:paraId="7BF351F9"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Was the outcome assessor blinded?</w:t>
            </w:r>
          </w:p>
        </w:tc>
      </w:tr>
      <w:tr w:rsidR="005377C9" w:rsidRPr="009942E0" w14:paraId="64EFAD5E" w14:textId="77777777" w:rsidTr="009942E0">
        <w:tc>
          <w:tcPr>
            <w:cnfStyle w:val="001000000000" w:firstRow="0" w:lastRow="0" w:firstColumn="1" w:lastColumn="0" w:oddVBand="0" w:evenVBand="0" w:oddHBand="0" w:evenHBand="0" w:firstRowFirstColumn="0" w:firstRowLastColumn="0" w:lastRowFirstColumn="0" w:lastRowLastColumn="0"/>
            <w:tcW w:w="0" w:type="auto"/>
            <w:hideMark/>
          </w:tcPr>
          <w:p w14:paraId="58D9E611"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8</w:t>
            </w:r>
          </w:p>
        </w:tc>
        <w:tc>
          <w:tcPr>
            <w:tcW w:w="0" w:type="auto"/>
            <w:hideMark/>
          </w:tcPr>
          <w:p w14:paraId="3A5C0A6B"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Attrition bias</w:t>
            </w:r>
          </w:p>
        </w:tc>
        <w:tc>
          <w:tcPr>
            <w:tcW w:w="0" w:type="auto"/>
            <w:hideMark/>
          </w:tcPr>
          <w:p w14:paraId="78088874"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Incomplete outcome data</w:t>
            </w:r>
          </w:p>
        </w:tc>
        <w:tc>
          <w:tcPr>
            <w:tcW w:w="0" w:type="auto"/>
            <w:hideMark/>
          </w:tcPr>
          <w:p w14:paraId="7A67C552"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Describe the completeness of outcome data for each main outcome, including attrition and exclusions from the analysis. State whether attrition and exclusions were reported, the numbers in each intervention group (compared with total randomized animals), reasons for attrition or exclusions, and any re-inclusions in analyses for the review.</w:t>
            </w:r>
          </w:p>
        </w:tc>
        <w:tc>
          <w:tcPr>
            <w:tcW w:w="0" w:type="auto"/>
            <w:hideMark/>
          </w:tcPr>
          <w:p w14:paraId="7A09CC4D"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Were incomplete outcome data adequately addressed? (*)</w:t>
            </w:r>
          </w:p>
        </w:tc>
      </w:tr>
      <w:tr w:rsidR="005377C9" w:rsidRPr="009942E0" w14:paraId="5FCE245F" w14:textId="77777777" w:rsidTr="009942E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9DAD1AE"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9</w:t>
            </w:r>
          </w:p>
        </w:tc>
        <w:tc>
          <w:tcPr>
            <w:tcW w:w="0" w:type="auto"/>
            <w:hideMark/>
          </w:tcPr>
          <w:p w14:paraId="3AAAD495"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Reporting bias</w:t>
            </w:r>
          </w:p>
        </w:tc>
        <w:tc>
          <w:tcPr>
            <w:tcW w:w="0" w:type="auto"/>
            <w:hideMark/>
          </w:tcPr>
          <w:p w14:paraId="46AA1FD6"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Selective outcome reporting</w:t>
            </w:r>
          </w:p>
        </w:tc>
        <w:tc>
          <w:tcPr>
            <w:tcW w:w="0" w:type="auto"/>
            <w:hideMark/>
          </w:tcPr>
          <w:p w14:paraId="07942811"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State how selective outcome reporting was examined and what was found.</w:t>
            </w:r>
          </w:p>
        </w:tc>
        <w:tc>
          <w:tcPr>
            <w:tcW w:w="0" w:type="auto"/>
            <w:hideMark/>
          </w:tcPr>
          <w:p w14:paraId="59D1C70D" w14:textId="77777777" w:rsidR="005377C9" w:rsidRPr="009942E0" w:rsidRDefault="005377C9" w:rsidP="005F33FD">
            <w:pPr>
              <w:spacing w:after="40"/>
              <w:cnfStyle w:val="000000100000" w:firstRow="0" w:lastRow="0" w:firstColumn="0" w:lastColumn="0" w:oddVBand="0" w:evenVBand="0" w:oddHBand="1"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Are reports of the study free of selective outcome reporting? (*)</w:t>
            </w:r>
          </w:p>
        </w:tc>
      </w:tr>
      <w:tr w:rsidR="005377C9" w:rsidRPr="009942E0" w14:paraId="6D35AC27" w14:textId="77777777" w:rsidTr="009942E0">
        <w:tc>
          <w:tcPr>
            <w:cnfStyle w:val="001000000000" w:firstRow="0" w:lastRow="0" w:firstColumn="1" w:lastColumn="0" w:oddVBand="0" w:evenVBand="0" w:oddHBand="0" w:evenHBand="0" w:firstRowFirstColumn="0" w:firstRowLastColumn="0" w:lastRowFirstColumn="0" w:lastRowLastColumn="0"/>
            <w:tcW w:w="0" w:type="auto"/>
            <w:hideMark/>
          </w:tcPr>
          <w:p w14:paraId="02564AE0" w14:textId="77777777" w:rsidR="005377C9" w:rsidRPr="009942E0" w:rsidRDefault="005377C9" w:rsidP="005F33FD">
            <w:pPr>
              <w:spacing w:after="40"/>
              <w:rPr>
                <w:rFonts w:asciiTheme="minorBidi" w:hAnsiTheme="minorBidi"/>
                <w:sz w:val="18"/>
                <w:szCs w:val="18"/>
              </w:rPr>
            </w:pPr>
            <w:r w:rsidRPr="009942E0">
              <w:rPr>
                <w:rFonts w:asciiTheme="minorBidi" w:hAnsiTheme="minorBidi"/>
                <w:sz w:val="18"/>
                <w:szCs w:val="18"/>
              </w:rPr>
              <w:t>10</w:t>
            </w:r>
          </w:p>
        </w:tc>
        <w:tc>
          <w:tcPr>
            <w:tcW w:w="0" w:type="auto"/>
            <w:hideMark/>
          </w:tcPr>
          <w:p w14:paraId="4383183D"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Other</w:t>
            </w:r>
          </w:p>
        </w:tc>
        <w:tc>
          <w:tcPr>
            <w:tcW w:w="0" w:type="auto"/>
            <w:hideMark/>
          </w:tcPr>
          <w:p w14:paraId="1745C417"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Other sources of bias</w:t>
            </w:r>
          </w:p>
        </w:tc>
        <w:tc>
          <w:tcPr>
            <w:tcW w:w="0" w:type="auto"/>
            <w:hideMark/>
          </w:tcPr>
          <w:p w14:paraId="6A806E5C"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State any important concerns about bias not covered by other domains in the tool.</w:t>
            </w:r>
          </w:p>
        </w:tc>
        <w:tc>
          <w:tcPr>
            <w:tcW w:w="0" w:type="auto"/>
            <w:hideMark/>
          </w:tcPr>
          <w:p w14:paraId="5C16AE9D" w14:textId="77777777" w:rsidR="005377C9" w:rsidRPr="009942E0" w:rsidRDefault="005377C9" w:rsidP="005F33FD">
            <w:pPr>
              <w:spacing w:after="40"/>
              <w:cnfStyle w:val="000000000000" w:firstRow="0" w:lastRow="0" w:firstColumn="0" w:lastColumn="0" w:oddVBand="0" w:evenVBand="0" w:oddHBand="0" w:evenHBand="0" w:firstRowFirstColumn="0" w:firstRowLastColumn="0" w:lastRowFirstColumn="0" w:lastRowLastColumn="0"/>
              <w:rPr>
                <w:rFonts w:asciiTheme="minorBidi" w:hAnsiTheme="minorBidi"/>
                <w:sz w:val="18"/>
                <w:szCs w:val="18"/>
              </w:rPr>
            </w:pPr>
            <w:r w:rsidRPr="009942E0">
              <w:rPr>
                <w:rFonts w:asciiTheme="minorBidi" w:hAnsiTheme="minorBidi"/>
                <w:sz w:val="18"/>
                <w:szCs w:val="18"/>
              </w:rPr>
              <w:t>Was the study apparently free of other problems that could result in high risk of bias? (*)</w:t>
            </w:r>
          </w:p>
        </w:tc>
      </w:tr>
    </w:tbl>
    <w:p w14:paraId="3F1A3C52" w14:textId="77777777" w:rsidR="005377C9" w:rsidRPr="00E07C2D" w:rsidRDefault="005377C9" w:rsidP="005377C9">
      <w:pPr>
        <w:spacing w:after="40" w:line="240" w:lineRule="auto"/>
        <w:rPr>
          <w:rFonts w:asciiTheme="majorBidi" w:hAnsiTheme="majorBidi" w:cstheme="majorBidi"/>
          <w:sz w:val="16"/>
          <w:szCs w:val="16"/>
        </w:rPr>
      </w:pPr>
      <w:r w:rsidRPr="00E07C2D">
        <w:rPr>
          <w:rFonts w:asciiTheme="minorBidi" w:hAnsiTheme="minorBidi"/>
          <w:sz w:val="20"/>
          <w:szCs w:val="20"/>
        </w:rPr>
        <w:t>*Items in agreement with the items in the Cochrane Risk of Bias tool.</w:t>
      </w:r>
    </w:p>
    <w:p w14:paraId="5CFA1211" w14:textId="77777777" w:rsidR="009942E0" w:rsidRDefault="009942E0" w:rsidP="005377C9">
      <w:pPr>
        <w:rPr>
          <w:rFonts w:cstheme="minorHAnsi"/>
          <w:sz w:val="18"/>
          <w:szCs w:val="18"/>
          <w:lang w:val="en"/>
        </w:rPr>
      </w:pPr>
    </w:p>
    <w:p w14:paraId="3EC3C4C7" w14:textId="77777777" w:rsidR="003356FE" w:rsidRDefault="003356FE" w:rsidP="003356FE">
      <w:pPr>
        <w:rPr>
          <w:rFonts w:asciiTheme="minorBidi" w:hAnsiTheme="minorBidi"/>
        </w:rPr>
        <w:sectPr w:rsidR="003356FE">
          <w:pgSz w:w="12240" w:h="15840"/>
          <w:pgMar w:top="1440" w:right="1440" w:bottom="1440" w:left="1440" w:header="708" w:footer="708" w:gutter="0"/>
          <w:cols w:space="708"/>
          <w:docGrid w:linePitch="360"/>
        </w:sectPr>
      </w:pPr>
    </w:p>
    <w:p w14:paraId="090FB53C" w14:textId="1C4B7F8A" w:rsidR="003356FE" w:rsidRPr="00B52FB7" w:rsidRDefault="00990844" w:rsidP="003356FE">
      <w:pPr>
        <w:rPr>
          <w:rFonts w:cstheme="minorHAnsi"/>
          <w:sz w:val="20"/>
          <w:szCs w:val="20"/>
        </w:rPr>
      </w:pPr>
      <w:r w:rsidRPr="00B52FB7">
        <w:rPr>
          <w:rFonts w:cstheme="minorHAnsi"/>
          <w:sz w:val="20"/>
          <w:szCs w:val="20"/>
        </w:rPr>
        <w:lastRenderedPageBreak/>
        <w:t xml:space="preserve">Table </w:t>
      </w:r>
      <w:r w:rsidR="003356FE" w:rsidRPr="00B52FB7">
        <w:rPr>
          <w:rFonts w:cstheme="minorHAnsi"/>
          <w:sz w:val="20"/>
          <w:szCs w:val="20"/>
        </w:rPr>
        <w:t xml:space="preserve">S </w:t>
      </w:r>
      <w:r w:rsidR="005377C9" w:rsidRPr="00B52FB7">
        <w:rPr>
          <w:rFonts w:cstheme="minorHAnsi"/>
          <w:sz w:val="20"/>
          <w:szCs w:val="20"/>
        </w:rPr>
        <w:t>4</w:t>
      </w:r>
      <w:r w:rsidR="003356FE" w:rsidRPr="00B52FB7">
        <w:rPr>
          <w:rFonts w:cstheme="minorHAnsi"/>
          <w:sz w:val="20"/>
          <w:szCs w:val="20"/>
        </w:rPr>
        <w:t>. Study characteristics</w:t>
      </w:r>
    </w:p>
    <w:tbl>
      <w:tblPr>
        <w:tblStyle w:val="PlainTable2"/>
        <w:tblpPr w:leftFromText="180" w:rightFromText="180" w:vertAnchor="page" w:horzAnchor="margin" w:tblpXSpec="center" w:tblpY="1879"/>
        <w:tblW w:w="15565" w:type="dxa"/>
        <w:tblLayout w:type="fixed"/>
        <w:tblLook w:val="04A0" w:firstRow="1" w:lastRow="0" w:firstColumn="1" w:lastColumn="0" w:noHBand="0" w:noVBand="1"/>
      </w:tblPr>
      <w:tblGrid>
        <w:gridCol w:w="1705"/>
        <w:gridCol w:w="720"/>
        <w:gridCol w:w="990"/>
        <w:gridCol w:w="720"/>
        <w:gridCol w:w="851"/>
        <w:gridCol w:w="567"/>
        <w:gridCol w:w="883"/>
        <w:gridCol w:w="2199"/>
        <w:gridCol w:w="630"/>
        <w:gridCol w:w="1080"/>
        <w:gridCol w:w="1260"/>
        <w:gridCol w:w="990"/>
        <w:gridCol w:w="1620"/>
        <w:gridCol w:w="1350"/>
      </w:tblGrid>
      <w:tr w:rsidR="003356FE" w:rsidRPr="00B773EF" w14:paraId="646454D0" w14:textId="77777777" w:rsidTr="00F16711">
        <w:trPr>
          <w:cnfStyle w:val="100000000000" w:firstRow="1" w:lastRow="0" w:firstColumn="0" w:lastColumn="0" w:oddVBand="0" w:evenVBand="0" w:oddHBand="0" w:evenHBand="0" w:firstRowFirstColumn="0" w:firstRowLastColumn="0" w:lastRowFirstColumn="0" w:lastRowLastColumn="0"/>
          <w:trHeight w:val="744"/>
        </w:trPr>
        <w:tc>
          <w:tcPr>
            <w:cnfStyle w:val="001000000000" w:firstRow="0" w:lastRow="0" w:firstColumn="1" w:lastColumn="0" w:oddVBand="0" w:evenVBand="0" w:oddHBand="0" w:evenHBand="0" w:firstRowFirstColumn="0" w:firstRowLastColumn="0" w:lastRowFirstColumn="0" w:lastRowLastColumn="0"/>
            <w:tcW w:w="1705" w:type="dxa"/>
          </w:tcPr>
          <w:p w14:paraId="3AA8865B" w14:textId="77777777" w:rsidR="003356FE" w:rsidRPr="009942E0" w:rsidRDefault="003356FE" w:rsidP="00D341CD">
            <w:pPr>
              <w:rPr>
                <w:rFonts w:cstheme="minorHAnsi"/>
                <w:b w:val="0"/>
                <w:bCs w:val="0"/>
                <w:sz w:val="18"/>
                <w:szCs w:val="18"/>
              </w:rPr>
            </w:pPr>
            <w:r w:rsidRPr="009942E0">
              <w:rPr>
                <w:rFonts w:cstheme="minorHAnsi"/>
                <w:b w:val="0"/>
                <w:bCs w:val="0"/>
                <w:sz w:val="18"/>
                <w:szCs w:val="18"/>
              </w:rPr>
              <w:t>Study</w:t>
            </w:r>
          </w:p>
        </w:tc>
        <w:tc>
          <w:tcPr>
            <w:tcW w:w="720" w:type="dxa"/>
          </w:tcPr>
          <w:p w14:paraId="6E371671"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Year</w:t>
            </w:r>
          </w:p>
        </w:tc>
        <w:tc>
          <w:tcPr>
            <w:tcW w:w="990" w:type="dxa"/>
          </w:tcPr>
          <w:p w14:paraId="5264CE88"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Species</w:t>
            </w:r>
          </w:p>
        </w:tc>
        <w:tc>
          <w:tcPr>
            <w:tcW w:w="720" w:type="dxa"/>
          </w:tcPr>
          <w:p w14:paraId="00541D63" w14:textId="77777777" w:rsidR="003356FE" w:rsidRPr="009942E0" w:rsidRDefault="003356FE" w:rsidP="00D341CD">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Age</w:t>
            </w:r>
          </w:p>
        </w:tc>
        <w:tc>
          <w:tcPr>
            <w:tcW w:w="851" w:type="dxa"/>
          </w:tcPr>
          <w:p w14:paraId="35F81A9C"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Weight</w:t>
            </w:r>
          </w:p>
        </w:tc>
        <w:tc>
          <w:tcPr>
            <w:tcW w:w="567" w:type="dxa"/>
          </w:tcPr>
          <w:p w14:paraId="0A219CA2"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Sex</w:t>
            </w:r>
          </w:p>
        </w:tc>
        <w:tc>
          <w:tcPr>
            <w:tcW w:w="883" w:type="dxa"/>
          </w:tcPr>
          <w:p w14:paraId="46829911"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Type of bone</w:t>
            </w:r>
          </w:p>
        </w:tc>
        <w:tc>
          <w:tcPr>
            <w:tcW w:w="2199" w:type="dxa"/>
          </w:tcPr>
          <w:p w14:paraId="1B36ED15"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Type of NSAID</w:t>
            </w:r>
          </w:p>
        </w:tc>
        <w:tc>
          <w:tcPr>
            <w:tcW w:w="630" w:type="dxa"/>
          </w:tcPr>
          <w:p w14:paraId="2531F22E"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Dose</w:t>
            </w:r>
          </w:p>
        </w:tc>
        <w:tc>
          <w:tcPr>
            <w:tcW w:w="1080" w:type="dxa"/>
          </w:tcPr>
          <w:p w14:paraId="0824A75B"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Duration</w:t>
            </w:r>
          </w:p>
        </w:tc>
        <w:tc>
          <w:tcPr>
            <w:tcW w:w="1260" w:type="dxa"/>
          </w:tcPr>
          <w:p w14:paraId="0134FCF8"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Primary outcome measures</w:t>
            </w:r>
          </w:p>
        </w:tc>
        <w:tc>
          <w:tcPr>
            <w:tcW w:w="990" w:type="dxa"/>
          </w:tcPr>
          <w:p w14:paraId="68D95E54"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Time point</w:t>
            </w:r>
          </w:p>
        </w:tc>
        <w:tc>
          <w:tcPr>
            <w:tcW w:w="1620" w:type="dxa"/>
          </w:tcPr>
          <w:p w14:paraId="7604AB1C"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Other measurement</w:t>
            </w:r>
          </w:p>
        </w:tc>
        <w:tc>
          <w:tcPr>
            <w:tcW w:w="1350" w:type="dxa"/>
          </w:tcPr>
          <w:p w14:paraId="2C253A5F" w14:textId="77777777" w:rsidR="003356FE" w:rsidRPr="009942E0" w:rsidRDefault="003356FE" w:rsidP="00D341CD">
            <w:pP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rPr>
            </w:pPr>
            <w:r w:rsidRPr="009942E0">
              <w:rPr>
                <w:rFonts w:cstheme="minorHAnsi"/>
                <w:b w:val="0"/>
                <w:bCs w:val="0"/>
                <w:sz w:val="18"/>
                <w:szCs w:val="18"/>
              </w:rPr>
              <w:t>Time</w:t>
            </w:r>
          </w:p>
          <w:p w14:paraId="2B3D2940" w14:textId="77777777" w:rsidR="003356FE" w:rsidRPr="002C4F47" w:rsidRDefault="003356FE"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r w:rsidRPr="009942E0">
              <w:rPr>
                <w:rFonts w:cstheme="minorHAnsi"/>
                <w:b w:val="0"/>
                <w:bCs w:val="0"/>
                <w:sz w:val="18"/>
                <w:szCs w:val="18"/>
              </w:rPr>
              <w:t>point</w:t>
            </w:r>
          </w:p>
        </w:tc>
      </w:tr>
      <w:tr w:rsidR="003356FE" w:rsidRPr="00324F1B" w14:paraId="2C4B1A61"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7816A439" w14:textId="63554A50"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Akman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&lt;EndNote&gt;&lt;Cite&gt;&lt;Author&gt;Akman&lt;/Author&gt;&lt;Year&gt;2002&lt;/Year&gt;&lt;RecNum&gt;1554&lt;/RecNum&gt;&lt;DisplayText&gt;(2)&lt;/DisplayText&gt;&lt;record&gt;&lt;rec-number&gt;1554&lt;/rec-number&gt;&lt;foreign-keys&gt;&lt;key app="EN" db-id="929z22wv3a2929ettfh529v8fsfd52ax9dsr" timestamp="1476195580"&gt;1554&lt;/key&gt;&lt;key app="ENWeb" db-id=""&gt;0&lt;/key&gt;&lt;/foreign-keys&gt;&lt;ref-type name="Journal Article"&gt;17&lt;/ref-type&gt;&lt;contributors&gt;&lt;authors&gt;&lt;author&gt;Akman, Ş.&lt;/author&gt;&lt;author&gt;Gögüs, A.&lt;/author&gt;&lt;author&gt;Sener, N.&lt;/author&gt;&lt;author&gt;Bilgiç, B.&lt;/author&gt;&lt;author&gt;Aksoy, B.&lt;/author&gt;&lt;author&gt;Seckin, F.&lt;/author&gt;&lt;/authors&gt;&lt;/contributors&gt;&lt;titles&gt;&lt;title&gt;Effect of diclofenac sodium on union of tibial fractures in rats&lt;/title&gt;&lt;secondary-title&gt;Advances in Therapy&lt;/secondary-title&gt;&lt;/titles&gt;&lt;periodical&gt;&lt;full-title&gt;Advances in Therapy&lt;/full-title&gt;&lt;/periodical&gt;&lt;pages&gt;119-125&lt;/pages&gt;&lt;volume&gt;19&lt;/volume&gt;&lt;number&gt;3&lt;/number&gt;&lt;dates&gt;&lt;year&gt;2002&lt;/year&gt;&lt;pub-dates&gt;&lt;date&gt;2002-01-01&lt;/date&gt;&lt;/pub-dates&gt;&lt;/dates&gt;&lt;label&gt;, No effect, Histology,Rats, include,SR, no reposne , no SD&lt;/label&gt;&lt;urls&gt;&lt;related-urls&gt;&lt;url&gt;https://www.scopus.com/inward/record.uri?eid=2-s2.0-0036563188&amp;amp;partnerID=40&amp;amp;md5=c73d5a584b036bca75db2beee34a3a89&lt;/url&gt;&lt;/related-urls&gt;&lt;/urls&gt;&lt;custom1&gt;RAYYAN-INCLUSION: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w:t>
            </w:r>
            <w:r w:rsidRPr="009942E0">
              <w:rPr>
                <w:rFonts w:cstheme="minorHAnsi"/>
                <w:color w:val="000000"/>
                <w:sz w:val="18"/>
                <w:szCs w:val="18"/>
              </w:rPr>
              <w:fldChar w:fldCharType="end"/>
            </w:r>
          </w:p>
        </w:tc>
        <w:tc>
          <w:tcPr>
            <w:tcW w:w="720" w:type="dxa"/>
          </w:tcPr>
          <w:p w14:paraId="17A717C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2002</w:t>
            </w:r>
          </w:p>
        </w:tc>
        <w:tc>
          <w:tcPr>
            <w:tcW w:w="990" w:type="dxa"/>
          </w:tcPr>
          <w:p w14:paraId="00488E9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7A938B3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w:t>
            </w:r>
          </w:p>
        </w:tc>
        <w:tc>
          <w:tcPr>
            <w:tcW w:w="851" w:type="dxa"/>
          </w:tcPr>
          <w:p w14:paraId="09501AE5"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270</w:t>
            </w:r>
          </w:p>
        </w:tc>
        <w:tc>
          <w:tcPr>
            <w:tcW w:w="567" w:type="dxa"/>
          </w:tcPr>
          <w:p w14:paraId="61246C5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4D5CA1A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75B1E33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w:t>
            </w:r>
          </w:p>
        </w:tc>
        <w:tc>
          <w:tcPr>
            <w:tcW w:w="630" w:type="dxa"/>
          </w:tcPr>
          <w:p w14:paraId="4466E8F5"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w:t>
            </w:r>
          </w:p>
        </w:tc>
        <w:tc>
          <w:tcPr>
            <w:tcW w:w="1080" w:type="dxa"/>
          </w:tcPr>
          <w:p w14:paraId="3B03E48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1260" w:type="dxa"/>
          </w:tcPr>
          <w:p w14:paraId="1F6313F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3701CD6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5B32177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Clin, Radiog, Hist-scores(Huo)</w:t>
            </w:r>
          </w:p>
        </w:tc>
        <w:tc>
          <w:tcPr>
            <w:tcW w:w="1350" w:type="dxa"/>
          </w:tcPr>
          <w:p w14:paraId="2BBA7C9B"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14,28.42</w:t>
            </w:r>
          </w:p>
        </w:tc>
      </w:tr>
      <w:tr w:rsidR="003356FE" w:rsidRPr="00324F1B" w14:paraId="65F9FC59"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583FCD6F" w14:textId="634741F3"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Allen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&lt;EndNote&gt;&lt;Cite&gt;&lt;Author&gt;Allen&lt;/Author&gt;&lt;Year&gt;1980&lt;/Year&gt;&lt;RecNum&gt;1842&lt;/RecNum&gt;&lt;DisplayText&gt;(3)&lt;/DisplayText&gt;&lt;record&gt;&lt;rec-number&gt;1842&lt;/rec-number&gt;&lt;foreign-keys&gt;&lt;key app="EN" db-id="929z22wv3a2929ettfh529v8fsfd52ax9dsr" timestamp="1476195639"&gt;1842&lt;/key&gt;&lt;/foreign-keys&gt;&lt;ref-type name="Journal Article"&gt;17&lt;/ref-type&gt;&lt;contributors&gt;&lt;authors&gt;&lt;author&gt;Allen, H. L.&lt;/author&gt;&lt;author&gt;Wase, A.&lt;/author&gt;&lt;author&gt;Bear, W. T.&lt;/author&gt;&lt;/authors&gt;&lt;/contributors&gt;&lt;titles&gt;&lt;title&gt;Indomethacin and aspirin: effect of nonsteroidal anti-inflammatory agents on the rate of fracture repair in the rat&lt;/title&gt;&lt;secondary-title&gt;Acta Orthopaedica Scandinavica&lt;/secondary-title&gt;&lt;/titles&gt;&lt;periodical&gt;&lt;full-title&gt;Acta Orthopaedica Scandinavica&lt;/full-title&gt;&lt;/periodical&gt;&lt;pages&gt;595-600&lt;/pages&gt;&lt;volume&gt;51&lt;/volume&gt;&lt;number&gt;4&lt;/number&gt;&lt;dates&gt;&lt;year&gt;1980&lt;/year&gt;&lt;pub-dates&gt;&lt;date&gt;1980-01-01&lt;/date&gt;&lt;/pub-dates&gt;&lt;/dates&gt;&lt;isbn&gt;0001-6470 U2 - PMID: 10852321&lt;/isbn&gt;&lt;label&gt;included, not in meta analysis&lt;/label&gt;&lt;urls&gt;&lt;related-urls&gt;&lt;url&gt;http://mcgill.on.worldcat.org/atoztitles/link?sid=OVID:medline&amp;amp;id=pmid:7446048&amp;amp;id=doi:&amp;amp;issn=0001-6470&amp;amp;isbn=&amp;amp;volume=51&amp;amp;issue=4&amp;amp;spage=595&amp;amp;pages=595-600&amp;amp;date=1980&amp;amp;title=Acta+Orthopaedica+Scandinavica&amp;amp;atitle=Indomethacin+and+aspirin%3A+effect+of+nonsteroidal+anti-inflammatory+agents+on+the+rate+of+fracture+repair+in+the+rat.&amp;amp;aulast=Allen&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w:t>
            </w:r>
            <w:r w:rsidRPr="009942E0">
              <w:rPr>
                <w:rFonts w:cstheme="minorHAnsi"/>
                <w:color w:val="000000"/>
                <w:sz w:val="18"/>
                <w:szCs w:val="18"/>
              </w:rPr>
              <w:fldChar w:fldCharType="end"/>
            </w:r>
          </w:p>
        </w:tc>
        <w:tc>
          <w:tcPr>
            <w:tcW w:w="720" w:type="dxa"/>
          </w:tcPr>
          <w:p w14:paraId="22B8FF2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1980</w:t>
            </w:r>
          </w:p>
        </w:tc>
        <w:tc>
          <w:tcPr>
            <w:tcW w:w="990" w:type="dxa"/>
          </w:tcPr>
          <w:p w14:paraId="2E206CB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2CF8104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6</w:t>
            </w:r>
          </w:p>
        </w:tc>
        <w:tc>
          <w:tcPr>
            <w:tcW w:w="851" w:type="dxa"/>
          </w:tcPr>
          <w:p w14:paraId="43968063"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567" w:type="dxa"/>
          </w:tcPr>
          <w:p w14:paraId="7FC8400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404E8772"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Other</w:t>
            </w:r>
          </w:p>
        </w:tc>
        <w:tc>
          <w:tcPr>
            <w:tcW w:w="2199" w:type="dxa"/>
          </w:tcPr>
          <w:p w14:paraId="1FAEEDF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NS-COX(Ind.,Asp.)</w:t>
            </w:r>
          </w:p>
        </w:tc>
        <w:tc>
          <w:tcPr>
            <w:tcW w:w="630" w:type="dxa"/>
          </w:tcPr>
          <w:p w14:paraId="14EBF67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2,4,100,200,300</w:t>
            </w:r>
          </w:p>
        </w:tc>
        <w:tc>
          <w:tcPr>
            <w:tcW w:w="1080" w:type="dxa"/>
          </w:tcPr>
          <w:p w14:paraId="3B5C30D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260" w:type="dxa"/>
          </w:tcPr>
          <w:p w14:paraId="5ACA859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2674CC4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69CC828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Hist-Scores</w:t>
            </w:r>
          </w:p>
        </w:tc>
        <w:tc>
          <w:tcPr>
            <w:tcW w:w="1350" w:type="dxa"/>
          </w:tcPr>
          <w:p w14:paraId="65B82F43"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21</w:t>
            </w:r>
          </w:p>
        </w:tc>
      </w:tr>
      <w:tr w:rsidR="003356FE" w:rsidRPr="00324F1B" w14:paraId="3379F477"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252C876" w14:textId="15FD7CA4"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Altman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&lt;EndNote&gt;&lt;Cite&gt;&lt;Author&gt;Altman&lt;/Author&gt;&lt;Year&gt;1995&lt;/Year&gt;&lt;RecNum&gt;4236&lt;/RecNum&gt;&lt;DisplayText&gt;(4)&lt;/DisplayText&gt;&lt;record&gt;&lt;rec-number&gt;4236&lt;/rec-number&gt;&lt;foreign-keys&gt;&lt;key app="EN" db-id="929z22wv3a2929ettfh529v8fsfd52ax9dsr" timestamp="1484054728"&gt;4236&lt;/key&gt;&lt;key app="ENWeb" db-id=""&gt;0&lt;/key&gt;&lt;/foreign-keys&gt;&lt;ref-type name="Journal Article"&gt;17&lt;/ref-type&gt;&lt;contributors&gt;&lt;authors&gt;&lt;author&gt;Altman, R. D.&lt;/author&gt;&lt;author&gt;Latta, L. L.&lt;/author&gt;&lt;author&gt;Keer, R.&lt;/author&gt;&lt;author&gt;Renfree, K.&lt;/author&gt;&lt;author&gt;Hornicek, F. J.&lt;/author&gt;&lt;author&gt;Banovac, K.&lt;/author&gt;&lt;/authors&gt;&lt;/contributors&gt;&lt;titles&gt;&lt;title&gt;Effect of nonsteroidal antiinflammatory drugs on fracture healing: a laboratory study in rats&lt;/title&gt;&lt;secondary-title&gt;Journal of Orthopaedic Trauma&lt;/secondary-title&gt;&lt;/titles&gt;&lt;periodical&gt;&lt;full-title&gt;Journal of Orthopaedic Trauma&lt;/full-title&gt;&lt;/periodical&gt;&lt;pages&gt;392-400&lt;/pages&gt;&lt;volume&gt;9&lt;/volume&gt;&lt;number&gt;5&lt;/number&gt;&lt;dates&gt;&lt;year&gt;1995&lt;/year&gt;&lt;pub-dates&gt;&lt;date&gt;1995-01-01&lt;/date&gt;&lt;/pub-dates&gt;&lt;/dates&gt;&lt;isbn&gt;0890-5339&lt;/isbn&gt;&lt;label&gt;Rats, ibuprofen, indomethacin, include,mechanical,histology,SR,MA, no response&lt;/label&gt;&lt;urls&gt;&lt;related-urls&gt;&lt;url&gt;http://mcgill.on.worldcat.org/atoztitles/link?sid=OVID:medline&amp;amp;id=pmid:8537842&amp;amp;id=doi:&amp;amp;issn=0890-5339&amp;amp;isbn=&amp;amp;volume=9&amp;amp;issue=5&amp;amp;spage=392&amp;amp;pages=392-400&amp;amp;date=1995&amp;amp;title=Journal+of+Orthopaedic+Trauma&amp;amp;atitle=Effect+of+nonsteroidal+antiinflammatory+drugs+on+fracture+healing%3A+a+laboratory+study+in+rats.&amp;amp;aulast=Altman&lt;/url&gt;&lt;/related-urls&gt;&lt;/urls&gt;&lt;custom1&gt;RAYYAN-INCLUSION: {&amp;quot;Haider&amp;quot;=&amp;gt;true, &amp;quot;sales.anapaula&amp;quot;=&amp;gt;true} | RAYYAN-LABELS: rats,Ibuprofen&lt;/custom1&gt;&lt;language&gt;English&lt;/language&gt;&lt;/record&gt;&lt;/Cite&gt;&lt;/EndNote&gt;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(4)</w:t>
            </w:r>
            <w:r w:rsidRPr="009942E0">
              <w:rPr>
                <w:rFonts w:cstheme="minorHAnsi"/>
                <w:color w:val="000000"/>
                <w:sz w:val="18"/>
                <w:szCs w:val="18"/>
              </w:rPr>
              <w:fldChar w:fldCharType="end"/>
            </w:r>
          </w:p>
        </w:tc>
        <w:tc>
          <w:tcPr>
            <w:tcW w:w="720" w:type="dxa"/>
          </w:tcPr>
          <w:p w14:paraId="7CE1207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1995</w:t>
            </w:r>
          </w:p>
        </w:tc>
        <w:tc>
          <w:tcPr>
            <w:tcW w:w="990" w:type="dxa"/>
          </w:tcPr>
          <w:p w14:paraId="63A69D7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09F4A9CB"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retired</w:t>
            </w:r>
          </w:p>
        </w:tc>
        <w:tc>
          <w:tcPr>
            <w:tcW w:w="851" w:type="dxa"/>
          </w:tcPr>
          <w:p w14:paraId="0A227B02"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375</w:t>
            </w:r>
          </w:p>
        </w:tc>
        <w:tc>
          <w:tcPr>
            <w:tcW w:w="567" w:type="dxa"/>
          </w:tcPr>
          <w:p w14:paraId="67D5C049"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0E3E921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1176CFC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NS-COX(ind.,ibu.)</w:t>
            </w:r>
          </w:p>
        </w:tc>
        <w:tc>
          <w:tcPr>
            <w:tcW w:w="630" w:type="dxa"/>
          </w:tcPr>
          <w:p w14:paraId="160DB5D9"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1,30</w:t>
            </w:r>
          </w:p>
        </w:tc>
        <w:tc>
          <w:tcPr>
            <w:tcW w:w="1080" w:type="dxa"/>
          </w:tcPr>
          <w:p w14:paraId="2706144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4,12</w:t>
            </w:r>
          </w:p>
        </w:tc>
        <w:tc>
          <w:tcPr>
            <w:tcW w:w="1260" w:type="dxa"/>
          </w:tcPr>
          <w:p w14:paraId="2F44EED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3PMB-FR</w:t>
            </w:r>
          </w:p>
        </w:tc>
        <w:tc>
          <w:tcPr>
            <w:tcW w:w="990" w:type="dxa"/>
          </w:tcPr>
          <w:p w14:paraId="028A878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14,28,48,57,84</w:t>
            </w:r>
          </w:p>
        </w:tc>
        <w:tc>
          <w:tcPr>
            <w:tcW w:w="1620" w:type="dxa"/>
          </w:tcPr>
          <w:p w14:paraId="177E9B2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Hist-Scores(Huo)</w:t>
            </w:r>
          </w:p>
        </w:tc>
        <w:tc>
          <w:tcPr>
            <w:tcW w:w="1350" w:type="dxa"/>
          </w:tcPr>
          <w:p w14:paraId="6F127E08"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14,28,48,57,84</w:t>
            </w:r>
          </w:p>
        </w:tc>
      </w:tr>
      <w:tr w:rsidR="003356FE" w:rsidRPr="00324F1B" w14:paraId="0638DDC1"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68A440EF" w14:textId="7E228064"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Beck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&lt;EndNote&gt;&lt;Cite&gt;&lt;Author&gt;Beck&lt;/Author&gt;&lt;Year&gt;2003&lt;/Year&gt;&lt;RecNum&gt;1560&lt;/RecNum&gt;&lt;DisplayText&gt;(5)&lt;/DisplayText&gt;&lt;record&gt;&lt;rec-number&gt;1560&lt;/rec-number&gt;&lt;foreign-keys&gt;&lt;key app="EN" db-id="929z22wv3a2929ettfh529v8fsfd52ax9dsr" timestamp="1476195581"&gt;1560&lt;/key&gt;&lt;key app="ENWeb" db-id=""&gt;0&lt;/key&gt;&lt;/foreign-keys&gt;&lt;ref-type name="Journal Article"&gt;17&lt;/ref-type&gt;&lt;contributors&gt;&lt;authors&gt;&lt;author&gt;Beck, A.&lt;/author&gt;&lt;author&gt;Krischak, G.&lt;/author&gt;&lt;author&gt;Sorg, T.&lt;/author&gt;&lt;author&gt;Augat, P.&lt;/author&gt;&lt;author&gt;Farker, K.&lt;/author&gt;&lt;author&gt;Merkel, U.&lt;/author&gt;&lt;author&gt;Kinzl, L.&lt;/author&gt;&lt;author&gt;Claes, L.&lt;/author&gt;&lt;/authors&gt;&lt;/contributors&gt;&lt;titles&gt;&lt;title&gt;Influence of diclofenac (group of nonsteroidal anti-inflammatory drugs) on fracture healing&lt;/title&gt;&lt;secondary-title&gt;Archives of Orthopaedic &amp;amp; Trauma Surgery&lt;/secondary-title&gt;&lt;/titles&gt;&lt;periodical&gt;&lt;full-title&gt;Archives of Orthopaedic &amp;amp; Trauma Surgery&lt;/full-title&gt;&lt;/periodical&gt;&lt;pages&gt;327-32&lt;/pages&gt;&lt;volume&gt;123&lt;/volume&gt;&lt;number&gt;7&lt;/number&gt;&lt;dates&gt;&lt;year&gt;2003&lt;/year&gt;&lt;pub-dates&gt;&lt;date&gt;2003-01-01&lt;/date&gt;&lt;/pub-dates&gt;&lt;/dates&gt;&lt;isbn&gt;09368051&lt;/isbn&gt;&lt;label&gt;Rats, mechanical and histology,include,SR,MA&lt;/label&gt;&lt;urls&gt;&lt;related-urls&gt;&lt;url&gt;http://mcgill.on.worldcat.org/atoztitles/link?sid=OVID:medline&amp;amp;id=pmid:12811581&amp;amp;id=doi:&amp;amp;issn=0936-8051&amp;amp;isbn=&amp;amp;volume=123&amp;amp;issue=7&amp;amp;spage=327&amp;amp;pages=327-32&amp;amp;date=2003&amp;amp;title=Archives+of+Orthopaedic+%26+Trauma+Surgery&amp;amp;atitle=Influence+of+diclofenac+%28group+of+nonsteroidal+anti-inflammatory+drugs%29+on+fracture+healing.&amp;amp;aulast=Beck&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(5)</w:t>
            </w:r>
            <w:r w:rsidRPr="009942E0">
              <w:rPr>
                <w:rFonts w:cstheme="minorHAnsi"/>
                <w:color w:val="000000"/>
                <w:sz w:val="18"/>
                <w:szCs w:val="18"/>
              </w:rPr>
              <w:fldChar w:fldCharType="end"/>
            </w:r>
          </w:p>
        </w:tc>
        <w:tc>
          <w:tcPr>
            <w:tcW w:w="720" w:type="dxa"/>
          </w:tcPr>
          <w:p w14:paraId="005C0A83"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2003</w:t>
            </w:r>
          </w:p>
        </w:tc>
        <w:tc>
          <w:tcPr>
            <w:tcW w:w="990" w:type="dxa"/>
          </w:tcPr>
          <w:p w14:paraId="660BF67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73FB19E1"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031CD57D"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325</w:t>
            </w:r>
          </w:p>
        </w:tc>
        <w:tc>
          <w:tcPr>
            <w:tcW w:w="567" w:type="dxa"/>
          </w:tcPr>
          <w:p w14:paraId="0436BC8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42EC6A8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02BEBC5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w:t>
            </w:r>
          </w:p>
        </w:tc>
        <w:tc>
          <w:tcPr>
            <w:tcW w:w="630" w:type="dxa"/>
          </w:tcPr>
          <w:p w14:paraId="6A4AEB01"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080" w:type="dxa"/>
          </w:tcPr>
          <w:p w14:paraId="57266A1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7,21</w:t>
            </w:r>
          </w:p>
        </w:tc>
        <w:tc>
          <w:tcPr>
            <w:tcW w:w="1260" w:type="dxa"/>
          </w:tcPr>
          <w:p w14:paraId="77C003C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1C5F232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620" w:type="dxa"/>
          </w:tcPr>
          <w:p w14:paraId="08D42187" w14:textId="0501DCBC"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BD-</w:t>
            </w:r>
            <w:r w:rsidR="006E2C72">
              <w:rPr>
                <w:rFonts w:cstheme="minorHAnsi"/>
                <w:color w:val="000000"/>
                <w:sz w:val="18"/>
                <w:szCs w:val="18"/>
              </w:rPr>
              <w:t>µ-</w:t>
            </w:r>
            <w:r w:rsidRPr="009942E0">
              <w:rPr>
                <w:rFonts w:cstheme="minorHAnsi"/>
                <w:color w:val="000000"/>
                <w:sz w:val="18"/>
                <w:szCs w:val="18"/>
              </w:rPr>
              <w:t>CT</w:t>
            </w:r>
          </w:p>
        </w:tc>
        <w:tc>
          <w:tcPr>
            <w:tcW w:w="1350" w:type="dxa"/>
          </w:tcPr>
          <w:p w14:paraId="4D16FEC6"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21</w:t>
            </w:r>
          </w:p>
        </w:tc>
      </w:tr>
      <w:tr w:rsidR="003356FE" w:rsidRPr="00324F1B" w14:paraId="42EED591"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E9FF733" w14:textId="3EB5DFA5"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 xml:space="preserve">Bergenstock et al </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&lt;EndNote&gt;&lt;Cite&gt;&lt;Author&gt;Bergenstock&lt;/Author&gt;&lt;Year&gt;2005&lt;/Year&gt;&lt;RecNum&gt;1666&lt;/RecNum&gt;&lt;DisplayText&gt;(6)&lt;/DisplayText&gt;&lt;record&gt;&lt;rec-number&gt;1666&lt;/rec-number&gt;&lt;foreign-keys&gt;&lt;key app="EN" db-id="929z22wv3a2929ettfh529v8fsfd52ax9dsr" timestamp="1476195610"&gt;1666&lt;/key&gt;&lt;key app="ENWeb" db-id=""&gt;0&lt;/key&gt;&lt;/foreign-keys&gt;&lt;ref-type name="Journal Article"&gt;17&lt;/ref-type&gt;&lt;contributors&gt;&lt;authors&gt;&lt;author&gt;Bergenstock, M.&lt;/author&gt;&lt;author&gt;Min, W.&lt;/author&gt;&lt;author&gt;Simon, A. M.&lt;/author&gt;&lt;author&gt;Sabatino, C.&lt;/author&gt;&lt;author&gt;O&amp;apos;Connor, J. P.&lt;/author&gt;&lt;/authors&gt;&lt;/contributors&gt;&lt;titles&gt;&lt;title&gt;A comparison between the effects of acetaminophen and celecoxib on bone fracture healing rats&lt;/title&gt;&lt;secondary-title&gt;Journal of Orthopaedic Trauma&lt;/secondary-title&gt;&lt;/titles&gt;&lt;periodical&gt;&lt;full-title&gt;Journal of Orthopaedic Trauma&lt;/full-title&gt;&lt;/periodical&gt;&lt;pages&gt;717-723&lt;/pages&gt;&lt;volume&gt;19&lt;/volume&gt;&lt;number&gt;10&lt;/number&gt;&lt;dates&gt;&lt;year&gt;2005&lt;/year&gt;&lt;pub-dates&gt;&lt;date&gt;2005-01-01&lt;/date&gt;&lt;/pub-dates&gt;&lt;/dates&gt;&lt;isbn&gt;0890-5339&lt;/isbn&gt;&lt;label&gt;include, rats,celecoxib, need email, mechanical,SR,MA&lt;/label&gt;&lt;urls&gt;&lt;related-urls&gt;&lt;url&gt;http://proxy.library.mcgill.ca/login?url=http://search.ebscohost.com/login.aspx?direct=true&amp;amp;db=rzh&amp;amp;AN=106329274&amp;amp;site=ehost-live&lt;/url&gt;&lt;/related-urls&gt;&lt;/urls&gt;&lt;custom1&gt;RAYYAN-INCLUSION: {&amp;quot;Haider&amp;quot;=&amp;gt;true, &amp;quot;sales.anapaula&amp;quot;=&amp;gt;true} | RAYYAN-LABELS: COX-2 inhib,rats&lt;/custom1&gt;&lt;/record&gt;&lt;/Cite&gt;&lt;/EndNote&gt;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(6)</w:t>
            </w:r>
            <w:r w:rsidRPr="009942E0">
              <w:rPr>
                <w:rFonts w:cstheme="minorHAnsi"/>
                <w:color w:val="000000"/>
                <w:sz w:val="18"/>
                <w:szCs w:val="18"/>
              </w:rPr>
              <w:fldChar w:fldCharType="end"/>
            </w:r>
          </w:p>
        </w:tc>
        <w:tc>
          <w:tcPr>
            <w:tcW w:w="720" w:type="dxa"/>
          </w:tcPr>
          <w:p w14:paraId="69DB414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2005</w:t>
            </w:r>
          </w:p>
        </w:tc>
        <w:tc>
          <w:tcPr>
            <w:tcW w:w="990" w:type="dxa"/>
          </w:tcPr>
          <w:p w14:paraId="1B654F1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1898D617"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3A59FFE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301</w:t>
            </w:r>
          </w:p>
        </w:tc>
        <w:tc>
          <w:tcPr>
            <w:tcW w:w="567" w:type="dxa"/>
          </w:tcPr>
          <w:p w14:paraId="29BC238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31ACCD1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4D4592C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COX-2(Celec.)</w:t>
            </w:r>
          </w:p>
        </w:tc>
        <w:tc>
          <w:tcPr>
            <w:tcW w:w="630" w:type="dxa"/>
          </w:tcPr>
          <w:p w14:paraId="011D7DF8"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3,6,60,300</w:t>
            </w:r>
          </w:p>
        </w:tc>
        <w:tc>
          <w:tcPr>
            <w:tcW w:w="1080" w:type="dxa"/>
          </w:tcPr>
          <w:p w14:paraId="63764F1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1260" w:type="dxa"/>
          </w:tcPr>
          <w:p w14:paraId="4CC5D1F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5C14F28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56</w:t>
            </w:r>
          </w:p>
        </w:tc>
        <w:tc>
          <w:tcPr>
            <w:tcW w:w="1620" w:type="dxa"/>
          </w:tcPr>
          <w:p w14:paraId="2AA82FC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Radiog.(scores),</w:t>
            </w:r>
          </w:p>
          <w:p w14:paraId="113DDB3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Non-union ratio, Hist.</w:t>
            </w:r>
          </w:p>
        </w:tc>
        <w:tc>
          <w:tcPr>
            <w:tcW w:w="1350" w:type="dxa"/>
          </w:tcPr>
          <w:p w14:paraId="0D103C88"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56</w:t>
            </w:r>
          </w:p>
        </w:tc>
      </w:tr>
      <w:tr w:rsidR="003356FE" w:rsidRPr="00324F1B" w14:paraId="3EE343B9"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5F84034D" w14:textId="396F9F89"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Brown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&lt;EndNote&gt;&lt;Cite&gt;&lt;Author&gt;Brown&lt;/Author&gt;&lt;Year&gt;2004&lt;/Year&gt;&lt;RecNum&gt;1667&lt;/RecNum&gt;&lt;DisplayText&gt;(7)&lt;/DisplayText&gt;&lt;record&gt;&lt;rec-number&gt;1667&lt;/rec-number&gt;&lt;foreign-keys&gt;&lt;key app="EN" db-id="929z22wv3a2929ettfh529v8fsfd52ax9dsr" timestamp="1476195610"&gt;1667&lt;/key&gt;&lt;key app="ENWeb" db-id=""&gt;0&lt;/key&gt;&lt;/foreign-keys&gt;&lt;ref-type name="Journal Article"&gt;17&lt;/ref-type&gt;&lt;contributors&gt;&lt;authors&gt;&lt;author&gt;Brown, K. M.&lt;/author&gt;&lt;author&gt;Saunders, M. M.&lt;/author&gt;&lt;author&gt;Kirsch, T.&lt;/author&gt;&lt;author&gt;Donahue, H. J.&lt;/author&gt;&lt;author&gt;Reid, J. S.&lt;/author&gt;&lt;/authors&gt;&lt;/contributors&gt;&lt;titles&gt;&lt;title&gt;Effect of COX-2-specific inhibition on fracture-healing in the rat femur&lt;/title&gt;&lt;secondary-title&gt;Journal of Bone &amp;amp; Joint Surgery - American Volume&lt;/secondary-title&gt;&lt;/titles&gt;&lt;periodical&gt;&lt;full-title&gt;Journal of Bone &amp;amp; Joint Surgery - American Volume&lt;/full-title&gt;&lt;/periodical&gt;&lt;pages&gt;116-23&lt;/pages&gt;&lt;volume&gt;86&lt;/volume&gt;&lt;number&gt;1&lt;/number&gt;&lt;dates&gt;&lt;year&gt;2004&lt;/year&gt;&lt;pub-dates&gt;&lt;date&gt;2004-01-01&lt;/date&gt;&lt;/pub-dates&gt;&lt;/dates&gt;&lt;isbn&gt;0021-9355&lt;/isbn&gt;&lt;label&gt;No effect for COX-2,include, rats,femur,celecoxib,need email,mechanical,SR,MA, no response&lt;/label&gt;&lt;urls&gt;&lt;related-urls&gt;&lt;url&gt;http://mcgill.on.worldcat.org/atoztitles/link?sid=OVID:medline&amp;amp;id=pmid:14711953&amp;amp;id=doi:&amp;amp;issn=0021-9355&amp;amp;isbn=&amp;amp;volume=86-A&amp;amp;issue=1&amp;amp;spage=116&amp;amp;pages=116-23&amp;amp;date=2004&amp;amp;title=Journal+of+Bone+%26+Joint+Surgery+-+American+Volume&amp;amp;atitle=Effect+of+COX-2-specific+inhibition+on+fracture-healing+in+the+rat+femur.&amp;amp;aulast=Brown&lt;/url&gt;&lt;/related-urls&gt;&lt;/urls&gt;&lt;custom1&gt;RAYYAN-INCLUSION: {&amp;quot;Haider&amp;quot;=&amp;gt;true, &amp;quot;sales.anapaula&amp;quot;=&amp;gt;true} | RAYYAN-LABELS: rats,COX-2 inhib,Non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(7)</w:t>
            </w:r>
            <w:r w:rsidRPr="009942E0">
              <w:rPr>
                <w:rFonts w:cstheme="minorHAnsi"/>
                <w:color w:val="000000"/>
                <w:sz w:val="18"/>
                <w:szCs w:val="18"/>
              </w:rPr>
              <w:fldChar w:fldCharType="end"/>
            </w:r>
          </w:p>
        </w:tc>
        <w:tc>
          <w:tcPr>
            <w:tcW w:w="720" w:type="dxa"/>
          </w:tcPr>
          <w:p w14:paraId="667F82D4"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2004</w:t>
            </w:r>
          </w:p>
        </w:tc>
        <w:tc>
          <w:tcPr>
            <w:tcW w:w="990" w:type="dxa"/>
          </w:tcPr>
          <w:p w14:paraId="44CAE16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3635CC7D"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48F2A75C"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300</w:t>
            </w:r>
          </w:p>
        </w:tc>
        <w:tc>
          <w:tcPr>
            <w:tcW w:w="567" w:type="dxa"/>
          </w:tcPr>
          <w:p w14:paraId="200B46F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6BAF5E8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41CB571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 xml:space="preserve">NS-COX(Ind.), </w:t>
            </w:r>
          </w:p>
          <w:p w14:paraId="30D8B73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COX-2(Celec.)</w:t>
            </w:r>
          </w:p>
        </w:tc>
        <w:tc>
          <w:tcPr>
            <w:tcW w:w="630" w:type="dxa"/>
          </w:tcPr>
          <w:p w14:paraId="04FA8D9C"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1,3</w:t>
            </w:r>
          </w:p>
        </w:tc>
        <w:tc>
          <w:tcPr>
            <w:tcW w:w="1080" w:type="dxa"/>
          </w:tcPr>
          <w:p w14:paraId="1B17431C"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28,56,84</w:t>
            </w:r>
          </w:p>
        </w:tc>
        <w:tc>
          <w:tcPr>
            <w:tcW w:w="1260" w:type="dxa"/>
          </w:tcPr>
          <w:p w14:paraId="66764DC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6393C05C"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28,56,84</w:t>
            </w:r>
          </w:p>
        </w:tc>
        <w:tc>
          <w:tcPr>
            <w:tcW w:w="1620" w:type="dxa"/>
          </w:tcPr>
          <w:p w14:paraId="3647722C"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 Hist-grades</w:t>
            </w:r>
          </w:p>
        </w:tc>
        <w:tc>
          <w:tcPr>
            <w:tcW w:w="1350" w:type="dxa"/>
          </w:tcPr>
          <w:p w14:paraId="6DF3D946"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28,56,84</w:t>
            </w:r>
          </w:p>
        </w:tc>
      </w:tr>
      <w:tr w:rsidR="003356FE" w:rsidRPr="00324F1B" w14:paraId="4D1C3408"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2FA9DC43" w14:textId="66B60F3C"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Cappello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&lt;EndNote&gt;&lt;Cite&gt;&lt;Author&gt;Cappello&lt;/Author&gt;&lt;Year&gt;2013&lt;/Year&gt;&lt;RecNum&gt;1546&lt;/RecNum&gt;&lt;DisplayText&gt;(8)&lt;/DisplayText&gt;&lt;record&gt;&lt;rec-number&gt;1546&lt;/rec-number&gt;&lt;foreign-keys&gt;&lt;key app="EN" db-id="929z22wv3a2929ettfh529v8fsfd52ax9dsr" timestamp="1476195578"&gt;1546&lt;/key&gt;&lt;key app="ENWeb" db-id=""&gt;0&lt;/key&gt;&lt;/foreign-keys&gt;&lt;ref-type name="Journal Article"&gt;17&lt;/ref-type&gt;&lt;contributors&gt;&lt;authors&gt;&lt;author&gt;Cappello, T.&lt;/author&gt;&lt;author&gt;Nuelle, J.A.V.&lt;/author&gt;&lt;author&gt;Katsantonis, N.&lt;/author&gt;&lt;author&gt;Nauer, R.K.&lt;/author&gt;&lt;author&gt;Lauing, K.L.&lt;/author&gt;&lt;author&gt;Jagodzinski, J.E.&lt;/author&gt;&lt;author&gt;Callaci, J.J.&lt;/author&gt;&lt;/authors&gt;&lt;/contributors&gt;&lt;titles&gt;&lt;title&gt;Ketorolac administration does not delay early fracture healing in a juvenile rat model: A pilot study&lt;/title&gt;&lt;secondary-title&gt;Journal of Pediatric Orthopaedics&lt;/secondary-title&gt;&lt;/titles&gt;&lt;periodical&gt;&lt;full-title&gt;Journal of Pediatric Orthopaedics&lt;/full-title&gt;&lt;/periodical&gt;&lt;pages&gt;415-421&lt;/pages&gt;&lt;volume&gt;33&lt;/volume&gt;&lt;number&gt;4&lt;/number&gt;&lt;dates&gt;&lt;year&gt;2013&lt;/year&gt;&lt;pub-dates&gt;&lt;date&gt;2013-01-01&lt;/date&gt;&lt;/pub-dates&gt;&lt;/dates&gt;&lt;isbn&gt;0271-6798&lt;/isbn&gt;&lt;label&gt;No effect, rats, include, mechanical,SR,MA&lt;/label&gt;&lt;urls&gt;&lt;related-urls&gt;&lt;url&gt;https://www.scopus.com/inward/record.uri?eid=2-s2.0-84879074497&amp;amp;partnerID=40&amp;amp;md5=a7e9331774f47425c0327e872348ed78&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(8)</w:t>
            </w:r>
            <w:r w:rsidRPr="009942E0">
              <w:rPr>
                <w:rFonts w:cstheme="minorHAnsi"/>
                <w:color w:val="000000"/>
                <w:sz w:val="18"/>
                <w:szCs w:val="18"/>
              </w:rPr>
              <w:fldChar w:fldCharType="end"/>
            </w:r>
          </w:p>
        </w:tc>
        <w:tc>
          <w:tcPr>
            <w:tcW w:w="720" w:type="dxa"/>
          </w:tcPr>
          <w:p w14:paraId="2273B7D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2013</w:t>
            </w:r>
          </w:p>
        </w:tc>
        <w:tc>
          <w:tcPr>
            <w:tcW w:w="990" w:type="dxa"/>
          </w:tcPr>
          <w:p w14:paraId="4C60106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1C628887"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w:t>
            </w:r>
          </w:p>
        </w:tc>
        <w:tc>
          <w:tcPr>
            <w:tcW w:w="851" w:type="dxa"/>
          </w:tcPr>
          <w:p w14:paraId="0B1C6A9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567" w:type="dxa"/>
          </w:tcPr>
          <w:p w14:paraId="5C325B54"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12E6870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30D5CA8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NS-COX(Ket.)</w:t>
            </w:r>
          </w:p>
        </w:tc>
        <w:tc>
          <w:tcPr>
            <w:tcW w:w="630" w:type="dxa"/>
          </w:tcPr>
          <w:p w14:paraId="14C7EB2C"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080" w:type="dxa"/>
          </w:tcPr>
          <w:p w14:paraId="5495C50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7,14,21</w:t>
            </w:r>
          </w:p>
        </w:tc>
        <w:tc>
          <w:tcPr>
            <w:tcW w:w="1260" w:type="dxa"/>
          </w:tcPr>
          <w:p w14:paraId="10B5B4A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4PMB-F</w:t>
            </w:r>
          </w:p>
        </w:tc>
        <w:tc>
          <w:tcPr>
            <w:tcW w:w="990" w:type="dxa"/>
          </w:tcPr>
          <w:p w14:paraId="25DF58B6"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620" w:type="dxa"/>
          </w:tcPr>
          <w:p w14:paraId="045AF7E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Hist-description</w:t>
            </w:r>
          </w:p>
        </w:tc>
        <w:tc>
          <w:tcPr>
            <w:tcW w:w="1350" w:type="dxa"/>
          </w:tcPr>
          <w:p w14:paraId="30E49B07"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7,14,21</w:t>
            </w:r>
          </w:p>
        </w:tc>
      </w:tr>
      <w:tr w:rsidR="003356FE" w:rsidRPr="00324F1B" w14:paraId="14C10570"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E05049A" w14:textId="25658983"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Dimmen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&lt;EndNote&gt;&lt;Cite&gt;&lt;Author&gt;Dimmen&lt;/Author&gt;&lt;Year&gt;2008&lt;/Year&gt;&lt;RecNum&gt;4340&lt;/RecNum&gt;&lt;DisplayText&gt;(9)&lt;/DisplayText&gt;&lt;record&gt;&lt;rec-number&gt;4340&lt;/rec-number&gt;&lt;foreign-keys&gt;&lt;key app="EN" db-id="929z22wv3a2929ettfh529v8fsfd52ax9dsr" timestamp="1484054942"&gt;4340&lt;/key&gt;&lt;key app="ENWeb" db-id=""&gt;0&lt;/key&gt;&lt;/foreign-keys&gt;&lt;ref-type name="Journal Article"&gt;17&lt;/ref-type&gt;&lt;contributors&gt;&lt;authors&gt;&lt;author&gt;Dimmen, S.&lt;/author&gt;&lt;author&gt;Nordsletten, L.&lt;/author&gt;&lt;author&gt;Engebretsen, L.&lt;/author&gt;&lt;author&gt;Steen, H.&lt;/author&gt;&lt;author&gt;Madsen, J.E.&lt;/author&gt;&lt;/authors&gt;&lt;/contributors&gt;&lt;titles&gt;&lt;title&gt;Negative effect of parecoxib on bone mineral during fracture healing in rats&lt;/title&gt;&lt;secondary-title&gt;Acta Orthopaedica&lt;/secondary-title&gt;&lt;/titles&gt;&lt;periodical&gt;&lt;full-title&gt;Acta Orthopaedica&lt;/full-title&gt;&lt;/periodical&gt;&lt;pages&gt;438-444&lt;/pages&gt;&lt;volume&gt;79&lt;/volume&gt;&lt;number&gt;3&lt;/number&gt;&lt;dates&gt;&lt;year&gt;2008&lt;/year&gt;&lt;pub-dates&gt;&lt;date&gt;2008-01-01&lt;/date&gt;&lt;/pub-dates&gt;&lt;/dates&gt;&lt;isbn&gt;1745-3674&lt;/isbn&gt;&lt;label&gt;include,rats,tibia,parecoxib,mechanical&lt;/label&gt;&lt;urls&gt;&lt;related-urls&gt;&lt;url&gt;https://www.scopus.com/inward/record.uri?eid=2-s2.0-47249133812&amp;amp;partnerID=40&amp;amp;md5=1b31a066746c8792fcb9863e3462707d&lt;/url&gt;&lt;/related-urls&gt;&lt;/urls&gt;&lt;custom1&gt;RAYYAN-INCLUSION: {&amp;quot;Haider&amp;quot;=&amp;gt;true, &amp;quot;sales.anapaula&amp;quot;=&amp;gt;true} | RAYYAN-LABELS: rats,COX-2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(9)</w:t>
            </w:r>
            <w:r w:rsidRPr="009942E0">
              <w:rPr>
                <w:rFonts w:cstheme="minorHAnsi"/>
                <w:color w:val="000000"/>
                <w:sz w:val="18"/>
                <w:szCs w:val="18"/>
              </w:rPr>
              <w:fldChar w:fldCharType="end"/>
            </w:r>
          </w:p>
        </w:tc>
        <w:tc>
          <w:tcPr>
            <w:tcW w:w="720" w:type="dxa"/>
          </w:tcPr>
          <w:p w14:paraId="318E5EC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2008</w:t>
            </w:r>
          </w:p>
        </w:tc>
        <w:tc>
          <w:tcPr>
            <w:tcW w:w="990" w:type="dxa"/>
          </w:tcPr>
          <w:p w14:paraId="3DD732D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03C72D11"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adult</w:t>
            </w:r>
          </w:p>
        </w:tc>
        <w:tc>
          <w:tcPr>
            <w:tcW w:w="851" w:type="dxa"/>
          </w:tcPr>
          <w:p w14:paraId="0B18A46B"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213</w:t>
            </w:r>
          </w:p>
        </w:tc>
        <w:tc>
          <w:tcPr>
            <w:tcW w:w="567" w:type="dxa"/>
          </w:tcPr>
          <w:p w14:paraId="4B685C09"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7D9FA3D3"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705CDEB2"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COX-2(Par.)</w:t>
            </w:r>
          </w:p>
        </w:tc>
        <w:tc>
          <w:tcPr>
            <w:tcW w:w="630" w:type="dxa"/>
          </w:tcPr>
          <w:p w14:paraId="35D8350C"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1080" w:type="dxa"/>
          </w:tcPr>
          <w:p w14:paraId="4277D3D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w:t>
            </w:r>
          </w:p>
        </w:tc>
        <w:tc>
          <w:tcPr>
            <w:tcW w:w="1260" w:type="dxa"/>
          </w:tcPr>
          <w:p w14:paraId="0A07C292"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66C0032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6</w:t>
            </w:r>
          </w:p>
        </w:tc>
        <w:tc>
          <w:tcPr>
            <w:tcW w:w="1620" w:type="dxa"/>
          </w:tcPr>
          <w:p w14:paraId="6F44C34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DEXA-BD</w:t>
            </w:r>
          </w:p>
        </w:tc>
        <w:tc>
          <w:tcPr>
            <w:tcW w:w="1350" w:type="dxa"/>
          </w:tcPr>
          <w:p w14:paraId="3C048722"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14,21,42</w:t>
            </w:r>
          </w:p>
        </w:tc>
      </w:tr>
      <w:tr w:rsidR="003356FE" w:rsidRPr="00324F1B" w14:paraId="5815FB6D"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BFA443F" w14:textId="38D7295C"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Dimmen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&lt;EndNote&gt;&lt;Cite&gt;&lt;Author&gt;Dimmen&lt;/Author&gt;&lt;Year&gt;2009&lt;/Year&gt;&lt;RecNum&gt;1568&lt;/RecNum&gt;&lt;DisplayText&gt;(10)&lt;/DisplayText&gt;&lt;record&gt;&lt;rec-number&gt;1568&lt;/rec-number&gt;&lt;foreign-keys&gt;&lt;key app="EN" db-id="929z22wv3a2929ettfh529v8fsfd52ax9dsr" timestamp="1476195583"&gt;1568&lt;/key&gt;&lt;key app="ENWeb" db-id=""&gt;0&lt;/key&gt;&lt;/foreign-keys&gt;&lt;ref-type name="Journal Article"&gt;17&lt;/ref-type&gt;&lt;contributors&gt;&lt;authors&gt;&lt;author&gt;Dimmen, S.&lt;/author&gt;&lt;author&gt;Nordsletten, L.&lt;/author&gt;&lt;author&gt;Madsen, J. E.&lt;/author&gt;&lt;/authors&gt;&lt;/contributors&gt;&lt;titles&gt;&lt;title&gt;Parecoxib and indomethacin delay early fracture healing: a study in rats&lt;/title&gt;&lt;secondary-title&gt;Clinical Orthopaedics &amp;amp; Related Research&lt;/secondary-title&gt;&lt;/titles&gt;&lt;periodical&gt;&lt;full-title&gt;Clinical Orthopaedics &amp;amp; Related Research&lt;/full-title&gt;&lt;abbr-1&gt;Clin Orthop&lt;/abbr-1&gt;&lt;/periodical&gt;&lt;pages&gt;1992-9&lt;/pages&gt;&lt;volume&gt;467&lt;/volume&gt;&lt;number&gt;8&lt;/number&gt;&lt;dates&gt;&lt;year&gt;2009&lt;/year&gt;&lt;pub-dates&gt;&lt;date&gt;2009-01-01&lt;/date&gt;&lt;/pub-dates&gt;&lt;/dates&gt;&lt;isbn&gt;0009-921X U2 - PMID: 16980893&lt;/isbn&gt;&lt;label&gt;rats, include, mechanical,SR,MA&lt;/label&gt;&lt;urls&gt;&lt;related-urls&gt;&lt;url&gt;http://mcgill.on.worldcat.org/atoztitles/link?sid=OVID:medline&amp;amp;id=pmid:19319614&amp;amp;id=doi:10.1007%2Fs11999-009-0783-0&amp;amp;issn=0009-921X&amp;amp;isbn=&amp;amp;volume=467&amp;amp;issue=8&amp;amp;spage=1992&amp;amp;pages=1992-9&amp;amp;date=2009&amp;amp;title=Clinical+Orthopaedics+%26+Related+Research&amp;amp;atitle=Parecoxib+and+indomethacin+delay+early+fracture+healing%3A+a+study+in+rats.&amp;amp;aulast=Dimmen&lt;/url&gt;&lt;/related-urls&gt;&lt;/urls&gt;&lt;custom1&gt;RAYYAN-INCLUSION: {&amp;quot;Haider&amp;quot;=&amp;gt;true, &amp;quot;sales.anapaula&amp;quot;=&amp;gt;true} | RAYYAN-LABELS: rats,Non selective COX inhib,COX-2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(10)</w:t>
            </w:r>
            <w:r w:rsidRPr="009942E0">
              <w:rPr>
                <w:rFonts w:cstheme="minorHAnsi"/>
                <w:color w:val="000000"/>
                <w:sz w:val="18"/>
                <w:szCs w:val="18"/>
              </w:rPr>
              <w:fldChar w:fldCharType="end"/>
            </w:r>
          </w:p>
        </w:tc>
        <w:tc>
          <w:tcPr>
            <w:tcW w:w="720" w:type="dxa"/>
          </w:tcPr>
          <w:p w14:paraId="5B19055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2009</w:t>
            </w:r>
          </w:p>
        </w:tc>
        <w:tc>
          <w:tcPr>
            <w:tcW w:w="990" w:type="dxa"/>
          </w:tcPr>
          <w:p w14:paraId="69EDEBD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677E454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7235171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226.5</w:t>
            </w:r>
          </w:p>
        </w:tc>
        <w:tc>
          <w:tcPr>
            <w:tcW w:w="567" w:type="dxa"/>
          </w:tcPr>
          <w:p w14:paraId="79C32305"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4E235F0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3E01F5F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NS-COX(Ind.),COX-2(Par.)</w:t>
            </w:r>
          </w:p>
        </w:tc>
        <w:tc>
          <w:tcPr>
            <w:tcW w:w="630" w:type="dxa"/>
          </w:tcPr>
          <w:p w14:paraId="6C4533A8"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1.625,1</w:t>
            </w:r>
          </w:p>
        </w:tc>
        <w:tc>
          <w:tcPr>
            <w:tcW w:w="1080" w:type="dxa"/>
          </w:tcPr>
          <w:p w14:paraId="35DB9FB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w:t>
            </w:r>
          </w:p>
        </w:tc>
        <w:tc>
          <w:tcPr>
            <w:tcW w:w="1260" w:type="dxa"/>
          </w:tcPr>
          <w:p w14:paraId="458A96F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70CEE5C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620" w:type="dxa"/>
          </w:tcPr>
          <w:p w14:paraId="4C53331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DEXA-BD</w:t>
            </w:r>
          </w:p>
        </w:tc>
        <w:tc>
          <w:tcPr>
            <w:tcW w:w="1350" w:type="dxa"/>
          </w:tcPr>
          <w:p w14:paraId="2EDC64DB"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14,21</w:t>
            </w:r>
          </w:p>
        </w:tc>
      </w:tr>
      <w:tr w:rsidR="003356FE" w:rsidRPr="00324F1B" w14:paraId="26D27846"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5E5B6494" w14:textId="1B62DE2C"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Lack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&lt;EndNote&gt;&lt;Cite&gt;&lt;Author&gt;Donovan&lt;/Author&gt;&lt;Year&gt;2013&lt;/Year&gt;&lt;RecNum&gt;4364&lt;/RecNum&gt;&lt;DisplayText&gt;(11)&lt;/DisplayText&gt;&lt;record&gt;&lt;rec-number&gt;4364&lt;/rec-number&gt;&lt;foreign-keys&gt;&lt;key app="EN" db-id="929z22wv3a2929ettfh529v8fsfd52ax9dsr" timestamp="1487611080"&gt;4364&lt;/key&gt;&lt;key app="ENWeb" db-id=""&gt;0&lt;/key&gt;&lt;/foreign-keys&gt;&lt;ref-type name="Journal Article"&gt;17&lt;/ref-type&gt;&lt;contributors&gt;&lt;authors&gt;&lt;author&gt;Donovan, M.&lt;/author&gt;&lt;author&gt;George, M.&lt;/author&gt;&lt;author&gt;Petersen, E.&lt;/author&gt;&lt;author&gt;Fredericks, D.&lt;/author&gt;&lt;author&gt;Femino, J. E.&lt;/author&gt;&lt;author&gt;Lack, W. D.&lt;/author&gt;&lt;author&gt;Nepola, J.&lt;/author&gt;&lt;author&gt;Smucker, J.&lt;/author&gt;&lt;/authors&gt;&lt;/contributors&gt;&lt;titles&gt;&lt;title&gt;Effect of aspirin on bone healing in a rabbit ulnar osteotomy model&lt;/title&gt;&lt;secondary-title&gt;Journal of Bone &amp;amp; Joint Surgery - American Volume&lt;/secondary-title&gt;&lt;/titles&gt;&lt;periodical&gt;&lt;full-title&gt;Journal of Bone &amp;amp; Joint Surgery - American Volume&lt;/full-title&gt;&lt;/periodical&gt;&lt;pages&gt;488-96&lt;/pages&gt;&lt;volume&gt;95&lt;/volume&gt;&lt;number&gt;6&lt;/number&gt;&lt;dates&gt;&lt;year&gt;2013&lt;/year&gt;&lt;pub-dates&gt;&lt;date&gt;2013-01-01&lt;/date&gt;&lt;/pub-dates&gt;&lt;/dates&gt;&lt;isbn&gt;0021-9355&lt;/isbn&gt;&lt;urls&gt;&lt;related-urls&gt;&lt;url&gt;http://mcgill.on.worldcat.org/atoztitles/link?sid=OVID:medline&amp;amp;id=pmid:23407637&amp;amp;id=doi:10.2106%2FJBJS.L.00462&amp;amp;issn=1535-1386&amp;amp;isbn=&amp;amp;volume=95&amp;amp;issue=6&amp;amp;spage=488&amp;amp;pages=488-96&amp;amp;date=2013&amp;amp;title=Journal+of+Bone+%26+Joint+Surgery+-+American+Volume&amp;amp;atitle=Effect+of+aspirin+on+bone+healing+in+a+rabbit+ulnar+osteotomy+model.&amp;amp;aulast=Lack&lt;/url&gt;&lt;/related-urls&gt;&lt;/urls&gt;&lt;custom1&gt;RAYYAN-INCLUSION: {&amp;quot;Haider&amp;quot;=&amp;gt;true, &amp;quot;sales.anapaula&amp;quot;=&amp;gt;true} | RAYYAN-LABELS: rabbits,Non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(11)</w:t>
            </w:r>
            <w:r w:rsidRPr="009942E0">
              <w:rPr>
                <w:rFonts w:cstheme="minorHAnsi"/>
                <w:color w:val="000000"/>
                <w:sz w:val="18"/>
                <w:szCs w:val="18"/>
              </w:rPr>
              <w:fldChar w:fldCharType="end"/>
            </w:r>
          </w:p>
        </w:tc>
        <w:tc>
          <w:tcPr>
            <w:tcW w:w="720" w:type="dxa"/>
          </w:tcPr>
          <w:p w14:paraId="732E75C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2013</w:t>
            </w:r>
          </w:p>
        </w:tc>
        <w:tc>
          <w:tcPr>
            <w:tcW w:w="990" w:type="dxa"/>
          </w:tcPr>
          <w:p w14:paraId="58684DD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347F447E"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11735444"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567" w:type="dxa"/>
          </w:tcPr>
          <w:p w14:paraId="10747AEA"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83" w:type="dxa"/>
          </w:tcPr>
          <w:p w14:paraId="5F9C1E0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Ulna</w:t>
            </w:r>
          </w:p>
        </w:tc>
        <w:tc>
          <w:tcPr>
            <w:tcW w:w="2199" w:type="dxa"/>
          </w:tcPr>
          <w:p w14:paraId="0339B7A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NS-COX(Ind.,Aspirin)</w:t>
            </w:r>
          </w:p>
        </w:tc>
        <w:tc>
          <w:tcPr>
            <w:tcW w:w="630" w:type="dxa"/>
          </w:tcPr>
          <w:p w14:paraId="58478730"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10, 10</w:t>
            </w:r>
          </w:p>
        </w:tc>
        <w:tc>
          <w:tcPr>
            <w:tcW w:w="1080" w:type="dxa"/>
          </w:tcPr>
          <w:p w14:paraId="4B1A308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56</w:t>
            </w:r>
          </w:p>
        </w:tc>
        <w:tc>
          <w:tcPr>
            <w:tcW w:w="1260" w:type="dxa"/>
          </w:tcPr>
          <w:p w14:paraId="46C39D34"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w:t>
            </w:r>
          </w:p>
        </w:tc>
        <w:tc>
          <w:tcPr>
            <w:tcW w:w="990" w:type="dxa"/>
          </w:tcPr>
          <w:p w14:paraId="5972B3A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56</w:t>
            </w:r>
          </w:p>
        </w:tc>
        <w:tc>
          <w:tcPr>
            <w:tcW w:w="1620" w:type="dxa"/>
          </w:tcPr>
          <w:p w14:paraId="2062C664"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Radiog.,Hist.</w:t>
            </w:r>
          </w:p>
        </w:tc>
        <w:tc>
          <w:tcPr>
            <w:tcW w:w="1350" w:type="dxa"/>
          </w:tcPr>
          <w:p w14:paraId="0861B110"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14,28,42,56</w:t>
            </w:r>
          </w:p>
        </w:tc>
      </w:tr>
      <w:tr w:rsidR="003356FE" w:rsidRPr="00324F1B" w14:paraId="12B6E074"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735CD783" w14:textId="64952EEC"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More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&lt;EndNote&gt;&lt;Cite&gt;&lt;Author&gt;Dorey&lt;/Author&gt;&lt;Year&gt;1989&lt;/Year&gt;&lt;RecNum&gt;4365&lt;/RecNum&gt;&lt;DisplayText&gt;(12)&lt;/DisplayText&gt;&lt;record&gt;&lt;rec-number&gt;4365&lt;/rec-number&gt;&lt;foreign-keys&gt;&lt;key app="EN" db-id="929z22wv3a2929ettfh529v8fsfd52ax9dsr" timestamp="1487611082"&gt;4365&lt;/key&gt;&lt;key app="ENWeb" db-id=""&gt;0&lt;/key&gt;&lt;/foreign-keys&gt;&lt;ref-type name="Journal Article"&gt;17&lt;/ref-type&gt;&lt;contributors&gt;&lt;authors&gt;&lt;author&gt;Dorey, F. J.&lt;/author&gt;&lt;author&gt;Kody, M. H.&lt;/author&gt;&lt;author&gt;Kabo, J. M.&lt;/author&gt;&lt;author&gt;More, R. C.&lt;/author&gt;&lt;author&gt;Meals, R. A.&lt;/author&gt;&lt;/authors&gt;&lt;/contributors&gt;&lt;titles&gt;&lt;title&gt;The effects of two nonsteroidal antiinflammatory drugs on limb swelling, joint stiffness, and bone torsional strength following fracture in a rabbit model&lt;/title&gt;&lt;secondary-title&gt;Clinical Orthopaedics &amp;amp; Related Research&lt;/secondary-title&gt;&lt;/titles&gt;&lt;periodical&gt;&lt;full-title&gt;Clinical Orthopaedics &amp;amp; Related Research&lt;/full-title&gt;&lt;abbr-1&gt;Clin Orthop&lt;/abbr-1&gt;&lt;/periodical&gt;&lt;pages&gt;306-12&lt;/pages&gt;&lt;volume&gt;0&lt;/volume&gt;&lt;number&gt;247&lt;/number&gt;&lt;dates&gt;&lt;year&gt;1989&lt;/year&gt;&lt;pub-dates&gt;&lt;date&gt;1989-01-01&lt;/date&gt;&lt;/pub-dates&gt;&lt;/dates&gt;&lt;isbn&gt;0009-921X U2 - PMID: 16980893&lt;/isbn&gt;&lt;label&gt;No effect, on ankle stifness and tibia torsioanl strentgh&lt;/label&gt;&lt;urls&gt;&lt;related-urls&gt;&lt;url&gt;http://mcgill.on.worldcat.org/atoztitles/link?sid=OVID:medline&amp;amp;id=pmid:2791397&amp;amp;id=doi:&amp;amp;issn=0009-921X&amp;amp;isbn=&amp;amp;volume=&amp;amp;issue=247&amp;amp;spage=306&amp;amp;pages=306-12&amp;amp;date=1989&amp;amp;title=Clinical+Orthopaedics+%26+Related+Research&amp;amp;atitle=The+effects+of+two+nonsteroidal+antiinflammatory+drugs+on+limb+swelling%2C+joint+stiffness%2C+and+bone+torsional+strength+following+fracture+in+a+rabbit+model.&amp;amp;aulast=More&lt;/url&gt;&lt;/related-urls&gt;&lt;/urls&gt;&lt;custom1&gt;RAYYAN-INCLUSION: {&amp;quot;Haider&amp;quot;=&amp;gt;true, &amp;quot;sales.anapaula&amp;quot;=&amp;gt;true} | RAYYAN-LABELS: rabbits,Non selective COX inhib,need to read full text&lt;/custom1&gt;&lt;language&gt;English&lt;/language&gt;&lt;/record&gt;&lt;/Cite&gt;&lt;/EndNote&gt;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(12)</w:t>
            </w:r>
            <w:r w:rsidRPr="009942E0">
              <w:rPr>
                <w:rFonts w:cstheme="minorHAnsi"/>
                <w:color w:val="000000"/>
                <w:sz w:val="18"/>
                <w:szCs w:val="18"/>
              </w:rPr>
              <w:fldChar w:fldCharType="end"/>
            </w:r>
          </w:p>
        </w:tc>
        <w:tc>
          <w:tcPr>
            <w:tcW w:w="720" w:type="dxa"/>
          </w:tcPr>
          <w:p w14:paraId="4BC4C4B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1989</w:t>
            </w:r>
          </w:p>
        </w:tc>
        <w:tc>
          <w:tcPr>
            <w:tcW w:w="990" w:type="dxa"/>
          </w:tcPr>
          <w:p w14:paraId="56BC3BC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0E4E5F8B"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Adolescent</w:t>
            </w:r>
          </w:p>
        </w:tc>
        <w:tc>
          <w:tcPr>
            <w:tcW w:w="851" w:type="dxa"/>
          </w:tcPr>
          <w:p w14:paraId="6FB422F2"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260</w:t>
            </w:r>
          </w:p>
        </w:tc>
        <w:tc>
          <w:tcPr>
            <w:tcW w:w="567" w:type="dxa"/>
          </w:tcPr>
          <w:p w14:paraId="6CAD9AB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5B165C8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03E8FB2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NS-COX(Flunixin,Piroxicam)</w:t>
            </w:r>
          </w:p>
        </w:tc>
        <w:tc>
          <w:tcPr>
            <w:tcW w:w="630" w:type="dxa"/>
          </w:tcPr>
          <w:p w14:paraId="1BF85CB7"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1.1,0.2</w:t>
            </w:r>
          </w:p>
        </w:tc>
        <w:tc>
          <w:tcPr>
            <w:tcW w:w="1080" w:type="dxa"/>
          </w:tcPr>
          <w:p w14:paraId="2209A5E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260" w:type="dxa"/>
          </w:tcPr>
          <w:p w14:paraId="672D9AE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w:t>
            </w:r>
          </w:p>
        </w:tc>
        <w:tc>
          <w:tcPr>
            <w:tcW w:w="990" w:type="dxa"/>
          </w:tcPr>
          <w:p w14:paraId="5B9D6F6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620" w:type="dxa"/>
          </w:tcPr>
          <w:p w14:paraId="41C7C58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Ankle stiffness</w:t>
            </w:r>
          </w:p>
        </w:tc>
        <w:tc>
          <w:tcPr>
            <w:tcW w:w="1350" w:type="dxa"/>
          </w:tcPr>
          <w:p w14:paraId="27F23A64"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Not clear</w:t>
            </w:r>
          </w:p>
        </w:tc>
      </w:tr>
      <w:tr w:rsidR="003356FE" w:rsidRPr="00324F1B" w14:paraId="691BC7B3"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0CCD789E" w14:textId="0B9F34BC"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Endo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&lt;EndNote&gt;&lt;Cite&gt;&lt;Author&gt;Endo&lt;/Author&gt;&lt;Year&gt;2005&lt;/Year&gt;&lt;RecNum&gt;1659&lt;/RecNum&gt;&lt;DisplayText&gt;(13)&lt;/DisplayText&gt;&lt;record&gt;&lt;rec-number&gt;1659&lt;/rec-number&gt;&lt;foreign-keys&gt;&lt;key app="EN" db-id="929z22wv3a2929ettfh529v8fsfd52ax9dsr" timestamp="1476195608"&gt;1659&lt;/key&gt;&lt;key app="ENWeb" db-id=""&gt;0&lt;/key&gt;&lt;/foreign-keys&gt;&lt;ref-type name="Journal Article"&gt;17&lt;/ref-type&gt;&lt;contributors&gt;&lt;authors&gt;&lt;author&gt;Endo, K.&lt;/author&gt;&lt;author&gt;Sairyo, K.&lt;/author&gt;&lt;author&gt;Komatsubara, S.&lt;/author&gt;&lt;author&gt;Sasa, T.&lt;/author&gt;&lt;author&gt;Egawa, H.&lt;/author&gt;&lt;author&gt;Ogawa, T.&lt;/author&gt;&lt;author&gt;Yonekura, D.&lt;/author&gt;&lt;author&gt;Murakami, R.-I.&lt;/author&gt;&lt;author&gt;Yasui, N.&lt;/author&gt;&lt;/authors&gt;&lt;/contributors&gt;&lt;titles&gt;&lt;title&gt;Cyclooxygenase-2 inhibitor delays fracture healing in rats&lt;/title&gt;&lt;secondary-title&gt;Acta Orthopaedica&lt;/secondary-title&gt;&lt;/titles&gt;&lt;periodical&gt;&lt;full-title&gt;Acta Orthopaedica&lt;/full-title&gt;&lt;/periodical&gt;&lt;pages&gt;470-474&lt;/pages&gt;&lt;volume&gt;76&lt;/volume&gt;&lt;number&gt;4&lt;/number&gt;&lt;dates&gt;&lt;year&gt;2005&lt;/year&gt;&lt;pub-dates&gt;&lt;date&gt;2005-01-01&lt;/date&gt;&lt;/pub-dates&gt;&lt;/dates&gt;&lt;isbn&gt;1745-3674&lt;/isbn&gt;&lt;label&gt;include, rats,mechanical,etodolac,SR,MA&lt;/label&gt;&lt;urls&gt;&lt;related-urls&gt;&lt;url&gt;https://www.scopus.com/inward/record.uri?eid=2-s2.0-24144483992&amp;amp;partnerID=40&amp;amp;md5=ffc4dc3cc06dbddbc2c18bc4deaffcda&lt;/url&gt;&lt;/related-urls&gt;&lt;/urls&gt;&lt;custom1&gt;RAYYAN-INCLUSION: {&amp;quot;Haider&amp;quot;=&amp;gt;true, &amp;quot;sales.anapaula&amp;quot;=&amp;gt;true} | RAYYAN-LABELS: rats,COX-2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(13)</w:t>
            </w:r>
            <w:r w:rsidRPr="009942E0">
              <w:rPr>
                <w:rFonts w:cstheme="minorHAnsi"/>
                <w:color w:val="000000"/>
                <w:sz w:val="18"/>
                <w:szCs w:val="18"/>
              </w:rPr>
              <w:fldChar w:fldCharType="end"/>
            </w:r>
          </w:p>
        </w:tc>
        <w:tc>
          <w:tcPr>
            <w:tcW w:w="720" w:type="dxa"/>
          </w:tcPr>
          <w:p w14:paraId="4198FAE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2005</w:t>
            </w:r>
          </w:p>
        </w:tc>
        <w:tc>
          <w:tcPr>
            <w:tcW w:w="990" w:type="dxa"/>
          </w:tcPr>
          <w:p w14:paraId="24DE178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773A7FCB"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w:t>
            </w:r>
          </w:p>
        </w:tc>
        <w:tc>
          <w:tcPr>
            <w:tcW w:w="851" w:type="dxa"/>
          </w:tcPr>
          <w:p w14:paraId="1A458D74"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250</w:t>
            </w:r>
          </w:p>
        </w:tc>
        <w:tc>
          <w:tcPr>
            <w:tcW w:w="567" w:type="dxa"/>
          </w:tcPr>
          <w:p w14:paraId="7950549C"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83" w:type="dxa"/>
          </w:tcPr>
          <w:p w14:paraId="19CACAB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13D0045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COX-2(Etodolac)</w:t>
            </w:r>
          </w:p>
        </w:tc>
        <w:tc>
          <w:tcPr>
            <w:tcW w:w="630" w:type="dxa"/>
          </w:tcPr>
          <w:p w14:paraId="2E4304A6"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w:t>
            </w:r>
          </w:p>
        </w:tc>
        <w:tc>
          <w:tcPr>
            <w:tcW w:w="1080" w:type="dxa"/>
          </w:tcPr>
          <w:p w14:paraId="5C1630F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w:t>
            </w:r>
          </w:p>
        </w:tc>
        <w:tc>
          <w:tcPr>
            <w:tcW w:w="1260" w:type="dxa"/>
          </w:tcPr>
          <w:p w14:paraId="5A624E33"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085ED0C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620" w:type="dxa"/>
          </w:tcPr>
          <w:p w14:paraId="387BF20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Radiog.(scores)</w:t>
            </w:r>
          </w:p>
        </w:tc>
        <w:tc>
          <w:tcPr>
            <w:tcW w:w="1350" w:type="dxa"/>
          </w:tcPr>
          <w:p w14:paraId="0600D5EE"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7,14,21</w:t>
            </w:r>
          </w:p>
        </w:tc>
      </w:tr>
      <w:tr w:rsidR="003356FE" w:rsidRPr="00324F1B" w14:paraId="1C688DC7"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69C91FBA" w14:textId="144DDE7E"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Endo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&lt;EndNote&gt;&lt;Cite&gt;&lt;Author&gt;Endo&lt;/Author&gt;&lt;Year&gt;2002&lt;/Year&gt;&lt;RecNum&gt;1673&lt;/RecNum&gt;&lt;DisplayText&gt;(14)&lt;/DisplayText&gt;&lt;record&gt;&lt;rec-number&gt;1673&lt;/rec-number&gt;&lt;foreign-keys&gt;&lt;key app="EN" db-id="929z22wv3a2929ettfh529v8fsfd52ax9dsr" timestamp="1476195611"&gt;1673&lt;/key&gt;&lt;key app="ENWeb" db-id=""&gt;0&lt;/key&gt;&lt;/foreign-keys&gt;&lt;ref-type name="Journal Article"&gt;17&lt;/ref-type&gt;&lt;contributors&gt;&lt;authors&gt;&lt;author&gt;Endo, K.&lt;/author&gt;&lt;author&gt;Sairyo, K.&lt;/author&gt;&lt;author&gt;Komatsubara, S.&lt;/author&gt;&lt;author&gt;Sasa, T.&lt;/author&gt;&lt;author&gt;Egawa, H.&lt;/author&gt;&lt;author&gt;Yonekura, D.&lt;/author&gt;&lt;author&gt;Adachi, K.&lt;/author&gt;&lt;author&gt;Ogawa, T.&lt;/author&gt;&lt;author&gt;Murakami, R.&lt;/author&gt;&lt;author&gt;Yasui, N.&lt;/author&gt;&lt;/authors&gt;&lt;/contributors&gt;&lt;titles&gt;&lt;title&gt;Cyclooxygenase-2 inhibitor inhibits the fracture healing&lt;/title&gt;&lt;secondary-title&gt;Journal of Physiological Anthropology &amp;amp; Applied Human Science&lt;/secondary-title&gt;&lt;/titles&gt;&lt;periodical&gt;&lt;full-title&gt;Journal of Physiological Anthropology &amp;amp; Applied Human Science&lt;/full-title&gt;&lt;/periodical&gt;&lt;pages&gt;235-8&lt;/pages&gt;&lt;volume&gt;21&lt;/volume&gt;&lt;number&gt;5&lt;/number&gt;&lt;dates&gt;&lt;year&gt;2002&lt;/year&gt;&lt;pub-dates&gt;&lt;date&gt;2002-01-01&lt;/date&gt;&lt;/pub-dates&gt;&lt;/dates&gt;&lt;label&gt;include,rats,femur,etodelac,mechanical,SR,MA&lt;/label&gt;&lt;urls&gt;&lt;related-urls&gt;&lt;url&gt;http://mcgill.on.worldcat.org/atoztitles/link?sid=OVID:medline&amp;amp;id=pmid:12491820&amp;amp;id=doi:&amp;amp;issn=1345-3475&amp;amp;isbn=&amp;amp;volume=21&amp;amp;issue=5&amp;amp;spage=235&amp;amp;pages=235-8&amp;amp;date=2002&amp;amp;title=Journal+of+Physiological+Anthropology+%26+Applied+Human+Science&amp;amp;atitle=Cyclooxygenase-2+inhibitor+inhibits+the+fracture+healing.&amp;amp;aulast=Endo&lt;/url&gt;&lt;/related-urls&gt;&lt;/urls&gt;&lt;custom1&gt;RAYYAN-INCLUSION: {&amp;quot;Haider&amp;quot;=&amp;gt;true, &amp;quot;sales.anapaula&amp;quot;=&amp;gt;true} | RAYYAN-LABELS: rats,COX-2 inhib,Duplicate&lt;/custom1&gt;&lt;language&gt;English&lt;/language&gt;&lt;/record&gt;&lt;/Cite&gt;&lt;/EndNote&gt;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(14)</w:t>
            </w:r>
            <w:r w:rsidRPr="009942E0">
              <w:rPr>
                <w:rFonts w:cstheme="minorHAnsi"/>
                <w:color w:val="000000"/>
                <w:sz w:val="18"/>
                <w:szCs w:val="18"/>
              </w:rPr>
              <w:fldChar w:fldCharType="end"/>
            </w:r>
          </w:p>
        </w:tc>
        <w:tc>
          <w:tcPr>
            <w:tcW w:w="720" w:type="dxa"/>
          </w:tcPr>
          <w:p w14:paraId="63D30C8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2002</w:t>
            </w:r>
          </w:p>
        </w:tc>
        <w:tc>
          <w:tcPr>
            <w:tcW w:w="990" w:type="dxa"/>
          </w:tcPr>
          <w:p w14:paraId="32941E0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77502EC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w:t>
            </w:r>
          </w:p>
        </w:tc>
        <w:tc>
          <w:tcPr>
            <w:tcW w:w="851" w:type="dxa"/>
          </w:tcPr>
          <w:p w14:paraId="5A208D3F"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250</w:t>
            </w:r>
          </w:p>
        </w:tc>
        <w:tc>
          <w:tcPr>
            <w:tcW w:w="567" w:type="dxa"/>
          </w:tcPr>
          <w:p w14:paraId="2DD77FD5"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3F4FCEF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73C3C99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COX-2(Etodolac)</w:t>
            </w:r>
          </w:p>
        </w:tc>
        <w:tc>
          <w:tcPr>
            <w:tcW w:w="630" w:type="dxa"/>
          </w:tcPr>
          <w:p w14:paraId="3919D3B1"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w:t>
            </w:r>
          </w:p>
        </w:tc>
        <w:tc>
          <w:tcPr>
            <w:tcW w:w="1080" w:type="dxa"/>
          </w:tcPr>
          <w:p w14:paraId="2EDAF05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260" w:type="dxa"/>
          </w:tcPr>
          <w:p w14:paraId="2043E91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6850FD6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620" w:type="dxa"/>
          </w:tcPr>
          <w:p w14:paraId="061541A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Radiog.(scores)</w:t>
            </w:r>
          </w:p>
        </w:tc>
        <w:tc>
          <w:tcPr>
            <w:tcW w:w="1350" w:type="dxa"/>
          </w:tcPr>
          <w:p w14:paraId="7884DEE9"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7,14,21</w:t>
            </w:r>
          </w:p>
        </w:tc>
      </w:tr>
      <w:tr w:rsidR="003356FE" w:rsidRPr="00324F1B" w14:paraId="5425F22D"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7213CBF4" w14:textId="1643ADC5"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Gerstenfeld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&lt;EndNote&gt;&lt;Cite&gt;&lt;Author&gt;Gerstenfeld&lt;/Author&gt;&lt;Year&gt;2007&lt;/Year&gt;&lt;RecNum&gt;1678&lt;/RecNum&gt;&lt;DisplayText&gt;(15)&lt;/DisplayText&gt;&lt;record&gt;&lt;rec-number&gt;1678&lt;/rec-number&gt;&lt;foreign-keys&gt;&lt;key app="EN" db-id="929z22wv3a2929ettfh529v8fsfd52ax9dsr" timestamp="1476195611"&gt;1678&lt;/key&gt;&lt;key app="ENWeb" db-id=""&gt;0&lt;/key&gt;&lt;/foreign-keys&gt;&lt;ref-type name="Journal Article"&gt;17&lt;/ref-type&gt;&lt;contributors&gt;&lt;authors&gt;&lt;author&gt;Gerstenfeld, L. C.&lt;/author&gt;&lt;author&gt;Al-Ghawas, M.&lt;/author&gt;&lt;author&gt;Alkhiary, Y. M.&lt;/author&gt;&lt;author&gt;Cullinane, D. M.&lt;/author&gt;&lt;author&gt;Krall, E. A.&lt;/author&gt;&lt;author&gt;Fitch, J. L.&lt;/author&gt;&lt;author&gt;Webb, E. G.&lt;/author&gt;&lt;author&gt;Thiede, M. A.&lt;/author&gt;&lt;author&gt;Einhorn, T. A.&lt;/author&gt;&lt;author&gt;Gerstenfeld, L. C.&lt;/author&gt;&lt;author&gt;Al-Ghawas, M.&lt;/author&gt;&lt;author&gt;Alkhiary, Y. M.&lt;/author&gt;&lt;author&gt;Cullinane, D. M.&lt;/author&gt;&lt;author&gt;Krall, E. A.&lt;/author&gt;&lt;author&gt;Fitch, J. L.&lt;/author&gt;&lt;author&gt;Webb, E. G.&lt;/author&gt;&lt;author&gt;Thiede, M. A.&lt;/author&gt;&lt;author&gt;Einhorn, T. A.&lt;/author&gt;&lt;/authors&gt;&lt;/contributors&gt;&lt;titles&gt;&lt;title&gt;Selective and nonselective cyclooxygenase-2 inhibitors and experimental fracture-healing. Reversibility of effects after short-term treatment&lt;/title&gt;&lt;secondary-title&gt;Journal of Bone &amp;amp; Joint Surgery, American Volume&lt;/secondary-title&gt;&lt;/titles&gt;&lt;periodical&gt;&lt;full-title&gt;Journal of Bone &amp;amp; Joint Surgery, American Volume&lt;/full-title&gt;&lt;/periodical&gt;&lt;pages&gt;114-125&lt;/pages&gt;&lt;volume&gt;89&lt;/volume&gt;&lt;number&gt;1&lt;/number&gt;&lt;dates&gt;&lt;year&gt;2007&lt;/year&gt;&lt;pub-dates&gt;&lt;date&gt;2007-01-01&lt;/date&gt;&lt;/pub-dates&gt;&lt;/dates&gt;&lt;isbn&gt;0021-9355&lt;/isbn&gt;&lt;label&gt;include,rats,valdecoxib,mechanical,SR,MA&lt;/label&gt;&lt;urls&gt;&lt;related-urls&gt;&lt;url&gt;http://proxy.library.mcgill.ca/login?url=http://search.ebscohost.com/login.aspx?direct=true&amp;amp;db=rzh&amp;amp;AN=106006950&amp;amp;site=ehost-live&lt;/url&gt;&lt;/related-urls&gt;&lt;/urls&gt;&lt;custom1&gt;RAYYAN-INCLUSION: {&amp;quot;Haider&amp;quot;=&amp;gt;true, &amp;quot;sales.anapaula&amp;quot;=&amp;gt;true} | RAYYAN-LABELS: rats,Non selective COX inhib,COX-2 inhib,Duplicate&lt;/custom1&gt;&lt;/record&gt;&lt;/Cite&gt;&lt;/EndNote&gt;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(15)</w:t>
            </w:r>
            <w:r w:rsidRPr="009942E0">
              <w:rPr>
                <w:rFonts w:cstheme="minorHAnsi"/>
                <w:color w:val="000000"/>
                <w:sz w:val="18"/>
                <w:szCs w:val="18"/>
              </w:rPr>
              <w:fldChar w:fldCharType="end"/>
            </w:r>
          </w:p>
        </w:tc>
        <w:tc>
          <w:tcPr>
            <w:tcW w:w="720" w:type="dxa"/>
          </w:tcPr>
          <w:p w14:paraId="7C84467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2007</w:t>
            </w:r>
          </w:p>
        </w:tc>
        <w:tc>
          <w:tcPr>
            <w:tcW w:w="990" w:type="dxa"/>
          </w:tcPr>
          <w:p w14:paraId="79909374"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3A75C0F4"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52781533"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449</w:t>
            </w:r>
          </w:p>
        </w:tc>
        <w:tc>
          <w:tcPr>
            <w:tcW w:w="567" w:type="dxa"/>
          </w:tcPr>
          <w:p w14:paraId="63D22715"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10323D8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726E2E6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NS-COX(Ket.),</w:t>
            </w:r>
          </w:p>
          <w:p w14:paraId="07F78D53"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COX-2(Valdecoxib)</w:t>
            </w:r>
          </w:p>
        </w:tc>
        <w:tc>
          <w:tcPr>
            <w:tcW w:w="630" w:type="dxa"/>
          </w:tcPr>
          <w:p w14:paraId="3EF56386"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4,5</w:t>
            </w:r>
          </w:p>
        </w:tc>
        <w:tc>
          <w:tcPr>
            <w:tcW w:w="1080" w:type="dxa"/>
          </w:tcPr>
          <w:p w14:paraId="66F7D243"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7,21</w:t>
            </w:r>
          </w:p>
        </w:tc>
        <w:tc>
          <w:tcPr>
            <w:tcW w:w="1260" w:type="dxa"/>
          </w:tcPr>
          <w:p w14:paraId="4C4A323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5575A56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21,35</w:t>
            </w:r>
          </w:p>
        </w:tc>
        <w:tc>
          <w:tcPr>
            <w:tcW w:w="1620" w:type="dxa"/>
          </w:tcPr>
          <w:p w14:paraId="1D571B17" w14:textId="77777777" w:rsidR="003356FE" w:rsidRPr="009942E0" w:rsidRDefault="003356FE" w:rsidP="00D341CD">
            <w:pPr>
              <w:ind w:right="-108"/>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Hist-mineralization, PGE2 level</w:t>
            </w:r>
          </w:p>
        </w:tc>
        <w:tc>
          <w:tcPr>
            <w:tcW w:w="1350" w:type="dxa"/>
          </w:tcPr>
          <w:p w14:paraId="31B6FD73"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21,35</w:t>
            </w:r>
          </w:p>
        </w:tc>
      </w:tr>
      <w:tr w:rsidR="003356FE" w:rsidRPr="00324F1B" w14:paraId="05773FE0"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EC89A8A" w14:textId="738AC8D9"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Gerstenfeld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&lt;EndNote&gt;&lt;Cite&gt;&lt;Author&gt;Gerstenfeld&lt;/Author&gt;&lt;Year&gt;2003&lt;/Year&gt;&lt;RecNum&gt;1551&lt;/RecNum&gt;&lt;DisplayText&gt;(16)&lt;/DisplayText&gt;&lt;record&gt;&lt;rec-number&gt;1551&lt;/rec-number&gt;&lt;foreign-keys&gt;&lt;key app="EN" db-id="929z22wv3a2929ettfh529v8fsfd52ax9dsr" timestamp="1476195579"&gt;1551&lt;/key&gt;&lt;key app="ENWeb" db-id=""&gt;0&lt;/key&gt;&lt;/foreign-keys&gt;&lt;ref-type name="Journal Article"&gt;17&lt;/ref-type&gt;&lt;contributors&gt;&lt;authors&gt;&lt;author&gt;Gerstenfeld, L.C.&lt;/author&gt;&lt;author&gt;Thiede, M.&lt;/author&gt;&lt;author&gt;Siebert, K.&lt;/author&gt;&lt;author&gt;Mielke, C.&lt;/author&gt;&lt;author&gt;Phippard, D.&lt;/author&gt;&lt;author&gt;Svagr, B.&lt;/author&gt;&lt;author&gt;Cullinane, D.&lt;/author&gt;&lt;author&gt;Einhorn, T.A.&lt;/author&gt;&lt;/authors&gt;&lt;/contributors&gt;&lt;titles&gt;&lt;title&gt;Differential inhibition of fracture healing by non-selective and cyclooxygenase-2 selective non-steroidal anti-inflammatory drugs&lt;/title&gt;&lt;secondary-title&gt;Journal of Orthopaedic Research&lt;/secondary-title&gt;&lt;/titles&gt;&lt;periodical&gt;&lt;full-title&gt;Journal of Orthopaedic Research&lt;/full-title&gt;&lt;/periodical&gt;&lt;pages&gt;670-675&lt;/pages&gt;&lt;volume&gt;21&lt;/volume&gt;&lt;number&gt;4&lt;/number&gt;&lt;dates&gt;&lt;year&gt;2003&lt;/year&gt;&lt;pub-dates&gt;&lt;date&gt;2003-01-01&lt;/date&gt;&lt;/pub-dates&gt;&lt;/dates&gt;&lt;isbn&gt;0736-0266 DO - http://dx.doi.org/10.1016/S0736-0266(01)00178-4&lt;/isbn&gt;&lt;label&gt;No effect for COX-2, include, rats, mechanical, RNA,Gene expression,SR,MA&lt;/label&gt;&lt;urls&gt;&lt;related-urls&gt;&lt;url&gt;https://www.scopus.com/inward/record.uri?eid=2-s2.0-0012429950&amp;amp;partnerID=40&amp;amp;md5=c3e44af0a52d1ffe279992d95bd19abe&lt;/url&gt;&lt;/related-urls&gt;&lt;/urls&gt;&lt;custom1&gt;RAYYAN-INCLUSION: {&amp;quot;Haider&amp;quot;=&amp;gt;true, &amp;quot;sales.anapaula&amp;quot;=&amp;gt;true} | RAYYAN-LABELS: rats,COX-2 inhib,Non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(16)</w:t>
            </w:r>
            <w:r w:rsidRPr="009942E0">
              <w:rPr>
                <w:rFonts w:cstheme="minorHAnsi"/>
                <w:color w:val="000000"/>
                <w:sz w:val="18"/>
                <w:szCs w:val="18"/>
              </w:rPr>
              <w:fldChar w:fldCharType="end"/>
            </w:r>
          </w:p>
        </w:tc>
        <w:tc>
          <w:tcPr>
            <w:tcW w:w="720" w:type="dxa"/>
          </w:tcPr>
          <w:p w14:paraId="00DD7315"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2003</w:t>
            </w:r>
          </w:p>
        </w:tc>
        <w:tc>
          <w:tcPr>
            <w:tcW w:w="990" w:type="dxa"/>
          </w:tcPr>
          <w:p w14:paraId="4A94A30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433F1870"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851" w:type="dxa"/>
          </w:tcPr>
          <w:p w14:paraId="66995E45"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430</w:t>
            </w:r>
          </w:p>
        </w:tc>
        <w:tc>
          <w:tcPr>
            <w:tcW w:w="567" w:type="dxa"/>
          </w:tcPr>
          <w:p w14:paraId="24C27840"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538BFA6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3C12226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NS-COX(Ket.),</w:t>
            </w:r>
          </w:p>
          <w:p w14:paraId="1EBD985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COX-2(Valdecoxib)</w:t>
            </w:r>
          </w:p>
        </w:tc>
        <w:tc>
          <w:tcPr>
            <w:tcW w:w="630" w:type="dxa"/>
          </w:tcPr>
          <w:p w14:paraId="6A8AF94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4,5</w:t>
            </w:r>
          </w:p>
        </w:tc>
        <w:tc>
          <w:tcPr>
            <w:tcW w:w="1080" w:type="dxa"/>
          </w:tcPr>
          <w:p w14:paraId="708B1726"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21,35</w:t>
            </w:r>
          </w:p>
        </w:tc>
        <w:tc>
          <w:tcPr>
            <w:tcW w:w="1260" w:type="dxa"/>
          </w:tcPr>
          <w:p w14:paraId="230409A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6CF27D5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21,35</w:t>
            </w:r>
          </w:p>
        </w:tc>
        <w:tc>
          <w:tcPr>
            <w:tcW w:w="1620" w:type="dxa"/>
          </w:tcPr>
          <w:p w14:paraId="2DC0601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w:t>
            </w:r>
          </w:p>
        </w:tc>
        <w:tc>
          <w:tcPr>
            <w:tcW w:w="1350" w:type="dxa"/>
          </w:tcPr>
          <w:p w14:paraId="4833C772"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21,35</w:t>
            </w:r>
          </w:p>
        </w:tc>
      </w:tr>
      <w:tr w:rsidR="003356FE" w:rsidRPr="00324F1B" w14:paraId="641CE864"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ADA3796" w14:textId="7314FE15"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Giordano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&lt;EndNote&gt;&lt;Cite&gt;&lt;Author&gt;Giordano&lt;/Author&gt;&lt;Year&gt;2003&lt;/Year&gt;&lt;RecNum&gt;1552&lt;/RecNum&gt;&lt;DisplayText&gt;(17)&lt;/DisplayText&gt;&lt;record&gt;&lt;rec-number&gt;1552&lt;/rec-number&gt;&lt;foreign-keys&gt;&lt;key app="EN" db-id="929z22wv3a2929ettfh529v8fsfd52ax9dsr" timestamp="1476195579"&gt;1552&lt;/key&gt;&lt;key app="ENWeb" db-id=""&gt;0&lt;/key&gt;&lt;/foreign-keys&gt;&lt;ref-type name="Journal Article"&gt;17&lt;/ref-type&gt;&lt;contributors&gt;&lt;authors&gt;&lt;author&gt;Giordano, V.&lt;/author&gt;&lt;author&gt;Giordano, M.&lt;/author&gt;&lt;author&gt;Knackfuss, I.G.&lt;/author&gt;&lt;author&gt;Apfel, M.I.R.&lt;/author&gt;&lt;author&gt;Gomes, R.D.C.&lt;/author&gt;&lt;/authors&gt;&lt;/contributors&gt;&lt;titles&gt;&lt;title&gt;Effect of tenoxicam on fracture healing in rat tibiae&lt;/title&gt;&lt;secondary-title&gt;Injury&lt;/secondary-title&gt;&lt;/titles&gt;&lt;periodical&gt;&lt;full-title&gt;Injury&lt;/full-title&gt;&lt;/periodical&gt;&lt;pages&gt;85-94&lt;/pages&gt;&lt;volume&gt;34&lt;/volume&gt;&lt;number&gt;2&lt;/number&gt;&lt;dates&gt;&lt;year&gt;2003&lt;/year&gt;&lt;pub-dates&gt;&lt;date&gt;2003-01-01&lt;/date&gt;&lt;/pub-dates&gt;&lt;/dates&gt;&lt;isbn&gt;0020-1383&lt;/isbn&gt;&lt;label&gt;No effect, Rats, include, histology,SR, Histological criteria not suitable to meta analysis&lt;/label&gt;&lt;urls&gt;&lt;related-urls&gt;&lt;url&gt;https://www.scopus.com/inward/record.uri?eid=2-s2.0-0037305622&amp;amp;partnerID=40&amp;amp;md5=a87003dd250c3a576e87fe09186b1ef9&lt;/url&gt;&lt;/related-urls&gt;&lt;/urls&gt;&lt;custom1&gt;RAYYAN-INCLUSION: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(17)</w:t>
            </w:r>
            <w:r w:rsidRPr="009942E0">
              <w:rPr>
                <w:rFonts w:cstheme="minorHAnsi"/>
                <w:color w:val="000000"/>
                <w:sz w:val="18"/>
                <w:szCs w:val="18"/>
              </w:rPr>
              <w:fldChar w:fldCharType="end"/>
            </w:r>
          </w:p>
        </w:tc>
        <w:tc>
          <w:tcPr>
            <w:tcW w:w="720" w:type="dxa"/>
          </w:tcPr>
          <w:p w14:paraId="30934CB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2003</w:t>
            </w:r>
          </w:p>
        </w:tc>
        <w:tc>
          <w:tcPr>
            <w:tcW w:w="990" w:type="dxa"/>
          </w:tcPr>
          <w:p w14:paraId="1DF2A614"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00DA1D71"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p>
        </w:tc>
        <w:tc>
          <w:tcPr>
            <w:tcW w:w="851" w:type="dxa"/>
          </w:tcPr>
          <w:p w14:paraId="4AA8392A"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100</w:t>
            </w:r>
          </w:p>
        </w:tc>
        <w:tc>
          <w:tcPr>
            <w:tcW w:w="567" w:type="dxa"/>
          </w:tcPr>
          <w:p w14:paraId="32A5D42E"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1EC9B87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3BB55E5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COX-2(Tenoxicam)</w:t>
            </w:r>
          </w:p>
        </w:tc>
        <w:tc>
          <w:tcPr>
            <w:tcW w:w="630" w:type="dxa"/>
          </w:tcPr>
          <w:p w14:paraId="37F18F5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w:t>
            </w:r>
          </w:p>
        </w:tc>
        <w:tc>
          <w:tcPr>
            <w:tcW w:w="1080" w:type="dxa"/>
          </w:tcPr>
          <w:p w14:paraId="4914E4F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7,14,28</w:t>
            </w:r>
          </w:p>
        </w:tc>
        <w:tc>
          <w:tcPr>
            <w:tcW w:w="1260" w:type="dxa"/>
          </w:tcPr>
          <w:p w14:paraId="41A14BF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63ED552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22E9432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Hist.scores(Allen</w:t>
            </w:r>
          </w:p>
        </w:tc>
        <w:tc>
          <w:tcPr>
            <w:tcW w:w="1350" w:type="dxa"/>
          </w:tcPr>
          <w:p w14:paraId="69C2755A"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3,7,14,28</w:t>
            </w:r>
          </w:p>
        </w:tc>
      </w:tr>
      <w:tr w:rsidR="003356FE" w:rsidRPr="00324F1B" w14:paraId="1DE2FD55"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40C3758" w14:textId="54AB628A"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Hak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&lt;EndNote&gt;&lt;Cite&gt;&lt;Author&gt;Hak&lt;/Author&gt;&lt;Year&gt;2011&lt;/Year&gt;&lt;RecNum&gt;4367&lt;/RecNum&gt;&lt;DisplayText&gt;(18)&lt;/DisplayText&gt;&lt;record&gt;&lt;rec-number&gt;4367&lt;/rec-number&gt;&lt;foreign-keys&gt;&lt;key app="EN" db-id="929z22wv3a2929ettfh529v8fsfd52ax9dsr" timestamp="1487611084"&gt;4367&lt;/key&gt;&lt;/foreign-keys&gt;&lt;ref-type name="Journal Article"&gt;17&lt;/ref-type&gt;&lt;contributors&gt;&lt;authors&gt;&lt;author&gt;Hak, D.J.&lt;/author&gt;&lt;author&gt;Schulz, K.S.&lt;/author&gt;&lt;author&gt;Khoie, B.&lt;/author&gt;&lt;author&gt;Hazelwood, S.J.&lt;/author&gt;&lt;/authors&gt;&lt;/contributors&gt;&lt;titles&gt;&lt;title&gt;The effect of Cox-2 specific inhibition on direct fracture healing in the rabbit tibia&lt;/title&gt;&lt;secondary-title&gt;Journal of Orthopaedic Science&lt;/secondary-title&gt;&lt;/titles&gt;&lt;periodical&gt;&lt;full-title&gt;Journal of Orthopaedic Science&lt;/full-title&gt;&lt;/periodical&gt;&lt;pages&gt;93-98&lt;/pages&gt;&lt;volume&gt;16&lt;/volume&gt;&lt;number&gt;1&lt;/number&gt;&lt;dates&gt;&lt;year&gt;2011&lt;/year&gt;&lt;pub-dates&gt;&lt;date&gt;2011-01-01&lt;/date&gt;&lt;/pub-dates&gt;&lt;/dates&gt;&lt;isbn&gt;0949-2658&lt;/isbn&gt;&lt;label&gt;No effect&lt;/label&gt;&lt;urls&gt;&lt;related-urls&gt;&lt;url&gt;https://www.scopus.com/inward/record.uri?eid=2-s2.0-79953331403&amp;amp;partnerID=40&amp;amp;md5=4eb88c9d503ab928e2066f1174c8cb4b&lt;/url&gt;&lt;/related-urls&gt;&lt;/urls&gt;&lt;custom1&gt;RAYYAN-INCLUSION: {&amp;quot;Haider&amp;quot;=&amp;gt;true, &amp;quot;sales.anapaula&amp;quot;=&amp;gt;true} | RAYYAN-LABELS: rabbits,COX-2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(18)</w:t>
            </w:r>
            <w:r w:rsidRPr="009942E0">
              <w:rPr>
                <w:rFonts w:cstheme="minorHAnsi"/>
                <w:color w:val="000000"/>
                <w:sz w:val="18"/>
                <w:szCs w:val="18"/>
              </w:rPr>
              <w:fldChar w:fldCharType="end"/>
            </w:r>
          </w:p>
        </w:tc>
        <w:tc>
          <w:tcPr>
            <w:tcW w:w="720" w:type="dxa"/>
          </w:tcPr>
          <w:p w14:paraId="23B3FDD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2011</w:t>
            </w:r>
          </w:p>
        </w:tc>
        <w:tc>
          <w:tcPr>
            <w:tcW w:w="990" w:type="dxa"/>
          </w:tcPr>
          <w:p w14:paraId="4B1DF6E6"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5795AE92"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48</w:t>
            </w:r>
          </w:p>
        </w:tc>
        <w:tc>
          <w:tcPr>
            <w:tcW w:w="851" w:type="dxa"/>
          </w:tcPr>
          <w:p w14:paraId="2456E8C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300</w:t>
            </w:r>
          </w:p>
        </w:tc>
        <w:tc>
          <w:tcPr>
            <w:tcW w:w="567" w:type="dxa"/>
          </w:tcPr>
          <w:p w14:paraId="352D4761"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25181E5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2950E21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COX-2(Rof.)</w:t>
            </w:r>
          </w:p>
        </w:tc>
        <w:tc>
          <w:tcPr>
            <w:tcW w:w="630" w:type="dxa"/>
          </w:tcPr>
          <w:p w14:paraId="1EFEA18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12.5</w:t>
            </w:r>
          </w:p>
        </w:tc>
        <w:tc>
          <w:tcPr>
            <w:tcW w:w="1080" w:type="dxa"/>
          </w:tcPr>
          <w:p w14:paraId="2987F76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w:t>
            </w:r>
          </w:p>
        </w:tc>
        <w:tc>
          <w:tcPr>
            <w:tcW w:w="1260" w:type="dxa"/>
          </w:tcPr>
          <w:p w14:paraId="602B4D8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3PMB-F,3PMB-Stiff,3PMB-WF</w:t>
            </w:r>
          </w:p>
        </w:tc>
        <w:tc>
          <w:tcPr>
            <w:tcW w:w="990" w:type="dxa"/>
          </w:tcPr>
          <w:p w14:paraId="784A6B2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w:t>
            </w:r>
          </w:p>
        </w:tc>
        <w:tc>
          <w:tcPr>
            <w:tcW w:w="1620" w:type="dxa"/>
          </w:tcPr>
          <w:p w14:paraId="59FE27C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 COX-1 &amp; COX-2 mRNA level</w:t>
            </w:r>
          </w:p>
        </w:tc>
        <w:tc>
          <w:tcPr>
            <w:tcW w:w="1350" w:type="dxa"/>
          </w:tcPr>
          <w:p w14:paraId="06484746"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28</w:t>
            </w:r>
          </w:p>
        </w:tc>
      </w:tr>
      <w:tr w:rsidR="003356FE" w:rsidRPr="00324F1B" w14:paraId="4C5486AE"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281D627F" w14:textId="6EE397BA"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lastRenderedPageBreak/>
              <w:t xml:space="preserve">Herbenick et al </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&lt;EndNote&gt;&lt;Cite&gt;&lt;Author&gt;Herbenick&lt;/Author&gt;&lt;Year&gt;2008&lt;/Year&gt;&lt;RecNum&gt;1680&lt;/RecNum&gt;&lt;DisplayText&gt;(19)&lt;/DisplayText&gt;&lt;record&gt;&lt;rec-number&gt;1680&lt;/rec-number&gt;&lt;foreign-keys&gt;&lt;key app="EN" db-id="929z22wv3a2929ettfh529v8fsfd52ax9dsr" timestamp="1476195612"&gt;1680&lt;/key&gt;&lt;key app="ENWeb" db-id=""&gt;0&lt;/key&gt;&lt;/foreign-keys&gt;&lt;ref-type name="Journal Article"&gt;17&lt;/ref-type&gt;&lt;contributors&gt;&lt;authors&gt;&lt;author&gt;Herbenick, M. A.&lt;/author&gt;&lt;author&gt;Sprott, D.&lt;/author&gt;&lt;author&gt;Stills, H.&lt;/author&gt;&lt;author&gt;Lawless, M.&lt;/author&gt;&lt;/authors&gt;&lt;/contributors&gt;&lt;titles&gt;&lt;title&gt;Effects of a cyclooxygenase 2 inhibitor on fracture healing in a rat model&lt;/title&gt;&lt;secondary-title&gt;American Journal of Orthopedics (Chatham, Nj)&lt;/secondary-title&gt;&lt;/titles&gt;&lt;periodical&gt;&lt;full-title&gt;American Journal of Orthopedics (Chatham, Nj)&lt;/full-title&gt;&lt;/periodical&gt;&lt;pages&gt;E133-7&lt;/pages&gt;&lt;volume&gt;37&lt;/volume&gt;&lt;number&gt;7&lt;/number&gt;&lt;dates&gt;&lt;year&gt;2008&lt;/year&gt;&lt;pub-dates&gt;&lt;date&gt;2008-01-01&lt;/date&gt;&lt;/pub-dates&gt;&lt;/dates&gt;&lt;label&gt;include, rats, mechanical, need email,SR,MA, no response&lt;/label&gt;&lt;urls&gt;&lt;related-urls&gt;&lt;url&gt;http://mcgill.on.worldcat.org/atoztitles/link?sid=OVID:medline&amp;amp;id=pmid:18795192&amp;amp;id=doi:&amp;amp;issn=1078-4519&amp;amp;isbn=&amp;amp;volume=37&amp;amp;issue=7&amp;amp;spage=E133&amp;amp;pages=E133-7&amp;amp;date=2008&amp;amp;title=American+Journal+of+Orthopedics+%28Chatham%2C+Nj%29&amp;amp;atitle=Effects+of+a+cyclooxygenase+2+inhibitor+on+fracture+healing+in+a+rat+model.&amp;amp;aulast=Herbenick&lt;/url&gt;&lt;/related-urls&gt;&lt;/urls&gt;&lt;custom1&gt;RAYYAN-INCLUSION: {&amp;quot;Haider&amp;quot;=&amp;gt;true, &amp;quot;sales.anapaula&amp;quot;=&amp;gt;true} | RAYYAN-LABELS: rats,COX-2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(19)</w:t>
            </w:r>
            <w:r w:rsidRPr="009942E0">
              <w:rPr>
                <w:rFonts w:cstheme="minorHAnsi"/>
                <w:color w:val="000000"/>
                <w:sz w:val="18"/>
                <w:szCs w:val="18"/>
              </w:rPr>
              <w:fldChar w:fldCharType="end"/>
            </w:r>
          </w:p>
        </w:tc>
        <w:tc>
          <w:tcPr>
            <w:tcW w:w="720" w:type="dxa"/>
          </w:tcPr>
          <w:p w14:paraId="0A5879F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2008</w:t>
            </w:r>
          </w:p>
        </w:tc>
        <w:tc>
          <w:tcPr>
            <w:tcW w:w="990" w:type="dxa"/>
          </w:tcPr>
          <w:p w14:paraId="7F4B5AF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08EE4B1E"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38C48229"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350</w:t>
            </w:r>
          </w:p>
        </w:tc>
        <w:tc>
          <w:tcPr>
            <w:tcW w:w="567" w:type="dxa"/>
          </w:tcPr>
          <w:p w14:paraId="65C22493"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640218C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3F7C9FE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COX-2(Celec.)</w:t>
            </w:r>
          </w:p>
        </w:tc>
        <w:tc>
          <w:tcPr>
            <w:tcW w:w="630" w:type="dxa"/>
          </w:tcPr>
          <w:p w14:paraId="2B0EF0BB"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3.2</w:t>
            </w:r>
          </w:p>
        </w:tc>
        <w:tc>
          <w:tcPr>
            <w:tcW w:w="1080" w:type="dxa"/>
          </w:tcPr>
          <w:p w14:paraId="7735F5E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14,28,56,84</w:t>
            </w:r>
          </w:p>
        </w:tc>
        <w:tc>
          <w:tcPr>
            <w:tcW w:w="1260" w:type="dxa"/>
          </w:tcPr>
          <w:p w14:paraId="6C283D3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w:t>
            </w:r>
          </w:p>
        </w:tc>
        <w:tc>
          <w:tcPr>
            <w:tcW w:w="990" w:type="dxa"/>
          </w:tcPr>
          <w:p w14:paraId="5EC1692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14,28,56,84</w:t>
            </w:r>
          </w:p>
        </w:tc>
        <w:tc>
          <w:tcPr>
            <w:tcW w:w="1620" w:type="dxa"/>
          </w:tcPr>
          <w:p w14:paraId="3CEB047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1350" w:type="dxa"/>
          </w:tcPr>
          <w:p w14:paraId="1F16E4CE"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p>
        </w:tc>
      </w:tr>
      <w:tr w:rsidR="003356FE" w:rsidRPr="00324F1B" w14:paraId="45131040"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61BFA4DD" w14:textId="73B45CB4"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 xml:space="preserve">Hogevold et al </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&lt;EndNote&gt;&lt;Cite&gt;&lt;Author&gt;Hogevold&lt;/Author&gt;&lt;Year&gt;1992&lt;/Year&gt;&lt;RecNum&gt;1582&lt;/RecNum&gt;&lt;DisplayText&gt;(20)&lt;/DisplayText&gt;&lt;record&gt;&lt;rec-number&gt;1582&lt;/rec-number&gt;&lt;foreign-keys&gt;&lt;key app="EN" db-id="929z22wv3a2929ettfh529v8fsfd52ax9dsr" timestamp="1476195586"&gt;1582&lt;/key&gt;&lt;key app="ENWeb" db-id=""&gt;0&lt;/key&gt;&lt;/foreign-keys&gt;&lt;ref-type name="Journal Article"&gt;17&lt;/ref-type&gt;&lt;contributors&gt;&lt;authors&gt;&lt;author&gt;Hogevold, H. E.&lt;/author&gt;&lt;author&gt;Grogaard, B.&lt;/author&gt;&lt;author&gt;Reikeras, O.&lt;/author&gt;&lt;/authors&gt;&lt;/contributors&gt;&lt;titles&gt;&lt;title&gt;Effects of short-term treatment with corticosteroids and indomethacin on bone healing. A mechanical study of osteotomies in rats&lt;/title&gt;&lt;secondary-title&gt;Acta Orthopaedica Scandinavica&lt;/secondary-title&gt;&lt;/titles&gt;&lt;periodical&gt;&lt;full-title&gt;Acta Orthopaedica Scandinavica&lt;/full-title&gt;&lt;/periodical&gt;&lt;pages&gt;607-11&lt;/pages&gt;&lt;volume&gt;63&lt;/volume&gt;&lt;number&gt;6&lt;/number&gt;&lt;dates&gt;&lt;year&gt;1992&lt;/year&gt;&lt;pub-dates&gt;&lt;date&gt;1992-01-01&lt;/date&gt;&lt;/pub-dates&gt;&lt;/dates&gt;&lt;isbn&gt;0001-6470 U2 - PMID: 10852321&lt;/isbn&gt;&lt;label&gt;include, rats, mechanical, median IQR,SR,MA&lt;/label&gt;&lt;urls&gt;&lt;related-urls&gt;&lt;url&gt;http://mcgill.on.worldcat.org/atoztitles/link?sid=OVID:medline&amp;amp;id=pmid:1471505&amp;amp;id=doi:&amp;amp;issn=0001-6470&amp;amp;isbn=&amp;amp;volume=63&amp;amp;issue=6&amp;amp;spage=607&amp;amp;pages=607-11&amp;amp;date=1992&amp;amp;title=Acta+Orthopaedica+Scandinavica&amp;amp;atitle=Effects+of+short-term+treatment+with+corticosteroids+and+indomethacin+on+bone+healing.+A+mechanical+study+of+osteotomies+in+rats.&amp;amp;aulast=Hogevold&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(20)</w:t>
            </w:r>
            <w:r w:rsidRPr="009942E0">
              <w:rPr>
                <w:rFonts w:cstheme="minorHAnsi"/>
                <w:color w:val="000000"/>
                <w:sz w:val="18"/>
                <w:szCs w:val="18"/>
              </w:rPr>
              <w:fldChar w:fldCharType="end"/>
            </w:r>
          </w:p>
        </w:tc>
        <w:tc>
          <w:tcPr>
            <w:tcW w:w="720" w:type="dxa"/>
          </w:tcPr>
          <w:p w14:paraId="1024A275"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1992</w:t>
            </w:r>
          </w:p>
        </w:tc>
        <w:tc>
          <w:tcPr>
            <w:tcW w:w="990" w:type="dxa"/>
          </w:tcPr>
          <w:p w14:paraId="687912C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07D1756C"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099254A7"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338</w:t>
            </w:r>
          </w:p>
        </w:tc>
        <w:tc>
          <w:tcPr>
            <w:tcW w:w="567" w:type="dxa"/>
          </w:tcPr>
          <w:p w14:paraId="4DC648C8"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4AE310C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0406656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w:t>
            </w:r>
          </w:p>
        </w:tc>
        <w:tc>
          <w:tcPr>
            <w:tcW w:w="630" w:type="dxa"/>
          </w:tcPr>
          <w:p w14:paraId="046CD71F"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0.2,0.2</w:t>
            </w:r>
          </w:p>
        </w:tc>
        <w:tc>
          <w:tcPr>
            <w:tcW w:w="1080" w:type="dxa"/>
          </w:tcPr>
          <w:p w14:paraId="5E85644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w:t>
            </w:r>
          </w:p>
        </w:tc>
        <w:tc>
          <w:tcPr>
            <w:tcW w:w="1260" w:type="dxa"/>
          </w:tcPr>
          <w:p w14:paraId="3E65C5F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3PMB-F,3PMB-Stiff,3PMB-WF</w:t>
            </w:r>
          </w:p>
        </w:tc>
        <w:tc>
          <w:tcPr>
            <w:tcW w:w="990" w:type="dxa"/>
          </w:tcPr>
          <w:p w14:paraId="6168BFC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6</w:t>
            </w:r>
          </w:p>
        </w:tc>
        <w:tc>
          <w:tcPr>
            <w:tcW w:w="1620" w:type="dxa"/>
          </w:tcPr>
          <w:p w14:paraId="0A929C86"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1350" w:type="dxa"/>
          </w:tcPr>
          <w:p w14:paraId="358B88FD"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p>
        </w:tc>
      </w:tr>
      <w:tr w:rsidR="003356FE" w:rsidRPr="00324F1B" w14:paraId="608ECA5D"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076345E3" w14:textId="579AA87E"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Huo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&lt;EndNote&gt;&lt;Cite&gt;&lt;Author&gt;Huo&lt;/Author&gt;&lt;Year&gt;1991&lt;/Year&gt;&lt;RecNum&gt;1970&lt;/RecNum&gt;&lt;DisplayText&gt;(21)&lt;/DisplayText&gt;&lt;record&gt;&lt;rec-number&gt;1970&lt;/rec-number&gt;&lt;foreign-keys&gt;&lt;key app="EN" db-id="929z22wv3a2929ettfh529v8fsfd52ax9dsr" timestamp="1476195685"&gt;1970&lt;/key&gt;&lt;key app="ENWeb" db-id=""&gt;0&lt;/key&gt;&lt;/foreign-keys&gt;&lt;ref-type name="Journal Article"&gt;17&lt;/ref-type&gt;&lt;contributors&gt;&lt;authors&gt;&lt;author&gt;Huo, M. H.&lt;/author&gt;&lt;author&gt;Troiano, N. W.&lt;/author&gt;&lt;author&gt;Pelker, R. R.&lt;/author&gt;&lt;author&gt;Gundberg, C. M.&lt;/author&gt;&lt;author&gt;Friedlaender, G. E.&lt;/author&gt;&lt;/authors&gt;&lt;/contributors&gt;&lt;titles&gt;&lt;title&gt;The influence of ibuprofen on fracture repair: biomechanical, biochemical, histologic, and histomorphometric parameters in rats&lt;/title&gt;&lt;secondary-title&gt;Journal of Orthopaedic Research&lt;/secondary-title&gt;&lt;/titles&gt;&lt;periodical&gt;&lt;full-title&gt;Journal of Orthopaedic Research&lt;/full-title&gt;&lt;/periodical&gt;&lt;pages&gt;383-90&lt;/pages&gt;&lt;volume&gt;9&lt;/volume&gt;&lt;number&gt;3&lt;/number&gt;&lt;dates&gt;&lt;year&gt;1991&lt;/year&gt;&lt;pub-dates&gt;&lt;date&gt;1991-01-01&lt;/date&gt;&lt;/pub-dates&gt;&lt;/dates&gt;&lt;isbn&gt;0736-0266 DO - http://dx.doi.org/10.1016/S0736-0266(01)00178-4&lt;/isbn&gt;&lt;label&gt;No effect, bone volume and bone formation, include, rats, mechanical,histology,SR,MA&lt;/label&gt;&lt;urls&gt;&lt;related-urls&gt;&lt;url&gt;http://mcgill.on.worldcat.org/atoztitles/link?sid=OVID:medline&amp;amp;id=pmid:2010842&amp;amp;id=doi:&amp;amp;issn=0736-0266&amp;amp;isbn=&amp;amp;volume=9&amp;amp;issue=3&amp;amp;spage=383&amp;amp;pages=383-90&amp;amp;date=1991&amp;amp;title=Journal+of+Orthopaedic+Research&amp;amp;atitle=The+influence+of+ibuprofen+on+fracture+repair%3A+biomechanical%2C+biochemical%2C+histologic%2C+and+histomorphometric+parameters+in+rats.&amp;amp;aulast=Huo&lt;/url&gt;&lt;url&gt;http://onlinelibrary.wiley.com/doi/10.1002/jor.1100090310/abstract&lt;/url&gt;&lt;/related-urls&gt;&lt;/urls&gt;&lt;custom1&gt;RAYYAN-INCLUSION: {&amp;quot;Haider&amp;quot;=&amp;gt;true, &amp;quot;sales.anapaula&amp;quot;=&amp;gt;true} | RAYYAN-LABELS: rats,Ibuprofen&lt;/custom1&gt;&lt;language&gt;English&lt;/language&gt;&lt;/record&gt;&lt;/Cite&gt;&lt;/EndNote&gt;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(21)</w:t>
            </w:r>
            <w:r w:rsidRPr="009942E0">
              <w:rPr>
                <w:rFonts w:cstheme="minorHAnsi"/>
                <w:color w:val="000000"/>
                <w:sz w:val="18"/>
                <w:szCs w:val="18"/>
              </w:rPr>
              <w:fldChar w:fldCharType="end"/>
            </w:r>
          </w:p>
        </w:tc>
        <w:tc>
          <w:tcPr>
            <w:tcW w:w="720" w:type="dxa"/>
          </w:tcPr>
          <w:p w14:paraId="067CD8C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1991</w:t>
            </w:r>
          </w:p>
        </w:tc>
        <w:tc>
          <w:tcPr>
            <w:tcW w:w="990" w:type="dxa"/>
          </w:tcPr>
          <w:p w14:paraId="7E941BE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1300860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Mature</w:t>
            </w:r>
          </w:p>
        </w:tc>
        <w:tc>
          <w:tcPr>
            <w:tcW w:w="851" w:type="dxa"/>
          </w:tcPr>
          <w:p w14:paraId="16228B1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240</w:t>
            </w:r>
          </w:p>
        </w:tc>
        <w:tc>
          <w:tcPr>
            <w:tcW w:w="567" w:type="dxa"/>
          </w:tcPr>
          <w:p w14:paraId="463ED54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738A1D6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1495D86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NS-COX(Ibu.)</w:t>
            </w:r>
          </w:p>
        </w:tc>
        <w:tc>
          <w:tcPr>
            <w:tcW w:w="630" w:type="dxa"/>
          </w:tcPr>
          <w:p w14:paraId="539A8EF3"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30</w:t>
            </w:r>
          </w:p>
        </w:tc>
        <w:tc>
          <w:tcPr>
            <w:tcW w:w="1080" w:type="dxa"/>
          </w:tcPr>
          <w:p w14:paraId="6B6AE35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5days started after 3 days</w:t>
            </w:r>
          </w:p>
        </w:tc>
        <w:tc>
          <w:tcPr>
            <w:tcW w:w="1260" w:type="dxa"/>
          </w:tcPr>
          <w:p w14:paraId="7EA012A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5DF8D50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14,28,42,56,84</w:t>
            </w:r>
          </w:p>
        </w:tc>
        <w:tc>
          <w:tcPr>
            <w:tcW w:w="1620" w:type="dxa"/>
          </w:tcPr>
          <w:p w14:paraId="2E125713"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 BV, (Huo grades)</w:t>
            </w:r>
          </w:p>
        </w:tc>
        <w:tc>
          <w:tcPr>
            <w:tcW w:w="1350" w:type="dxa"/>
          </w:tcPr>
          <w:p w14:paraId="10A33757"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14,28,42,84</w:t>
            </w:r>
          </w:p>
        </w:tc>
      </w:tr>
      <w:tr w:rsidR="003356FE" w:rsidRPr="00324F1B" w14:paraId="53CE1D0B"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60F62FBE" w14:textId="60E98457"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Inal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&lt;EndNote&gt;&lt;Cite&gt;&lt;Author&gt;Inal&lt;/Author&gt;&lt;Year&gt;2014&lt;/Year&gt;&lt;RecNum&gt;1584&lt;/RecNum&gt;&lt;DisplayText&gt;(22)&lt;/DisplayText&gt;&lt;record&gt;&lt;rec-number&gt;1584&lt;/rec-number&gt;&lt;foreign-keys&gt;&lt;key app="EN" db-id="929z22wv3a2929ettfh529v8fsfd52ax9dsr" timestamp="1476195587"&gt;1584&lt;/key&gt;&lt;key app="ENWeb" db-id=""&gt;0&lt;/key&gt;&lt;/foreign-keys&gt;&lt;ref-type name="Journal Article"&gt;17&lt;/ref-type&gt;&lt;contributors&gt;&lt;authors&gt;&lt;author&gt;Inal, S.&lt;/author&gt;&lt;author&gt;Kabay, S.&lt;/author&gt;&lt;author&gt;Cayci, M. K.&lt;/author&gt;&lt;author&gt;Kuru, H. I.&lt;/author&gt;&lt;author&gt;Altikat, S.&lt;/author&gt;&lt;author&gt;Akkas, G.&lt;/author&gt;&lt;author&gt;Deger, A.&lt;/author&gt;&lt;/authors&gt;&lt;/contributors&gt;&lt;titles&gt;&lt;title&gt;Comparison of the effects of dexketoprofen trometamol, meloxicam and diclofenac sodium on fibular fracture healing, kidney and liver: an experimental rat model&lt;/title&gt;&lt;secondary-title&gt;Injury&lt;/secondary-title&gt;&lt;/titles&gt;&lt;periodical&gt;&lt;full-title&gt;Injury&lt;/full-title&gt;&lt;/periodical&gt;&lt;pages&gt;494-500&lt;/pages&gt;&lt;volume&gt;45&lt;/volume&gt;&lt;number&gt;3&lt;/number&gt;&lt;dates&gt;&lt;year&gt;2014&lt;/year&gt;&lt;pub-dates&gt;&lt;date&gt;2014-01-01&lt;/date&gt;&lt;/pub-dates&gt;&lt;/dates&gt;&lt;isbn&gt;0020-1383&lt;/isbn&gt;&lt;label&gt;No effect, include, rats, histology,SR&lt;/label&gt;&lt;urls&gt;&lt;related-urls&gt;&lt;url&gt;http://mcgill.on.worldcat.org/atoztitles/link?sid=OVID:medline&amp;amp;id=pmid:24246878&amp;amp;id=doi:10.1016%2Fj.injury.2013.10.002&amp;amp;issn=0020-1383&amp;amp;isbn=&amp;amp;volume=45&amp;amp;issue=3&amp;amp;spage=494&amp;amp;pages=494-500&amp;amp;date=2014&amp;amp;title=Injury&amp;amp;atitle=Comparison+of+the+effects+of+dexketoprofen+trometamol%2C+meloxicam+and+diclofenac+sodium+on+fibular+fracture+healing%2C+kidney+and+liver%3A+an+experimental+rat+model.&amp;amp;aulast=Inal&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(22)</w:t>
            </w:r>
            <w:r w:rsidRPr="009942E0">
              <w:rPr>
                <w:rFonts w:cstheme="minorHAnsi"/>
                <w:color w:val="000000"/>
                <w:sz w:val="18"/>
                <w:szCs w:val="18"/>
              </w:rPr>
              <w:fldChar w:fldCharType="end"/>
            </w:r>
          </w:p>
        </w:tc>
        <w:tc>
          <w:tcPr>
            <w:tcW w:w="720" w:type="dxa"/>
          </w:tcPr>
          <w:p w14:paraId="5F9283A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2014</w:t>
            </w:r>
          </w:p>
        </w:tc>
        <w:tc>
          <w:tcPr>
            <w:tcW w:w="990" w:type="dxa"/>
          </w:tcPr>
          <w:p w14:paraId="12D2AD7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375650E1"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0569919F"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250</w:t>
            </w:r>
          </w:p>
        </w:tc>
        <w:tc>
          <w:tcPr>
            <w:tcW w:w="567" w:type="dxa"/>
          </w:tcPr>
          <w:p w14:paraId="3E0437FC"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42E4935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Fibula</w:t>
            </w:r>
          </w:p>
        </w:tc>
        <w:tc>
          <w:tcPr>
            <w:tcW w:w="2199" w:type="dxa"/>
          </w:tcPr>
          <w:p w14:paraId="55F6484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NS-COX(Dicl.,Dexketoprofen)</w:t>
            </w:r>
          </w:p>
          <w:p w14:paraId="644092E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COX-2(Melo.)</w:t>
            </w:r>
          </w:p>
        </w:tc>
        <w:tc>
          <w:tcPr>
            <w:tcW w:w="630" w:type="dxa"/>
          </w:tcPr>
          <w:p w14:paraId="1C518FF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1,0.98,0.2</w:t>
            </w:r>
          </w:p>
        </w:tc>
        <w:tc>
          <w:tcPr>
            <w:tcW w:w="1080" w:type="dxa"/>
          </w:tcPr>
          <w:p w14:paraId="000C2EC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1260" w:type="dxa"/>
          </w:tcPr>
          <w:p w14:paraId="6E6C39E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48F70F9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491D067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Hist.Scores (Huo)</w:t>
            </w:r>
          </w:p>
        </w:tc>
        <w:tc>
          <w:tcPr>
            <w:tcW w:w="1350" w:type="dxa"/>
          </w:tcPr>
          <w:p w14:paraId="798DE66F"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28</w:t>
            </w:r>
          </w:p>
        </w:tc>
      </w:tr>
      <w:tr w:rsidR="003356FE" w:rsidRPr="00324F1B" w14:paraId="690ED237"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253D1E6B" w14:textId="517E3354"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Keller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&lt;EndNote&gt;&lt;Cite&gt;&lt;Author&gt;Keller&lt;/Author&gt;&lt;Year&gt;1987&lt;/Year&gt;&lt;RecNum&gt;4380&lt;/RecNum&gt;&lt;DisplayText&gt;(23)&lt;/DisplayText&gt;&lt;record&gt;&lt;rec-number&gt;4380&lt;/rec-number&gt;&lt;foreign-keys&gt;&lt;key app="EN" db-id="929z22wv3a2929ettfh529v8fsfd52ax9dsr" timestamp="1487611091"&gt;4380&lt;/key&gt;&lt;key app="ENWeb" db-id=""&gt;0&lt;/key&gt;&lt;/foreign-keys&gt;&lt;ref-type name="Journal Article"&gt;17&lt;/ref-type&gt;&lt;contributors&gt;&lt;authors&gt;&lt;author&gt;Keller, J.&lt;/author&gt;&lt;author&gt;Bak, B.&lt;/author&gt;&lt;author&gt;Bunger, C.&lt;/author&gt;&lt;author&gt;Lucht, U.&lt;/author&gt;&lt;author&gt;Andreassen, T. T.&lt;/author&gt;&lt;/authors&gt;&lt;/contributors&gt;&lt;titles&gt;&lt;title&gt;Bone repair inhibited by indomethacin. Effects on bone metabolism and strength of rabbit osteotomies&lt;/title&gt;&lt;secondary-title&gt;Acta Orthopaedica Scandinavica&lt;/secondary-title&gt;&lt;/titles&gt;&lt;periodical&gt;&lt;full-title&gt;Acta Orthopaedica Scandinavica&lt;/full-title&gt;&lt;/periodical&gt;&lt;pages&gt;379-83&lt;/pages&gt;&lt;volume&gt;58&lt;/volume&gt;&lt;number&gt;4&lt;/number&gt;&lt;dates&gt;&lt;year&gt;1987&lt;/year&gt;&lt;pub-dates&gt;&lt;date&gt;1987-01-01&lt;/date&gt;&lt;/pub-dates&gt;&lt;/dates&gt;&lt;isbn&gt;0001-6470 U2 - PMID: 10852321&lt;/isbn&gt;&lt;urls&gt;&lt;related-urls&gt;&lt;url&gt;http://mcgill.on.worldcat.org/atoztitles/link?sid=OVID:medline&amp;amp;id=pmid:3673531&amp;amp;id=doi:&amp;amp;issn=0001-6470&amp;amp;isbn=&amp;amp;volume=58&amp;amp;issue=4&amp;amp;spage=379&amp;amp;pages=379-83&amp;amp;date=1987&amp;amp;title=Acta+Orthopaedica+Scandinavica&amp;amp;atitle=Bone+repair+inhibited+by+indomethacin.+Effects+on+bone+metabolism+and+strength+of+rabbit+osteotomies.&amp;amp;aulast=Keller&lt;/url&gt;&lt;/related-urls&gt;&lt;/urls&gt;&lt;custom1&gt;RAYYAN-INCLUSION: {&amp;quot;Haider&amp;quot;=&amp;gt;true, &amp;quot;sales.anapaula&amp;quot;=&amp;gt;true} | RAYYAN-LABELS: rabbits,Non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(23)</w:t>
            </w:r>
            <w:r w:rsidRPr="009942E0">
              <w:rPr>
                <w:rFonts w:cstheme="minorHAnsi"/>
                <w:color w:val="000000"/>
                <w:sz w:val="18"/>
                <w:szCs w:val="18"/>
              </w:rPr>
              <w:fldChar w:fldCharType="end"/>
            </w:r>
          </w:p>
        </w:tc>
        <w:tc>
          <w:tcPr>
            <w:tcW w:w="720" w:type="dxa"/>
          </w:tcPr>
          <w:p w14:paraId="34C4A62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1987</w:t>
            </w:r>
          </w:p>
        </w:tc>
        <w:tc>
          <w:tcPr>
            <w:tcW w:w="990" w:type="dxa"/>
          </w:tcPr>
          <w:p w14:paraId="77279B6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4581D22D"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adult</w:t>
            </w:r>
          </w:p>
        </w:tc>
        <w:tc>
          <w:tcPr>
            <w:tcW w:w="851" w:type="dxa"/>
          </w:tcPr>
          <w:p w14:paraId="2068E9A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430</w:t>
            </w:r>
          </w:p>
        </w:tc>
        <w:tc>
          <w:tcPr>
            <w:tcW w:w="567" w:type="dxa"/>
          </w:tcPr>
          <w:p w14:paraId="73D9902D"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83" w:type="dxa"/>
          </w:tcPr>
          <w:p w14:paraId="7C7CF1A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604E7AE3"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w:t>
            </w:r>
          </w:p>
        </w:tc>
        <w:tc>
          <w:tcPr>
            <w:tcW w:w="630" w:type="dxa"/>
          </w:tcPr>
          <w:p w14:paraId="3DCD48BB"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1080" w:type="dxa"/>
          </w:tcPr>
          <w:p w14:paraId="076C07D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14,42</w:t>
            </w:r>
          </w:p>
        </w:tc>
        <w:tc>
          <w:tcPr>
            <w:tcW w:w="1260" w:type="dxa"/>
          </w:tcPr>
          <w:p w14:paraId="5675E87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w:t>
            </w:r>
          </w:p>
        </w:tc>
        <w:tc>
          <w:tcPr>
            <w:tcW w:w="990" w:type="dxa"/>
          </w:tcPr>
          <w:p w14:paraId="04643F3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14,42</w:t>
            </w:r>
          </w:p>
        </w:tc>
        <w:tc>
          <w:tcPr>
            <w:tcW w:w="1620" w:type="dxa"/>
          </w:tcPr>
          <w:p w14:paraId="14DA62AC"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Hist.Bone tissue</w:t>
            </w:r>
          </w:p>
        </w:tc>
        <w:tc>
          <w:tcPr>
            <w:tcW w:w="1350" w:type="dxa"/>
          </w:tcPr>
          <w:p w14:paraId="190828B8"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14,42</w:t>
            </w:r>
          </w:p>
        </w:tc>
      </w:tr>
      <w:tr w:rsidR="003356FE" w:rsidRPr="00324F1B" w14:paraId="4AE6BD33"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78A36ABC" w14:textId="471AEF97" w:rsidR="003356FE" w:rsidRPr="009942E0" w:rsidRDefault="003356FE" w:rsidP="00D341CD">
            <w:pPr>
              <w:rPr>
                <w:rFonts w:cstheme="minorHAnsi"/>
                <w:b w:val="0"/>
                <w:bCs w:val="0"/>
                <w:color w:val="000000"/>
                <w:sz w:val="18"/>
                <w:szCs w:val="18"/>
              </w:rPr>
            </w:pPr>
            <w:r w:rsidRPr="009942E0">
              <w:rPr>
                <w:rFonts w:cstheme="minorHAnsi"/>
                <w:b w:val="0"/>
                <w:bCs w:val="0"/>
                <w:color w:val="000000"/>
                <w:sz w:val="18"/>
                <w:szCs w:val="18"/>
              </w:rPr>
              <w:t>Krischak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&lt;EndNote&gt;&lt;Cite&gt;&lt;Author&gt;Krischak&lt;/Author&gt;&lt;Year&gt;2007&lt;/Year&gt;&lt;RecNum&gt;1594&lt;/RecNum&gt;&lt;DisplayText&gt;(24)&lt;/DisplayText&gt;&lt;record&gt;&lt;rec-number&gt;1594&lt;/rec-number&gt;&lt;foreign-keys&gt;&lt;key app="EN" db-id="929z22wv3a2929ettfh529v8fsfd52ax9dsr" timestamp="1476195589"&gt;1594&lt;/key&gt;&lt;key app="ENWeb" db-id=""&gt;0&lt;/key&gt;&lt;/foreign-keys&gt;&lt;ref-type name="Journal Article"&gt;17&lt;/ref-type&gt;&lt;contributors&gt;&lt;authors&gt;&lt;author&gt;Krischak, G. D.&lt;/author&gt;&lt;author&gt;Augat, P.&lt;/author&gt;&lt;author&gt;Blakytny, R.&lt;/author&gt;&lt;author&gt;Claes, L.&lt;/author&gt;&lt;author&gt;Kinzl, L.&lt;/author&gt;&lt;author&gt;Beck, A.&lt;/author&gt;&lt;/authors&gt;&lt;/contributors&gt;&lt;titles&gt;&lt;title&gt;The non-steroidal anti-inflammatory drug diclofenac reduces appearance of osteoblasts in bone defect healing in rats&lt;/title&gt;&lt;secondary-title&gt;Archives of Orthopaedic &amp;amp; Trauma Surgery&lt;/secondary-title&gt;&lt;/titles&gt;&lt;periodical&gt;&lt;full-title&gt;Archives of Orthopaedic &amp;amp; Trauma Surgery&lt;/full-title&gt;&lt;/periodical&gt;&lt;pages&gt;453-8&lt;/pages&gt;&lt;volume&gt;127&lt;/volume&gt;&lt;number&gt;6&lt;/number&gt;&lt;dates&gt;&lt;year&gt;2007&lt;/year&gt;&lt;pub-dates&gt;&lt;date&gt;2007-01-01&lt;/date&gt;&lt;/pub-dates&gt;&lt;/dates&gt;&lt;isbn&gt;09368051&lt;/isbn&gt;&lt;label&gt;include, rats, histology, cell count,SR&lt;/label&gt;&lt;urls&gt;&lt;related-urls&gt;&lt;url&gt;http://mcgill.on.worldcat.org/atoztitles/link?sid=OVID:medline&amp;amp;id=pmid:17245601&amp;amp;id=doi:&amp;amp;issn=0936-8051&amp;amp;isbn=&amp;amp;volume=127&amp;amp;issue=6&amp;amp;spage=453&amp;amp;pages=453-8&amp;amp;date=2007&amp;amp;title=Archives+of+Orthopaedic+%26+Trauma+Surgery&amp;amp;atitle=The+non-steroidal+anti-inflammatory+drug+diclofenac+reduces+appearance+of+osteoblasts+in+bone+defect+healing+in+rats.&amp;amp;aulast=Krischak&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(24)</w:t>
            </w:r>
            <w:r w:rsidRPr="009942E0">
              <w:rPr>
                <w:rFonts w:cstheme="minorHAnsi"/>
                <w:color w:val="000000"/>
                <w:sz w:val="18"/>
                <w:szCs w:val="18"/>
              </w:rPr>
              <w:fldChar w:fldCharType="end"/>
            </w:r>
          </w:p>
        </w:tc>
        <w:tc>
          <w:tcPr>
            <w:tcW w:w="720" w:type="dxa"/>
          </w:tcPr>
          <w:p w14:paraId="3042979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2007</w:t>
            </w:r>
          </w:p>
        </w:tc>
        <w:tc>
          <w:tcPr>
            <w:tcW w:w="990" w:type="dxa"/>
          </w:tcPr>
          <w:p w14:paraId="05BD9DD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565C5CB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305D2FF2"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300</w:t>
            </w:r>
          </w:p>
        </w:tc>
        <w:tc>
          <w:tcPr>
            <w:tcW w:w="567" w:type="dxa"/>
          </w:tcPr>
          <w:p w14:paraId="0205267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1AA25F8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6236A66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MS-COX(Dicl.)</w:t>
            </w:r>
          </w:p>
        </w:tc>
        <w:tc>
          <w:tcPr>
            <w:tcW w:w="630" w:type="dxa"/>
          </w:tcPr>
          <w:p w14:paraId="659A2297"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080" w:type="dxa"/>
          </w:tcPr>
          <w:p w14:paraId="652DFA0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1260" w:type="dxa"/>
          </w:tcPr>
          <w:p w14:paraId="2FDD01E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4C9FF42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2F67780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Hist.Bone density (No.osteoblasts), Radiog.</w:t>
            </w:r>
          </w:p>
        </w:tc>
        <w:tc>
          <w:tcPr>
            <w:tcW w:w="1350" w:type="dxa"/>
          </w:tcPr>
          <w:p w14:paraId="2F7587C8"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10</w:t>
            </w:r>
          </w:p>
        </w:tc>
      </w:tr>
      <w:tr w:rsidR="003356FE" w:rsidRPr="00324F1B" w14:paraId="41FA3D29"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10F53A8D" w14:textId="17371A1C"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Krischak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&lt;EndNote&gt;&lt;Cite&gt;&lt;Author&gt;Krischak&lt;/Author&gt;&lt;Year&gt;2007&lt;/Year&gt;&lt;RecNum&gt;1595&lt;/RecNum&gt;&lt;DisplayText&gt;(25)&lt;/DisplayText&gt;&lt;record&gt;&lt;rec-number&gt;1595&lt;/rec-number&gt;&lt;foreign-keys&gt;&lt;key app="EN" db-id="929z22wv3a2929ettfh529v8fsfd52ax9dsr" timestamp="1476195589"&gt;1595&lt;/key&gt;&lt;key app="ENWeb" db-id=""&gt;0&lt;/key&gt;&lt;/foreign-keys&gt;&lt;ref-type name="Journal Article"&gt;17&lt;/ref-type&gt;&lt;contributors&gt;&lt;authors&gt;&lt;author&gt;Krischak, G. D.&lt;/author&gt;&lt;author&gt;Augat, P.&lt;/author&gt;&lt;author&gt;Sorg, T.&lt;/author&gt;&lt;author&gt;Blakytny, R.&lt;/author&gt;&lt;author&gt;Kinzl, L.&lt;/author&gt;&lt;author&gt;Claes, L.&lt;/author&gt;&lt;author&gt;Beck, A.&lt;/author&gt;&lt;/authors&gt;&lt;/contributors&gt;&lt;titles&gt;&lt;title&gt;Effects of diclofenac on periosteal callus maturation in osteotomy healing in an animal model&lt;/title&gt;&lt;secondary-title&gt;Archives of Orthopaedic &amp;amp; Trauma Surgery&lt;/secondary-title&gt;&lt;/titles&gt;&lt;periodical&gt;&lt;full-title&gt;Archives of Orthopaedic &amp;amp; Trauma Surgery&lt;/full-title&gt;&lt;/periodical&gt;&lt;pages&gt;3-9&lt;/pages&gt;&lt;volume&gt;127&lt;/volume&gt;&lt;number&gt;1&lt;/number&gt;&lt;dates&gt;&lt;year&gt;2007&lt;/year&gt;&lt;pub-dates&gt;&lt;date&gt;2007-01-01&lt;/date&gt;&lt;/pub-dates&gt;&lt;/dates&gt;&lt;isbn&gt;09368051&lt;/isbn&gt;&lt;label&gt;rats, tibia, callus maturation, histology,include,SR&lt;/label&gt;&lt;urls&gt;&lt;related-urls&gt;&lt;url&gt;http://mcgill.on.worldcat.org/atoztitles/link?sid=OVID:medline&amp;amp;id=pmid:16865399&amp;amp;id=doi:&amp;amp;issn=0936-8051&amp;amp;isbn=&amp;amp;volume=127&amp;amp;issue=1&amp;amp;spage=3&amp;amp;pages=3-9&amp;amp;date=2007&amp;amp;title=Archives+of+Orthopaedic+%26+Trauma+Surgery&amp;amp;atitle=Effects+of+diclofenac+on+periosteal+callus+maturation+in+osteotomy+healing+in+an+animal+model.&amp;amp;aulast=Krischak&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(25)</w:t>
            </w:r>
            <w:r w:rsidRPr="009942E0">
              <w:rPr>
                <w:rFonts w:cstheme="minorHAnsi"/>
                <w:color w:val="000000"/>
                <w:sz w:val="18"/>
                <w:szCs w:val="18"/>
              </w:rPr>
              <w:fldChar w:fldCharType="end"/>
            </w:r>
          </w:p>
        </w:tc>
        <w:tc>
          <w:tcPr>
            <w:tcW w:w="720" w:type="dxa"/>
          </w:tcPr>
          <w:p w14:paraId="2AD3F1B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2007</w:t>
            </w:r>
          </w:p>
        </w:tc>
        <w:tc>
          <w:tcPr>
            <w:tcW w:w="990" w:type="dxa"/>
          </w:tcPr>
          <w:p w14:paraId="1FECBFB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5882A45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26E7A2E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300</w:t>
            </w:r>
          </w:p>
        </w:tc>
        <w:tc>
          <w:tcPr>
            <w:tcW w:w="567" w:type="dxa"/>
          </w:tcPr>
          <w:p w14:paraId="1F615714"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745667F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31DF566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w:t>
            </w:r>
          </w:p>
        </w:tc>
        <w:tc>
          <w:tcPr>
            <w:tcW w:w="630" w:type="dxa"/>
          </w:tcPr>
          <w:p w14:paraId="6003A2C9"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080" w:type="dxa"/>
          </w:tcPr>
          <w:p w14:paraId="0688D74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7,21</w:t>
            </w:r>
          </w:p>
        </w:tc>
        <w:tc>
          <w:tcPr>
            <w:tcW w:w="1260" w:type="dxa"/>
          </w:tcPr>
          <w:p w14:paraId="4AB7ABF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034CEF2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397FB5DC"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Hist.(tissue type, bone, cartilage, and fibrous)</w:t>
            </w:r>
          </w:p>
        </w:tc>
        <w:tc>
          <w:tcPr>
            <w:tcW w:w="1350" w:type="dxa"/>
          </w:tcPr>
          <w:p w14:paraId="73709B14"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21</w:t>
            </w:r>
          </w:p>
        </w:tc>
      </w:tr>
      <w:tr w:rsidR="003356FE" w:rsidRPr="00324F1B" w14:paraId="2A8927F4"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38092124" w14:textId="1340AF79"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Li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&lt;EndNote&gt;&lt;Cite&gt;&lt;Author&gt;Li&lt;/Author&gt;&lt;Year&gt;2013&lt;/Year&gt;&lt;RecNum&gt;1652&lt;/RecNum&gt;&lt;DisplayText&gt;(26)&lt;/DisplayText&gt;&lt;record&gt;&lt;rec-number&gt;1652&lt;/rec-number&gt;&lt;foreign-keys&gt;&lt;key app="EN" db-id="929z22wv3a2929ettfh529v8fsfd52ax9dsr" timestamp="1476195607"&gt;1652&lt;/key&gt;&lt;key app="ENWeb" db-id=""&gt;0&lt;/key&gt;&lt;/foreign-keys&gt;&lt;ref-type name="Journal Article"&gt;17&lt;/ref-type&gt;&lt;contributors&gt;&lt;authors&gt;&lt;author&gt;Li, K.-H.&lt;/author&gt;&lt;author&gt;Cheng, L.&lt;/author&gt;&lt;author&gt;Zhu, Y.&lt;/author&gt;&lt;author&gt;Deng, G.-B.&lt;/author&gt;&lt;author&gt;Long, H.-T.&lt;/author&gt;&lt;/authors&gt;&lt;/contributors&gt;&lt;titles&gt;&lt;title&gt;Effects of a selective cyclooxygenase-2 inhibitor (celecoxib) on fracture healing in rats&lt;/title&gt;&lt;secondary-title&gt;Indian Journal of Orthopaedics&lt;/secondary-title&gt;&lt;/titles&gt;&lt;periodical&gt;&lt;full-title&gt;Indian Journal of Orthopaedics&lt;/full-title&gt;&lt;/periodical&gt;&lt;pages&gt;395-401&lt;/pages&gt;&lt;volume&gt;47&lt;/volume&gt;&lt;number&gt;4&lt;/number&gt;&lt;dates&gt;&lt;year&gt;2013&lt;/year&gt;&lt;pub-dates&gt;&lt;date&gt;2013-01-01&lt;/date&gt;&lt;/pub-dates&gt;&lt;/dates&gt;&lt;isbn&gt;00195413 (ISSN)&lt;/isbn&gt;&lt;label&gt;include, rats, mechanical, need email,SR,MA, no response&lt;/label&gt;&lt;urls&gt;&lt;related-urls&gt;&lt;url&gt;https://www.scopus.com/inward/record.uri?eid=2-s2.0-84893911263&amp;amp;partnerID=40&amp;amp;md5=41bf7730b06ac3d74fc0420a9d0531ac&lt;/url&gt;&lt;/related-urls&gt;&lt;/urls&gt;&lt;custom1&gt;RAYYAN-INCLUSION: {&amp;quot;Haider&amp;quot;=&amp;gt;true, &amp;quot;sales.anapaula&amp;quot;=&amp;gt;true} | RAYYAN-LABELS: rats,COX-2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(26)</w:t>
            </w:r>
            <w:r w:rsidRPr="009942E0">
              <w:rPr>
                <w:rFonts w:cstheme="minorHAnsi"/>
                <w:color w:val="000000"/>
                <w:sz w:val="18"/>
                <w:szCs w:val="18"/>
              </w:rPr>
              <w:fldChar w:fldCharType="end"/>
            </w:r>
          </w:p>
        </w:tc>
        <w:tc>
          <w:tcPr>
            <w:tcW w:w="720" w:type="dxa"/>
          </w:tcPr>
          <w:p w14:paraId="5149345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2013</w:t>
            </w:r>
          </w:p>
        </w:tc>
        <w:tc>
          <w:tcPr>
            <w:tcW w:w="990" w:type="dxa"/>
          </w:tcPr>
          <w:p w14:paraId="006A251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031E506F"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11</w:t>
            </w:r>
          </w:p>
        </w:tc>
        <w:tc>
          <w:tcPr>
            <w:tcW w:w="851" w:type="dxa"/>
          </w:tcPr>
          <w:p w14:paraId="3D005AB6"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276</w:t>
            </w:r>
          </w:p>
        </w:tc>
        <w:tc>
          <w:tcPr>
            <w:tcW w:w="567" w:type="dxa"/>
          </w:tcPr>
          <w:p w14:paraId="51A4D9C8"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3C43C13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0E57787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COX-2(Celec.)</w:t>
            </w:r>
          </w:p>
        </w:tc>
        <w:tc>
          <w:tcPr>
            <w:tcW w:w="630" w:type="dxa"/>
          </w:tcPr>
          <w:p w14:paraId="4CB4B316"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080" w:type="dxa"/>
          </w:tcPr>
          <w:p w14:paraId="4B472EA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w:t>
            </w:r>
          </w:p>
        </w:tc>
        <w:tc>
          <w:tcPr>
            <w:tcW w:w="1260" w:type="dxa"/>
          </w:tcPr>
          <w:p w14:paraId="04D4B5F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3PMB-F,3PMB-Stiff,3PMB-WF</w:t>
            </w:r>
          </w:p>
        </w:tc>
        <w:tc>
          <w:tcPr>
            <w:tcW w:w="990" w:type="dxa"/>
          </w:tcPr>
          <w:p w14:paraId="6F54EE7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42</w:t>
            </w:r>
          </w:p>
        </w:tc>
        <w:tc>
          <w:tcPr>
            <w:tcW w:w="1620" w:type="dxa"/>
          </w:tcPr>
          <w:p w14:paraId="284E08A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Histo-Bone density</w:t>
            </w:r>
          </w:p>
        </w:tc>
        <w:tc>
          <w:tcPr>
            <w:tcW w:w="1350" w:type="dxa"/>
          </w:tcPr>
          <w:p w14:paraId="54ADCC73"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28</w:t>
            </w:r>
          </w:p>
        </w:tc>
      </w:tr>
      <w:tr w:rsidR="003356FE" w:rsidRPr="00324F1B" w14:paraId="23DAFEF5"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6ACE7CC0" w14:textId="3B5236AC"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 xml:space="preserve">Matsumoto et al </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&lt;EndNote&gt;&lt;Cite&gt;&lt;Author&gt;Matsumoto&lt;/Author&gt;&lt;Year&gt;2008&lt;/Year&gt;&lt;RecNum&gt;1683&lt;/RecNum&gt;&lt;DisplayText&gt;(27)&lt;/DisplayText&gt;&lt;record&gt;&lt;rec-number&gt;1683&lt;/rec-number&gt;&lt;foreign-keys&gt;&lt;key app="EN" db-id="929z22wv3a2929ettfh529v8fsfd52ax9dsr" timestamp="1476195612"&gt;1683&lt;/key&gt;&lt;key app="ENWeb" db-id=""&gt;0&lt;/key&gt;&lt;/foreign-keys&gt;&lt;ref-type name="Journal Article"&gt;17&lt;/ref-type&gt;&lt;contributors&gt;&lt;authors&gt;&lt;author&gt;Matsumoto, M. A.&lt;/author&gt;&lt;author&gt;De Oliveira, A.&lt;/author&gt;&lt;author&gt;Ribeiro Junior, P. D.&lt;/author&gt;&lt;author&gt;Nary Filho, H.&lt;/author&gt;&lt;author&gt;Ribeiro, D. A.&lt;/author&gt;&lt;/authors&gt;&lt;/contributors&gt;&lt;titles&gt;&lt;title&gt;Short-term administration of non-selective and selective COX-2 NSAIDs do not interfere with bone repair in rats&lt;/title&gt;&lt;secondary-title&gt;Journal of Molecular Histology&lt;/secondary-title&gt;&lt;/titles&gt;&lt;periodical&gt;&lt;full-title&gt;Journal of Molecular Histology&lt;/full-title&gt;&lt;/periodical&gt;&lt;pages&gt;381-7&lt;/pages&gt;&lt;volume&gt;39&lt;/volume&gt;&lt;number&gt;4&lt;/number&gt;&lt;dates&gt;&lt;year&gt;2008&lt;/year&gt;&lt;pub-dates&gt;&lt;date&gt;2008-01-01&lt;/date&gt;&lt;/pub-dates&gt;&lt;/dates&gt;&lt;isbn&gt;1567-2379&lt;/isbn&gt;&lt;label&gt;No effect, include, rats, histology,SR&lt;/label&gt;&lt;urls&gt;&lt;related-urls&gt;&lt;url&gt;http://mcgill.on.worldcat.org/atoztitles/link?sid=OVID:medline&amp;amp;id=pmid:18592140&amp;amp;id=doi:10.1007%2Fs10735-008-9176-z&amp;amp;issn=1567-2379&amp;amp;isbn=&amp;amp;volume=39&amp;amp;issue=4&amp;amp;spage=381&amp;amp;pages=381-7&amp;amp;date=2008&amp;amp;title=Journal+of+Molecular+Histology&amp;amp;atitle=Short-term+administration+of+non-selective+and+selective+COX-2+NSAIDs+do+not+interfere+with+bone+repair+in+rats.&amp;amp;aulast=Matsumoto&lt;/url&gt;&lt;/related-urls&gt;&lt;/urls&gt;&lt;custom1&gt;RAYYAN-INCLUSION: {&amp;quot;Haider&amp;quot;=&amp;gt;true, &amp;quot;sales.anapaula&amp;quot;=&amp;gt;true} | RAYYAN-LABELS: rats,Non selective COX inhib,COX-2 inhib,Duplicate&lt;/custom1&gt;&lt;language&gt;English&lt;/language&gt;&lt;/record&gt;&lt;/Cite&gt;&lt;/EndNote&gt;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(27)</w:t>
            </w:r>
            <w:r w:rsidRPr="009942E0">
              <w:rPr>
                <w:rFonts w:cstheme="minorHAnsi"/>
                <w:color w:val="000000"/>
                <w:sz w:val="18"/>
                <w:szCs w:val="18"/>
              </w:rPr>
              <w:fldChar w:fldCharType="end"/>
            </w:r>
          </w:p>
        </w:tc>
        <w:tc>
          <w:tcPr>
            <w:tcW w:w="720" w:type="dxa"/>
          </w:tcPr>
          <w:p w14:paraId="0E94CC0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2008</w:t>
            </w:r>
          </w:p>
        </w:tc>
        <w:tc>
          <w:tcPr>
            <w:tcW w:w="990" w:type="dxa"/>
          </w:tcPr>
          <w:p w14:paraId="7D64398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08FFDC1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8</w:t>
            </w:r>
          </w:p>
        </w:tc>
        <w:tc>
          <w:tcPr>
            <w:tcW w:w="851" w:type="dxa"/>
          </w:tcPr>
          <w:p w14:paraId="5AAB357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250</w:t>
            </w:r>
          </w:p>
        </w:tc>
        <w:tc>
          <w:tcPr>
            <w:tcW w:w="567" w:type="dxa"/>
          </w:tcPr>
          <w:p w14:paraId="75302C7D"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5427B21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11E71D5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NS-COX(Ketoprofen),</w:t>
            </w:r>
          </w:p>
          <w:p w14:paraId="6A5DE41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COX-2(Celec.)</w:t>
            </w:r>
          </w:p>
        </w:tc>
        <w:tc>
          <w:tcPr>
            <w:tcW w:w="630" w:type="dxa"/>
          </w:tcPr>
          <w:p w14:paraId="2F04B48E"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w:t>
            </w:r>
          </w:p>
        </w:tc>
        <w:tc>
          <w:tcPr>
            <w:tcW w:w="1080" w:type="dxa"/>
          </w:tcPr>
          <w:p w14:paraId="628F6FC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 or till scarifice</w:t>
            </w:r>
          </w:p>
        </w:tc>
        <w:tc>
          <w:tcPr>
            <w:tcW w:w="1260" w:type="dxa"/>
          </w:tcPr>
          <w:p w14:paraId="33BFBDA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5DDB3E0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3EE8742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Hist.Bone area, Immunohistochemistry</w:t>
            </w:r>
          </w:p>
        </w:tc>
        <w:tc>
          <w:tcPr>
            <w:tcW w:w="1350" w:type="dxa"/>
          </w:tcPr>
          <w:p w14:paraId="76BBF60B"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7,14,21</w:t>
            </w:r>
          </w:p>
        </w:tc>
      </w:tr>
      <w:tr w:rsidR="003356FE" w:rsidRPr="00324F1B" w14:paraId="57BB76B0"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2373B354" w14:textId="4B5C90A6"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Mullis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&lt;EndNote&gt;&lt;Cite&gt;&lt;Author&gt;Mullis&lt;/Author&gt;&lt;Year&gt;2006&lt;/Year&gt;&lt;RecNum&gt;1549&lt;/RecNum&gt;&lt;DisplayText&gt;(28)&lt;/DisplayText&gt;&lt;record&gt;&lt;rec-number&gt;1549&lt;/rec-number&gt;&lt;foreign-keys&gt;&lt;key app="EN" db-id="929z22wv3a2929ettfh529v8fsfd52ax9dsr" timestamp="1476195578"&gt;1549&lt;/key&gt;&lt;key app="ENWeb" db-id=""&gt;0&lt;/key&gt;&lt;/foreign-keys&gt;&lt;ref-type name="Journal Article"&gt;17&lt;/ref-type&gt;&lt;contributors&gt;&lt;authors&gt;&lt;author&gt;Mullis, B.H.&lt;/author&gt;&lt;author&gt;Copland, S.T.&lt;/author&gt;&lt;author&gt;Weinhold, P.S.&lt;/author&gt;&lt;author&gt;Miclau, T.&lt;/author&gt;&lt;author&gt;Lester, G.E.&lt;/author&gt;&lt;author&gt;Bos, G.D.&lt;/author&gt;&lt;/authors&gt;&lt;/contributors&gt;&lt;titles&gt;&lt;title&gt;Effect of COX-2 inhibitors and non-steroidal anti-inflammatory drugs on a mouse fracture model&lt;/title&gt;&lt;secondary-title&gt;Injury&lt;/secondary-title&gt;&lt;/titles&gt;&lt;periodical&gt;&lt;full-title&gt;Injury&lt;/full-title&gt;&lt;/periodical&gt;&lt;pages&gt;827-837&lt;/pages&gt;&lt;volume&gt;37&lt;/volume&gt;&lt;number&gt;9&lt;/number&gt;&lt;dates&gt;&lt;year&gt;2006&lt;/year&gt;&lt;pub-dates&gt;&lt;date&gt;2006-01-01&lt;/date&gt;&lt;/pub-dates&gt;&lt;/dates&gt;&lt;isbn&gt;0020-1383&lt;/isbn&gt;&lt;label&gt;No effect, include, histology, mechanical,SR,MA&lt;/label&gt;&lt;urls&gt;&lt;related-urls&gt;&lt;url&gt;https://www.scopus.com/inward/record.uri?eid=2-s2.0-33747329851&amp;amp;partnerID=40&amp;amp;md5=c80e21b0b49262cf744dbcaaea12c300&lt;/url&gt;&lt;/related-urls&gt;&lt;/urls&gt;&lt;custom1&gt;RAYYAN-INCLUSION: {&amp;quot;Haider&amp;quot;=&amp;gt;true, &amp;quot;sales.anapaula&amp;quot;=&amp;gt;true} | RAYYAN-LABELS: Non selective COX inhib,mouse,Ibuprofen&lt;/custom1&gt;&lt;language&gt;English&lt;/language&gt;&lt;/record&gt;&lt;/Cite&gt;&lt;/EndNote&gt;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(28)</w:t>
            </w:r>
            <w:r w:rsidRPr="009942E0">
              <w:rPr>
                <w:rFonts w:cstheme="minorHAnsi"/>
                <w:color w:val="000000"/>
                <w:sz w:val="18"/>
                <w:szCs w:val="18"/>
              </w:rPr>
              <w:fldChar w:fldCharType="end"/>
            </w:r>
          </w:p>
        </w:tc>
        <w:tc>
          <w:tcPr>
            <w:tcW w:w="720" w:type="dxa"/>
          </w:tcPr>
          <w:p w14:paraId="28B36B7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2006</w:t>
            </w:r>
          </w:p>
        </w:tc>
        <w:tc>
          <w:tcPr>
            <w:tcW w:w="990" w:type="dxa"/>
          </w:tcPr>
          <w:p w14:paraId="062DA44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Mice</w:t>
            </w:r>
          </w:p>
        </w:tc>
        <w:tc>
          <w:tcPr>
            <w:tcW w:w="720" w:type="dxa"/>
          </w:tcPr>
          <w:p w14:paraId="2004ADB6"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851" w:type="dxa"/>
          </w:tcPr>
          <w:p w14:paraId="6E88D82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25</w:t>
            </w:r>
          </w:p>
        </w:tc>
        <w:tc>
          <w:tcPr>
            <w:tcW w:w="567" w:type="dxa"/>
          </w:tcPr>
          <w:p w14:paraId="12D8995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1A7EBA2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0AB7479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NS-COX(Ket.,Ind.),</w:t>
            </w:r>
          </w:p>
          <w:p w14:paraId="3441A61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COX-2(Celec.,Rof.)</w:t>
            </w:r>
          </w:p>
        </w:tc>
        <w:tc>
          <w:tcPr>
            <w:tcW w:w="630" w:type="dxa"/>
          </w:tcPr>
          <w:p w14:paraId="558DE2CD"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2,2,10/50,1/5)</w:t>
            </w:r>
          </w:p>
        </w:tc>
        <w:tc>
          <w:tcPr>
            <w:tcW w:w="1080" w:type="dxa"/>
          </w:tcPr>
          <w:p w14:paraId="3F42A485"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28,56,84</w:t>
            </w:r>
          </w:p>
        </w:tc>
        <w:tc>
          <w:tcPr>
            <w:tcW w:w="1260" w:type="dxa"/>
          </w:tcPr>
          <w:p w14:paraId="7AAE582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0D79E31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28,56,84</w:t>
            </w:r>
          </w:p>
        </w:tc>
        <w:tc>
          <w:tcPr>
            <w:tcW w:w="1620" w:type="dxa"/>
          </w:tcPr>
          <w:p w14:paraId="1808842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Hist.(cartilage area,  Trap), Biochemical</w:t>
            </w:r>
          </w:p>
        </w:tc>
        <w:tc>
          <w:tcPr>
            <w:tcW w:w="1350" w:type="dxa"/>
          </w:tcPr>
          <w:p w14:paraId="19C28D82"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28,56,84</w:t>
            </w:r>
          </w:p>
        </w:tc>
      </w:tr>
      <w:tr w:rsidR="003356FE" w:rsidRPr="00324F1B" w14:paraId="03D59CAC"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DC51C32" w14:textId="3651ED18"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 xml:space="preserve">Murnaghan et al </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&lt;EndNote&gt;&lt;Cite&gt;&lt;Author&gt;Murnaghan&lt;/Author&gt;&lt;Year&gt;2006&lt;/Year&gt;&lt;RecNum&gt;1685&lt;/RecNum&gt;&lt;DisplayText&gt;(29)&lt;/DisplayText&gt;&lt;record&gt;&lt;rec-number&gt;1685&lt;/rec-number&gt;&lt;foreign-keys&gt;&lt;key app="EN" db-id="929z22wv3a2929ettfh529v8fsfd52ax9dsr" timestamp="1476195613"&gt;1685&lt;/key&gt;&lt;key app="ENWeb" db-id=""&gt;0&lt;/key&gt;&lt;/foreign-keys&gt;&lt;ref-type name="Journal Article"&gt;17&lt;/ref-type&gt;&lt;contributors&gt;&lt;authors&gt;&lt;author&gt;Murnaghan, M.&lt;/author&gt;&lt;author&gt;Li, G.&lt;/author&gt;&lt;author&gt;Marsh, D. R.&lt;/author&gt;&lt;author&gt;Murnaghan, Mark&lt;/author&gt;&lt;author&gt;Li, Gang&lt;/author&gt;&lt;author&gt;Marsh, David R.&lt;/author&gt;&lt;/authors&gt;&lt;/contributors&gt;&lt;titles&gt;&lt;title&gt;Nonsteroidal anti-inflammatory drug-induced fracture nonunion: an inhibition of angiogenesis?&lt;/title&gt;&lt;secondary-title&gt;Journal of Bone &amp;amp; Joint Surgery, American Volume&lt;/secondary-title&gt;&lt;/titles&gt;&lt;periodical&gt;&lt;full-title&gt;Journal of Bone &amp;amp; Joint Surgery, American Volume&lt;/full-title&gt;&lt;/periodical&gt;&lt;pages&gt;140-147&lt;/pages&gt;&lt;volume&gt;88&lt;/volume&gt;&lt;dates&gt;&lt;year&gt;2006&lt;/year&gt;&lt;pub-dates&gt;&lt;date&gt;2006-01-01&lt;/date&gt;&lt;/pub-dates&gt;&lt;/dates&gt;&lt;isbn&gt;0021-9355&lt;/isbn&gt;&lt;label&gt;included , rofecoxib, need email, mechanical,SR,MA&lt;/label&gt;&lt;urls&gt;&lt;related-urls&gt;&lt;url&gt;http://proxy.library.mcgill.ca/login?url=http://search.ebscohost.com/login.aspx?direct=true&amp;amp;db=rzh&amp;amp;AN=105954479&amp;amp;site=ehost-live&lt;/url&gt;&lt;/related-urls&gt;&lt;/urls&gt;&lt;custom1&gt;RAYYAN-INCLUSION: {&amp;quot;Haider&amp;quot;=&amp;gt;true, &amp;quot;sales.anapaula&amp;quot;=&amp;gt;true} | RAYYAN-LABELS: mouse,COX-2 inhib,Duplicate&lt;/custom1&gt;&lt;/record&gt;&lt;/Cite&gt;&lt;/EndNote&gt;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(29)</w:t>
            </w:r>
            <w:r w:rsidRPr="009942E0">
              <w:rPr>
                <w:rFonts w:cstheme="minorHAnsi"/>
                <w:color w:val="000000"/>
                <w:sz w:val="18"/>
                <w:szCs w:val="18"/>
              </w:rPr>
              <w:fldChar w:fldCharType="end"/>
            </w:r>
          </w:p>
        </w:tc>
        <w:tc>
          <w:tcPr>
            <w:tcW w:w="720" w:type="dxa"/>
          </w:tcPr>
          <w:p w14:paraId="1DD7975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2006</w:t>
            </w:r>
          </w:p>
        </w:tc>
        <w:tc>
          <w:tcPr>
            <w:tcW w:w="990" w:type="dxa"/>
          </w:tcPr>
          <w:p w14:paraId="72D58AA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Mice</w:t>
            </w:r>
          </w:p>
        </w:tc>
        <w:tc>
          <w:tcPr>
            <w:tcW w:w="720" w:type="dxa"/>
          </w:tcPr>
          <w:p w14:paraId="0535A674"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16</w:t>
            </w:r>
          </w:p>
        </w:tc>
        <w:tc>
          <w:tcPr>
            <w:tcW w:w="851" w:type="dxa"/>
          </w:tcPr>
          <w:p w14:paraId="763F6C01"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45.28</w:t>
            </w:r>
          </w:p>
        </w:tc>
        <w:tc>
          <w:tcPr>
            <w:tcW w:w="567" w:type="dxa"/>
          </w:tcPr>
          <w:p w14:paraId="7A1F6795"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21D5BDD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1FE0743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COX-2(Rof.)</w:t>
            </w:r>
          </w:p>
        </w:tc>
        <w:tc>
          <w:tcPr>
            <w:tcW w:w="630" w:type="dxa"/>
          </w:tcPr>
          <w:p w14:paraId="00D721AC"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080" w:type="dxa"/>
          </w:tcPr>
          <w:p w14:paraId="5833861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24,32</w:t>
            </w:r>
          </w:p>
        </w:tc>
        <w:tc>
          <w:tcPr>
            <w:tcW w:w="1260" w:type="dxa"/>
          </w:tcPr>
          <w:p w14:paraId="4BAC32E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282A2B6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24,32</w:t>
            </w:r>
          </w:p>
        </w:tc>
        <w:tc>
          <w:tcPr>
            <w:tcW w:w="1620" w:type="dxa"/>
          </w:tcPr>
          <w:p w14:paraId="74CFD393"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Histo.Scores(callus size, Fibrous, cartilage,bone),</w:t>
            </w:r>
          </w:p>
          <w:p w14:paraId="63F4A15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Radiog.(BD)</w:t>
            </w:r>
          </w:p>
        </w:tc>
        <w:tc>
          <w:tcPr>
            <w:tcW w:w="1350" w:type="dxa"/>
          </w:tcPr>
          <w:p w14:paraId="3ADE7906"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24,32</w:t>
            </w:r>
          </w:p>
        </w:tc>
      </w:tr>
      <w:tr w:rsidR="003356FE" w:rsidRPr="00324F1B" w14:paraId="27E7F7C7"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34E81C85" w14:textId="373F1CD0"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Reikeraas &amp; Engebretsen</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&lt;EndNote&gt;&lt;Cite&gt;&lt;Author&gt;Reikeraas&lt;/Author&gt;&lt;Year&gt;1998&lt;/Year&gt;&lt;RecNum&gt;1613&lt;/RecNum&gt;&lt;DisplayText&gt;(30)&lt;/DisplayText&gt;&lt;record&gt;&lt;rec-number&gt;1613&lt;/rec-number&gt;&lt;foreign-keys&gt;&lt;key app="EN" db-id="929z22wv3a2929ettfh529v8fsfd52ax9dsr" timestamp="1476195593"&gt;1613&lt;/key&gt;&lt;key app="ENWeb" db-id=""&gt;0&lt;/key&gt;&lt;/foreign-keys&gt;&lt;ref-type name="Journal Article"&gt;17&lt;/ref-type&gt;&lt;contributors&gt;&lt;authors&gt;&lt;author&gt;Reikeraas, O.&lt;/author&gt;&lt;author&gt;Engebretsen, L.&lt;/author&gt;&lt;/authors&gt;&lt;/contributors&gt;&lt;titles&gt;&lt;title&gt;Effects of ketoralac tromethamine and indomethacin on primary and secondary bone healing. An experimental study in rats&lt;/title&gt;&lt;secondary-title&gt;Archives of Orthopaedic &amp;amp; Trauma Surgery&lt;/secondary-title&gt;&lt;/titles&gt;&lt;periodical&gt;&lt;full-title&gt;Archives of Orthopaedic &amp;amp; Trauma Surgery&lt;/full-title&gt;&lt;/periodical&gt;&lt;pages&gt;50-2&lt;/pages&gt;&lt;volume&gt;118&lt;/volume&gt;&lt;number&gt;1&lt;/number&gt;&lt;dates&gt;&lt;year&gt;1998&lt;/year&gt;&lt;pub-dates&gt;&lt;date&gt;1998-01-01&lt;/date&gt;&lt;/pub-dates&gt;&lt;/dates&gt;&lt;isbn&gt;09368051&lt;/isbn&gt;&lt;label&gt;No effect, mechanical bending, include,rats, mechanical,SR,MA&lt;/label&gt;&lt;urls&gt;&lt;related-urls&gt;&lt;url&gt;http://mcgill.on.worldcat.org/atoztitles/link?sid=OVID:medline&amp;amp;id=pmid:9833106&amp;amp;id=doi:&amp;amp;issn=0936-8051&amp;amp;isbn=&amp;amp;volume=118&amp;amp;issue=1&amp;amp;spage=50&amp;amp;pages=50-2&amp;amp;date=1998&amp;amp;title=Archives+of+Orthopaedic+%26+Trauma+Surgery&amp;amp;atitle=Effects+of+ketoralac+tromethamine+and+indomethacin+on+primary+and+secondary+bone+healing.+An+experimental+study+in+rats.&amp;amp;aulast=Reikeraas&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(30)</w:t>
            </w:r>
            <w:r w:rsidRPr="009942E0">
              <w:rPr>
                <w:rFonts w:cstheme="minorHAnsi"/>
                <w:color w:val="000000"/>
                <w:sz w:val="18"/>
                <w:szCs w:val="18"/>
              </w:rPr>
              <w:fldChar w:fldCharType="end"/>
            </w:r>
          </w:p>
        </w:tc>
        <w:tc>
          <w:tcPr>
            <w:tcW w:w="720" w:type="dxa"/>
          </w:tcPr>
          <w:p w14:paraId="479AF055"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1998</w:t>
            </w:r>
          </w:p>
        </w:tc>
        <w:tc>
          <w:tcPr>
            <w:tcW w:w="990" w:type="dxa"/>
          </w:tcPr>
          <w:p w14:paraId="1E02DAC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6E90AFDB"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3FB7460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300</w:t>
            </w:r>
          </w:p>
        </w:tc>
        <w:tc>
          <w:tcPr>
            <w:tcW w:w="567" w:type="dxa"/>
          </w:tcPr>
          <w:p w14:paraId="7506D39B"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21F0E9A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3241822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NS-COX(Ket.,Ind.)</w:t>
            </w:r>
          </w:p>
        </w:tc>
        <w:tc>
          <w:tcPr>
            <w:tcW w:w="630" w:type="dxa"/>
          </w:tcPr>
          <w:p w14:paraId="162B69D1"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w:t>
            </w:r>
          </w:p>
        </w:tc>
        <w:tc>
          <w:tcPr>
            <w:tcW w:w="1080" w:type="dxa"/>
          </w:tcPr>
          <w:p w14:paraId="1A87214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42</w:t>
            </w:r>
          </w:p>
        </w:tc>
        <w:tc>
          <w:tcPr>
            <w:tcW w:w="1260" w:type="dxa"/>
          </w:tcPr>
          <w:p w14:paraId="4D13D2D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3PMB-F,3PMB-Stiff,3PMB-WF</w:t>
            </w:r>
          </w:p>
        </w:tc>
        <w:tc>
          <w:tcPr>
            <w:tcW w:w="990" w:type="dxa"/>
          </w:tcPr>
          <w:p w14:paraId="0C8D6C16"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42</w:t>
            </w:r>
          </w:p>
        </w:tc>
        <w:tc>
          <w:tcPr>
            <w:tcW w:w="1620" w:type="dxa"/>
          </w:tcPr>
          <w:p w14:paraId="28784EE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w:t>
            </w:r>
          </w:p>
        </w:tc>
        <w:tc>
          <w:tcPr>
            <w:tcW w:w="1350" w:type="dxa"/>
          </w:tcPr>
          <w:p w14:paraId="2A76BAC6"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42</w:t>
            </w:r>
          </w:p>
        </w:tc>
      </w:tr>
      <w:tr w:rsidR="003356FE" w:rsidRPr="00324F1B" w14:paraId="689D72D0"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09194977" w14:textId="4C23C3B4"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Sandberg&amp; Aspenberg</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&lt;EndNote&gt;&lt;Cite&gt;&lt;Author&gt;Sandberg&lt;/Author&gt;&lt;Year&gt;2015&lt;/Year&gt;&lt;RecNum&gt;1543&lt;/RecNum&gt;&lt;DisplayText&gt;(31)&lt;/DisplayText&gt;&lt;record&gt;&lt;rec-number&gt;1543&lt;/rec-number&gt;&lt;foreign-keys&gt;&lt;key app="EN" db-id="929z22wv3a2929ettfh529v8fsfd52ax9dsr" timestamp="1476195577"&gt;1543&lt;/key&gt;&lt;key app="ENWeb" db-id=""&gt;0&lt;/key&gt;&lt;/foreign-keys&gt;&lt;ref-type name="Journal Article"&gt;17&lt;/ref-type&gt;&lt;contributors&gt;&lt;authors&gt;&lt;author&gt;Sandberg, O.&lt;/author&gt;&lt;author&gt;Aspenberg, P.&lt;/author&gt;&lt;/authors&gt;&lt;/contributors&gt;&lt;titles&gt;&lt;title&gt;Different effects of indomethacin on healing of shaft and metaphyseal fractures&lt;/title&gt;&lt;secondary-title&gt;Acta Orthopaedica&lt;/secondary-title&gt;&lt;/titles&gt;&lt;periodical&gt;&lt;full-title&gt;Acta Orthopaedica&lt;/full-title&gt;&lt;/periodical&gt;&lt;pages&gt;243-247&lt;/pages&gt;&lt;volume&gt;86&lt;/volume&gt;&lt;number&gt;2&lt;/number&gt;&lt;dates&gt;&lt;year&gt;2015&lt;/year&gt;&lt;pub-dates&gt;&lt;date&gt;2015-01-01&lt;/date&gt;&lt;/pub-dates&gt;&lt;/dates&gt;&lt;isbn&gt;1745-3674&lt;/isbn&gt;&lt;label&gt;include, mice, histology, mechanical, ct ,SR,MA&lt;/label&gt;&lt;urls&gt;&lt;related-urls&gt;&lt;url&gt;https://www.scopus.com/inward/record.uri?eid=2-s2.0-84925940198&amp;amp;partnerID=40&amp;amp;md5=6840bac01ca0f29c9f6127c390b6cf6f&lt;/url&gt;&lt;/related-urls&gt;&lt;/urls&gt;&lt;custom1&gt;RAYYAN-INCLUSION: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(31)</w:t>
            </w:r>
            <w:r w:rsidRPr="009942E0">
              <w:rPr>
                <w:rFonts w:cstheme="minorHAnsi"/>
                <w:color w:val="000000"/>
                <w:sz w:val="18"/>
                <w:szCs w:val="18"/>
              </w:rPr>
              <w:fldChar w:fldCharType="end"/>
            </w:r>
          </w:p>
        </w:tc>
        <w:tc>
          <w:tcPr>
            <w:tcW w:w="720" w:type="dxa"/>
          </w:tcPr>
          <w:p w14:paraId="2A24083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2015</w:t>
            </w:r>
          </w:p>
        </w:tc>
        <w:tc>
          <w:tcPr>
            <w:tcW w:w="990" w:type="dxa"/>
          </w:tcPr>
          <w:p w14:paraId="435CD3D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Mice</w:t>
            </w:r>
          </w:p>
        </w:tc>
        <w:tc>
          <w:tcPr>
            <w:tcW w:w="720" w:type="dxa"/>
          </w:tcPr>
          <w:p w14:paraId="5B38BEF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10</w:t>
            </w:r>
          </w:p>
        </w:tc>
        <w:tc>
          <w:tcPr>
            <w:tcW w:w="851" w:type="dxa"/>
          </w:tcPr>
          <w:p w14:paraId="2B030956"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567" w:type="dxa"/>
          </w:tcPr>
          <w:p w14:paraId="2E89E88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7BAA7D6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5699A3A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w:t>
            </w:r>
          </w:p>
        </w:tc>
        <w:tc>
          <w:tcPr>
            <w:tcW w:w="630" w:type="dxa"/>
          </w:tcPr>
          <w:p w14:paraId="5F27D8DE"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w:t>
            </w:r>
          </w:p>
        </w:tc>
        <w:tc>
          <w:tcPr>
            <w:tcW w:w="1080" w:type="dxa"/>
          </w:tcPr>
          <w:p w14:paraId="16B7940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w:t>
            </w:r>
          </w:p>
        </w:tc>
        <w:tc>
          <w:tcPr>
            <w:tcW w:w="1260" w:type="dxa"/>
          </w:tcPr>
          <w:p w14:paraId="1BB62F5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374357A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17</w:t>
            </w:r>
          </w:p>
        </w:tc>
        <w:tc>
          <w:tcPr>
            <w:tcW w:w="1620" w:type="dxa"/>
          </w:tcPr>
          <w:p w14:paraId="2D857D5A" w14:textId="0AF0131F" w:rsidR="003356FE" w:rsidRPr="009942E0" w:rsidRDefault="00F16711"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Pr>
                <w:rFonts w:cstheme="minorHAnsi"/>
                <w:color w:val="000000"/>
                <w:sz w:val="18"/>
                <w:szCs w:val="18"/>
              </w:rPr>
              <w:t>µ-</w:t>
            </w:r>
            <w:r w:rsidR="003356FE" w:rsidRPr="009942E0">
              <w:rPr>
                <w:rFonts w:cstheme="minorHAnsi"/>
                <w:color w:val="000000"/>
                <w:sz w:val="18"/>
                <w:szCs w:val="18"/>
              </w:rPr>
              <w:t>CT.(BV,TV,BV/Tv,T.Th</w:t>
            </w:r>
            <w:r w:rsidR="006E2C72">
              <w:rPr>
                <w:rFonts w:cstheme="minorHAnsi"/>
                <w:color w:val="000000"/>
                <w:sz w:val="18"/>
                <w:szCs w:val="18"/>
              </w:rPr>
              <w:t>.</w:t>
            </w:r>
            <w:r w:rsidR="003356FE" w:rsidRPr="009942E0">
              <w:rPr>
                <w:rFonts w:cstheme="minorHAnsi"/>
                <w:color w:val="000000"/>
                <w:sz w:val="18"/>
                <w:szCs w:val="18"/>
              </w:rPr>
              <w:t>,T.SP)</w:t>
            </w:r>
          </w:p>
        </w:tc>
        <w:tc>
          <w:tcPr>
            <w:tcW w:w="1350" w:type="dxa"/>
          </w:tcPr>
          <w:p w14:paraId="7526B292"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17</w:t>
            </w:r>
          </w:p>
        </w:tc>
      </w:tr>
      <w:tr w:rsidR="003356FE" w:rsidRPr="00324F1B" w14:paraId="256E5E51"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7B4A856D" w14:textId="01804135"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lastRenderedPageBreak/>
              <w:t>Sassioto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&lt;EndNote&gt;&lt;Cite&gt;&lt;Author&gt;Sassioto&lt;/Author&gt;&lt;Year&gt;2006&lt;/Year&gt;&lt;RecNum&gt;1616&lt;/RecNum&gt;&lt;DisplayText&gt;(32)&lt;/DisplayText&gt;&lt;record&gt;&lt;rec-number&gt;1616&lt;/rec-number&gt;&lt;foreign-keys&gt;&lt;key app="EN" db-id="929z22wv3a2929ettfh529v8fsfd52ax9dsr" timestamp="1476195594"&gt;1616&lt;/key&gt;&lt;key app="ENWeb" db-id=""&gt;0&lt;/key&gt;&lt;/foreign-keys&gt;&lt;ref-type name="Journal Article"&gt;17&lt;/ref-type&gt;&lt;contributors&gt;&lt;authors&gt;&lt;author&gt;Sassioto, M. C.&lt;/author&gt;&lt;author&gt;Inouye, C. M.&lt;/author&gt;&lt;author&gt;Aydos, R. D.&lt;/author&gt;&lt;author&gt;Figueiredo, A. S.&lt;/author&gt;&lt;/authors&gt;&lt;/contributors&gt;&lt;titles&gt;&lt;title&gt;Bone repair in rats treated with sodic diclofenac and calcitonin&lt;/title&gt;&lt;secondary-title&gt;Acta Cirurgica Brasileira&lt;/secondary-title&gt;&lt;/titles&gt;&lt;periodical&gt;&lt;full-title&gt;Acta Cirurgica Brasileira&lt;/full-title&gt;&lt;/periodical&gt;&lt;pages&gt;40-4&lt;/pages&gt;&lt;volume&gt;21&lt;/volume&gt;&lt;dates&gt;&lt;year&gt;2006&lt;/year&gt;&lt;pub-dates&gt;&lt;date&gt;2006-01-01&lt;/date&gt;&lt;/pub-dates&gt;&lt;/dates&gt;&lt;label&gt;include,rats,histology,SR&lt;/label&gt;&lt;urls&gt;&lt;related-urls&gt;&lt;url&gt;http://mcgill.on.worldcat.org/atoztitles/link?sid=OVID:medline&amp;amp;id=pmid:17293965&amp;amp;id=doi:&amp;amp;issn=0102-8650&amp;amp;isbn=&amp;amp;volume=21&amp;amp;issue=4&amp;amp;spage=40&amp;amp;pages=40-4&amp;amp;date=2006&amp;amp;title=Acta+Cirurgica+Brasileira&amp;amp;atitle=Bone+repair+in+rats+treated+with+sodic+diclofenac+and+calcitonin.&amp;amp;aulast=Sassioto&lt;/url&gt;&lt;/related-urls&gt;&lt;/urls&gt;&lt;custom1&gt;RAYYAN-INCLUSION: {&amp;quot;Haider&amp;quot;=&amp;gt;true, &amp;quot;sales.anapaula&amp;quot;=&amp;gt;true} | RAYYAN-LABELS: Non selective COX inhib,rats&lt;/custom1&gt;&lt;language&gt;English&lt;/language&gt;&lt;/record&gt;&lt;/Cite&gt;&lt;/EndNote&gt;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(32)</w:t>
            </w:r>
            <w:r w:rsidRPr="009942E0">
              <w:rPr>
                <w:rFonts w:cstheme="minorHAnsi"/>
                <w:color w:val="000000"/>
                <w:sz w:val="18"/>
                <w:szCs w:val="18"/>
              </w:rPr>
              <w:fldChar w:fldCharType="end"/>
            </w:r>
          </w:p>
        </w:tc>
        <w:tc>
          <w:tcPr>
            <w:tcW w:w="720" w:type="dxa"/>
          </w:tcPr>
          <w:p w14:paraId="74EDAE1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2006</w:t>
            </w:r>
          </w:p>
        </w:tc>
        <w:tc>
          <w:tcPr>
            <w:tcW w:w="990" w:type="dxa"/>
          </w:tcPr>
          <w:p w14:paraId="5D3BAB9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5532FC4D"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2005E925"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355</w:t>
            </w:r>
          </w:p>
        </w:tc>
        <w:tc>
          <w:tcPr>
            <w:tcW w:w="567" w:type="dxa"/>
          </w:tcPr>
          <w:p w14:paraId="1DCDFBBF"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023F96E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5C8D889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w:t>
            </w:r>
          </w:p>
        </w:tc>
        <w:tc>
          <w:tcPr>
            <w:tcW w:w="630" w:type="dxa"/>
          </w:tcPr>
          <w:p w14:paraId="3CBEE7AC"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080" w:type="dxa"/>
          </w:tcPr>
          <w:p w14:paraId="02CA8CE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260" w:type="dxa"/>
          </w:tcPr>
          <w:p w14:paraId="2F8C1E1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2D6BE7C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1FA6777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Hist.(Examination for fibrous, cartilage &amp; bone tissues)</w:t>
            </w:r>
          </w:p>
        </w:tc>
        <w:tc>
          <w:tcPr>
            <w:tcW w:w="1350" w:type="dxa"/>
          </w:tcPr>
          <w:p w14:paraId="50429581"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7,14,21</w:t>
            </w:r>
          </w:p>
        </w:tc>
      </w:tr>
      <w:tr w:rsidR="003356FE" w:rsidRPr="00324F1B" w14:paraId="5A1D7B0F"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162504D9" w14:textId="64E596D2"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Sevimli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&lt;EndNote&gt;&lt;Cite&gt;&lt;Author&gt;Sevimli&lt;/Author&gt;&lt;Year&gt;2013&lt;/Year&gt;&lt;RecNum&gt;1545&lt;/RecNum&gt;&lt;DisplayText&gt;(33)&lt;/DisplayText&gt;&lt;record&gt;&lt;rec-number&gt;1545&lt;/rec-number&gt;&lt;foreign-keys&gt;&lt;key app="EN" db-id="929z22wv3a2929ettfh529v8fsfd52ax9dsr" timestamp="1476195578"&gt;1545&lt;/key&gt;&lt;key app="ENWeb" db-id=""&gt;0&lt;/key&gt;&lt;/foreign-keys&gt;&lt;ref-type name="Journal Article"&gt;17&lt;/ref-type&gt;&lt;contributors&gt;&lt;authors&gt;&lt;author&gt;Sevimli, R.&lt;/author&gt;&lt;author&gt;Üzel, M.&lt;/author&gt;&lt;author&gt;Sayar, H.&lt;/author&gt;&lt;author&gt;Kalender, A.M.&lt;/author&gt;&lt;author&gt;Dökmeci, O.&lt;/author&gt;&lt;/authors&gt;&lt;/contributors&gt;&lt;titles&gt;&lt;title&gt;The effect of dexketoprofen trometamol on the healing of diaphysis fractures of rat tibia&lt;/title&gt;&lt;secondary-title&gt;Acta Orthopaedica et Traumatologica Turcica&lt;/secondary-title&gt;&lt;/titles&gt;&lt;periodical&gt;&lt;full-title&gt;Acta Orthopaedica et Traumatologica Turcica&lt;/full-title&gt;&lt;/periodical&gt;&lt;pages&gt;423-429&lt;/pages&gt;&lt;volume&gt;47&lt;/volume&gt;&lt;number&gt;6&lt;/number&gt;&lt;dates&gt;&lt;year&gt;2013&lt;/year&gt;&lt;pub-dates&gt;&lt;date&gt;2013-01-01&lt;/date&gt;&lt;/pub-dates&gt;&lt;/dates&gt;&lt;label&gt;no effect, rats, include, tibia,mechanical, histology,SR,MA, no response&lt;/label&gt;&lt;urls&gt;&lt;related-urls&gt;&lt;url&gt;https://www.scopus.com/inward/record.uri?eid=2-s2.0-84894073153&amp;amp;partnerID=40&amp;amp;md5=9942979ba0c3980bb173fd6daabc2d26&lt;/url&gt;&lt;/related-urls&gt;&lt;/urls&gt;&lt;custom1&gt;RAYYAN-INCLUSION: {&amp;quot;Haider&amp;quot;=&amp;gt;true, &amp;quot;sales.anapaula&amp;quot;=&amp;gt;true} | RAYYAN-LABELS: rats,Non selective COX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(33)</w:t>
            </w:r>
            <w:r w:rsidRPr="009942E0">
              <w:rPr>
                <w:rFonts w:cstheme="minorHAnsi"/>
                <w:color w:val="000000"/>
                <w:sz w:val="18"/>
                <w:szCs w:val="18"/>
              </w:rPr>
              <w:fldChar w:fldCharType="end"/>
            </w:r>
          </w:p>
        </w:tc>
        <w:tc>
          <w:tcPr>
            <w:tcW w:w="720" w:type="dxa"/>
          </w:tcPr>
          <w:p w14:paraId="2537ADE2"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2013</w:t>
            </w:r>
          </w:p>
        </w:tc>
        <w:tc>
          <w:tcPr>
            <w:tcW w:w="990" w:type="dxa"/>
          </w:tcPr>
          <w:p w14:paraId="641681A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4E78D99B"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11.6</w:t>
            </w:r>
          </w:p>
        </w:tc>
        <w:tc>
          <w:tcPr>
            <w:tcW w:w="851" w:type="dxa"/>
          </w:tcPr>
          <w:p w14:paraId="0D40E56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190</w:t>
            </w:r>
          </w:p>
        </w:tc>
        <w:tc>
          <w:tcPr>
            <w:tcW w:w="567" w:type="dxa"/>
          </w:tcPr>
          <w:p w14:paraId="0DAD6EF2"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5185FB2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1C01CF3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NS-COX(Dexketoprofen)</w:t>
            </w:r>
          </w:p>
        </w:tc>
        <w:tc>
          <w:tcPr>
            <w:tcW w:w="630" w:type="dxa"/>
          </w:tcPr>
          <w:p w14:paraId="0C76E046"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080" w:type="dxa"/>
          </w:tcPr>
          <w:p w14:paraId="4786A3D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14,21,24</w:t>
            </w:r>
          </w:p>
        </w:tc>
        <w:tc>
          <w:tcPr>
            <w:tcW w:w="1260" w:type="dxa"/>
          </w:tcPr>
          <w:p w14:paraId="1349253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w:t>
            </w:r>
          </w:p>
        </w:tc>
        <w:tc>
          <w:tcPr>
            <w:tcW w:w="990" w:type="dxa"/>
          </w:tcPr>
          <w:p w14:paraId="7826415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24</w:t>
            </w:r>
          </w:p>
        </w:tc>
        <w:tc>
          <w:tcPr>
            <w:tcW w:w="1620" w:type="dxa"/>
          </w:tcPr>
          <w:p w14:paraId="6EA6936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Hist.Scores(Huo),Radiog.Scores</w:t>
            </w:r>
          </w:p>
        </w:tc>
        <w:tc>
          <w:tcPr>
            <w:tcW w:w="1350" w:type="dxa"/>
          </w:tcPr>
          <w:p w14:paraId="0772CC8A"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14,28,56</w:t>
            </w:r>
          </w:p>
        </w:tc>
      </w:tr>
      <w:tr w:rsidR="003356FE" w:rsidRPr="00324F1B" w14:paraId="60E576DA"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3806DFBE" w14:textId="372BB5C2"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Simon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&lt;EndNote&gt;&lt;Cite&gt;&lt;Author&gt;Simon&lt;/Author&gt;&lt;Year&gt;2002&lt;/Year&gt;&lt;RecNum&gt;1689&lt;/RecNum&gt;&lt;DisplayText&gt;(34)&lt;/DisplayText&gt;&lt;record&gt;&lt;rec-number&gt;1689&lt;/rec-number&gt;&lt;foreign-keys&gt;&lt;key app="EN" db-id="929z22wv3a2929ettfh529v8fsfd52ax9dsr" timestamp="1476195613"&gt;1689&lt;/key&gt;&lt;key app="ENWeb" db-id=""&gt;0&lt;/key&gt;&lt;/foreign-keys&gt;&lt;ref-type name="Journal Article"&gt;17&lt;/ref-type&gt;&lt;contributors&gt;&lt;authors&gt;&lt;author&gt;Simon, A. M.&lt;/author&gt;&lt;author&gt;Manigrasso, M. B.&lt;/author&gt;&lt;author&gt;O&amp;apos;Connor, J. P.&lt;/author&gt;&lt;/authors&gt;&lt;/contributors&gt;&lt;titles&gt;&lt;title&gt;Cyclo-oxygenase 2 function is essential for bone fracture healing&lt;/title&gt;&lt;secondary-title&gt;Journal of Bone &amp;amp; Mineral Research&lt;/secondary-title&gt;&lt;/titles&gt;&lt;periodical&gt;&lt;full-title&gt;Journal of Bone &amp;amp; Mineral Research&lt;/full-title&gt;&lt;/periodical&gt;&lt;pages&gt;963-76&lt;/pages&gt;&lt;volume&gt;17&lt;/volume&gt;&lt;number&gt;6&lt;/number&gt;&lt;dates&gt;&lt;year&gt;2002&lt;/year&gt;&lt;pub-dates&gt;&lt;date&gt;2002-01-01&lt;/date&gt;&lt;/pub-dates&gt;&lt;/dates&gt;&lt;isbn&gt;0884-0431&lt;/isbn&gt;&lt;label&gt;include, mice, mechanical,celecoxib,rofecoxib,indomethacin,SR,MA&lt;/label&gt;&lt;urls&gt;&lt;related-urls&gt;&lt;url&gt;http://mcgill.on.worldcat.org/atoztitles/link?sid=OVID:medline&amp;amp;id=pmid:12054171&amp;amp;id=doi:&amp;amp;issn=0884-0431&amp;amp;isbn=&amp;amp;volume=17&amp;amp;issue=6&amp;amp;spage=963&amp;amp;pages=963-76&amp;amp;date=2002&amp;amp;title=Journal+of+Bone+%26+Mineral+Research&amp;amp;atitle=Cyclo-oxygenase+2+function+is+essential+for+bone+fracture+healing.&amp;amp;aulast=Simon&lt;/url&gt;&lt;/related-urls&gt;&lt;/urls&gt;&lt;custom1&gt;RAYYAN-INCLUSION: {&amp;quot;Haider&amp;quot;=&amp;gt;true, &amp;quot;sales.anapaula&amp;quot;=&amp;gt;true} | RAYYAN-LABELS: rats,COX-2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(34)</w:t>
            </w:r>
            <w:r w:rsidRPr="009942E0">
              <w:rPr>
                <w:rFonts w:cstheme="minorHAnsi"/>
                <w:color w:val="000000"/>
                <w:sz w:val="18"/>
                <w:szCs w:val="18"/>
              </w:rPr>
              <w:fldChar w:fldCharType="end"/>
            </w:r>
          </w:p>
        </w:tc>
        <w:tc>
          <w:tcPr>
            <w:tcW w:w="720" w:type="dxa"/>
          </w:tcPr>
          <w:p w14:paraId="7AC2481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2002</w:t>
            </w:r>
          </w:p>
        </w:tc>
        <w:tc>
          <w:tcPr>
            <w:tcW w:w="990" w:type="dxa"/>
          </w:tcPr>
          <w:p w14:paraId="0A53E8C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501504A9"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5160AB59"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584</w:t>
            </w:r>
          </w:p>
        </w:tc>
        <w:tc>
          <w:tcPr>
            <w:tcW w:w="567" w:type="dxa"/>
          </w:tcPr>
          <w:p w14:paraId="049A5B04"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30A2483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5CB98D25"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w:t>
            </w:r>
          </w:p>
          <w:p w14:paraId="5568A77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COX-2(Celec.,Rof.)</w:t>
            </w:r>
          </w:p>
        </w:tc>
        <w:tc>
          <w:tcPr>
            <w:tcW w:w="630" w:type="dxa"/>
          </w:tcPr>
          <w:p w14:paraId="2AEE91EC"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1,3,4</w:t>
            </w:r>
          </w:p>
        </w:tc>
        <w:tc>
          <w:tcPr>
            <w:tcW w:w="1080" w:type="dxa"/>
          </w:tcPr>
          <w:p w14:paraId="1D60DBF6"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28,42,56</w:t>
            </w:r>
          </w:p>
        </w:tc>
        <w:tc>
          <w:tcPr>
            <w:tcW w:w="1260" w:type="dxa"/>
          </w:tcPr>
          <w:p w14:paraId="27E31BF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3PMB-F,3PMB-Stiff,3PMB-WF</w:t>
            </w:r>
          </w:p>
        </w:tc>
        <w:tc>
          <w:tcPr>
            <w:tcW w:w="990" w:type="dxa"/>
          </w:tcPr>
          <w:p w14:paraId="4EB3F9D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28,42,56</w:t>
            </w:r>
          </w:p>
        </w:tc>
        <w:tc>
          <w:tcPr>
            <w:tcW w:w="1620" w:type="dxa"/>
          </w:tcPr>
          <w:p w14:paraId="6985832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Hist.(MT,Callus Size)</w:t>
            </w:r>
          </w:p>
        </w:tc>
        <w:tc>
          <w:tcPr>
            <w:tcW w:w="1350" w:type="dxa"/>
          </w:tcPr>
          <w:p w14:paraId="42055046"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28,42,56</w:t>
            </w:r>
          </w:p>
        </w:tc>
      </w:tr>
      <w:tr w:rsidR="003356FE" w:rsidRPr="00324F1B" w14:paraId="6A618327"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5E0D78D6" w14:textId="7EB79CEF"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Simon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&lt;EndNote&gt;&lt;Cite&gt;&lt;Author&gt;Simon&lt;/Author&gt;&lt;Year&gt;2007&lt;/Year&gt;&lt;RecNum&gt;1690&lt;/RecNum&gt;&lt;DisplayText&gt;(35)&lt;/DisplayText&gt;&lt;record&gt;&lt;rec-number&gt;1690&lt;/rec-number&gt;&lt;foreign-keys&gt;&lt;key app="EN" db-id="929z22wv3a2929ettfh529v8fsfd52ax9dsr" timestamp="1476195613"&gt;1690&lt;/key&gt;&lt;key app="ENWeb" db-id=""&gt;0&lt;/key&gt;&lt;/foreign-keys&gt;&lt;ref-type name="Journal Article"&gt;17&lt;/ref-type&gt;&lt;contributors&gt;&lt;authors&gt;&lt;author&gt;Simon, A. M.&lt;/author&gt;&lt;author&gt;O&amp;apos;Connor, J. P.&lt;/author&gt;&lt;author&gt;Simon, Ann Marie&lt;/author&gt;&lt;author&gt;O&amp;apos;Connor, J. Patrick&lt;/author&gt;&lt;/authors&gt;&lt;/contributors&gt;&lt;titles&gt;&lt;title&gt;Dose and time-dependent effects of cyclooxygenase-2 inhibition on fracture-healing&lt;/title&gt;&lt;secondary-title&gt;Journal of Bone &amp;amp; Joint Surgery, American Volume&lt;/secondary-title&gt;&lt;/titles&gt;&lt;periodical&gt;&lt;full-title&gt;Journal of Bone &amp;amp; Joint Surgery, American Volume&lt;/full-title&gt;&lt;/periodical&gt;&lt;pages&gt;500-511&lt;/pages&gt;&lt;volume&gt;89&lt;/volume&gt;&lt;number&gt;3&lt;/number&gt;&lt;dates&gt;&lt;year&gt;2007&lt;/year&gt;&lt;pub-dates&gt;&lt;date&gt;2007-01-01&lt;/date&gt;&lt;/pub-dates&gt;&lt;/dates&gt;&lt;isbn&gt;0021-9355&lt;/isbn&gt;&lt;label&gt;include, rats, mechanical, celecoxib, need email,SR,MA, no response&lt;/label&gt;&lt;urls&gt;&lt;related-urls&gt;&lt;url&gt;http://proxy.library.mcgill.ca/login?url=http://search.ebscohost.com/login.aspx?direct=true&amp;amp;db=rzh&amp;amp;AN=106007159&amp;amp;site=ehost-live&lt;/url&gt;&lt;/related-urls&gt;&lt;/urls&gt;&lt;custom1&gt;RAYYAN-INCLUSION: {&amp;quot;Haider&amp;quot;=&amp;gt;true, &amp;quot;sales.anapaula&amp;quot;=&amp;gt;true} | RAYYAN-LABELS: COX-2 inhib,mouse,Duplicate&lt;/custom1&gt;&lt;/record&gt;&lt;/Cite&gt;&lt;/EndNote&gt;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(35)</w:t>
            </w:r>
            <w:r w:rsidRPr="009942E0">
              <w:rPr>
                <w:rFonts w:cstheme="minorHAnsi"/>
                <w:color w:val="000000"/>
                <w:sz w:val="18"/>
                <w:szCs w:val="18"/>
              </w:rPr>
              <w:fldChar w:fldCharType="end"/>
            </w:r>
          </w:p>
        </w:tc>
        <w:tc>
          <w:tcPr>
            <w:tcW w:w="720" w:type="dxa"/>
          </w:tcPr>
          <w:p w14:paraId="45E19C4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2007</w:t>
            </w:r>
          </w:p>
        </w:tc>
        <w:tc>
          <w:tcPr>
            <w:tcW w:w="990" w:type="dxa"/>
          </w:tcPr>
          <w:p w14:paraId="7B36521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6DF95DC7"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128F9880"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272</w:t>
            </w:r>
          </w:p>
        </w:tc>
        <w:tc>
          <w:tcPr>
            <w:tcW w:w="567" w:type="dxa"/>
          </w:tcPr>
          <w:p w14:paraId="29DA2E0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3225BAD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6C7D5EDC"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COX-2(Celec.)</w:t>
            </w:r>
          </w:p>
        </w:tc>
        <w:tc>
          <w:tcPr>
            <w:tcW w:w="630" w:type="dxa"/>
          </w:tcPr>
          <w:p w14:paraId="20AD03D4"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2,4,8</w:t>
            </w:r>
          </w:p>
        </w:tc>
        <w:tc>
          <w:tcPr>
            <w:tcW w:w="1080" w:type="dxa"/>
          </w:tcPr>
          <w:p w14:paraId="287890B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Different effect after 15 days and effect of 4mg/kg in different time points</w:t>
            </w:r>
          </w:p>
        </w:tc>
        <w:tc>
          <w:tcPr>
            <w:tcW w:w="1260" w:type="dxa"/>
          </w:tcPr>
          <w:p w14:paraId="3453A46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07D5DB0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15,5,10,15,21,28</w:t>
            </w:r>
          </w:p>
        </w:tc>
        <w:tc>
          <w:tcPr>
            <w:tcW w:w="1620" w:type="dxa"/>
          </w:tcPr>
          <w:p w14:paraId="32417C4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Radiog.scores</w:t>
            </w:r>
          </w:p>
        </w:tc>
        <w:tc>
          <w:tcPr>
            <w:tcW w:w="1350" w:type="dxa"/>
          </w:tcPr>
          <w:p w14:paraId="154A9C79"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Different effect after 15 days and effect of 4mg/kg in different time points</w:t>
            </w:r>
          </w:p>
        </w:tc>
      </w:tr>
      <w:tr w:rsidR="003356FE" w:rsidRPr="00324F1B" w14:paraId="324319D2"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39F16E06" w14:textId="1672A970"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 xml:space="preserve">Singh et al </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&lt;EndNote&gt;&lt;Cite&gt;&lt;Author&gt;Singh&lt;/Author&gt;&lt;Year&gt;2011&lt;/Year&gt;&lt;RecNum&gt;4390&lt;/RecNum&gt;&lt;DisplayText&gt;(36)&lt;/DisplayText&gt;&lt;record&gt;&lt;rec-number&gt;4390&lt;/rec-number&gt;&lt;foreign-keys&gt;&lt;key app="EN" db-id="929z22wv3a2929ettfh529v8fsfd52ax9dsr" timestamp="1487611093"&gt;4390&lt;/key&gt;&lt;key app="ENWeb" db-id=""&gt;0&lt;/key&gt;&lt;/foreign-keys&gt;&lt;ref-type name="Journal Article"&gt;17&lt;/ref-type&gt;&lt;contributors&gt;&lt;authors&gt;&lt;author&gt;Singh, A.&lt;/author&gt;&lt;author&gt;Shekhar, S.&lt;/author&gt;&lt;author&gt;Saraf, S.K.&lt;/author&gt;&lt;author&gt;Garbyal, R.S.&lt;/author&gt;&lt;/authors&gt;&lt;/contributors&gt;&lt;titles&gt;&lt;title&gt;Effect of etoricoxib on fracture healing - an experimental study&lt;/title&gt;&lt;secondary-title&gt;Biomedical Research&lt;/secondary-title&gt;&lt;/titles&gt;&lt;periodical&gt;&lt;full-title&gt;Biomedical Research&lt;/full-title&gt;&lt;/periodical&gt;&lt;pages&gt;52-56&lt;/pages&gt;&lt;volume&gt;22&lt;/volume&gt;&lt;number&gt;1&lt;/number&gt;&lt;dates&gt;&lt;year&gt;2011&lt;/year&gt;&lt;pub-dates&gt;&lt;date&gt;2011-01-01&lt;/date&gt;&lt;/pub-dates&gt;&lt;/dates&gt;&lt;isbn&gt;0970-938X&lt;/isbn&gt;&lt;urls&gt;&lt;related-urls&gt;&lt;url&gt;https://www.scopus.com/inward/record.uri?eid=2-s2.0-78650765879&amp;amp;partnerID=40&amp;amp;md5=7fa5bb57348a4b9aba0a7c4941d13f36&lt;/url&gt;&lt;/related-urls&gt;&lt;/urls&gt;&lt;custom1&gt;RAYYAN-INCLUSION: {&amp;quot;Haider&amp;quot;=&amp;gt;true, &amp;quot;sales.anapaula&amp;quot;=&amp;gt;true} | RAYYAN-LABELS: rabbits,COX-2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(36)</w:t>
            </w:r>
            <w:r w:rsidRPr="009942E0">
              <w:rPr>
                <w:rFonts w:cstheme="minorHAnsi"/>
                <w:color w:val="000000"/>
                <w:sz w:val="18"/>
                <w:szCs w:val="18"/>
              </w:rPr>
              <w:fldChar w:fldCharType="end"/>
            </w:r>
          </w:p>
        </w:tc>
        <w:tc>
          <w:tcPr>
            <w:tcW w:w="720" w:type="dxa"/>
          </w:tcPr>
          <w:p w14:paraId="7E16A38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2011</w:t>
            </w:r>
          </w:p>
        </w:tc>
        <w:tc>
          <w:tcPr>
            <w:tcW w:w="990" w:type="dxa"/>
          </w:tcPr>
          <w:p w14:paraId="458BAF6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1AD5FCE2"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adult</w:t>
            </w:r>
          </w:p>
        </w:tc>
        <w:tc>
          <w:tcPr>
            <w:tcW w:w="851" w:type="dxa"/>
          </w:tcPr>
          <w:p w14:paraId="1E532F7D"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240</w:t>
            </w:r>
          </w:p>
        </w:tc>
        <w:tc>
          <w:tcPr>
            <w:tcW w:w="567" w:type="dxa"/>
          </w:tcPr>
          <w:p w14:paraId="78518987"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83" w:type="dxa"/>
          </w:tcPr>
          <w:p w14:paraId="6B15E5F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42234FF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COX-2(Etoricoxib)</w:t>
            </w:r>
          </w:p>
        </w:tc>
        <w:tc>
          <w:tcPr>
            <w:tcW w:w="630" w:type="dxa"/>
          </w:tcPr>
          <w:p w14:paraId="5FBF11C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w:t>
            </w:r>
          </w:p>
        </w:tc>
        <w:tc>
          <w:tcPr>
            <w:tcW w:w="1080" w:type="dxa"/>
          </w:tcPr>
          <w:p w14:paraId="401A5D8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28, 56, 84</w:t>
            </w:r>
          </w:p>
        </w:tc>
        <w:tc>
          <w:tcPr>
            <w:tcW w:w="1260" w:type="dxa"/>
          </w:tcPr>
          <w:p w14:paraId="4E82FA8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11D1076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28,56,84</w:t>
            </w:r>
          </w:p>
        </w:tc>
        <w:tc>
          <w:tcPr>
            <w:tcW w:w="1620" w:type="dxa"/>
          </w:tcPr>
          <w:p w14:paraId="1B149F8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 scores,</w:t>
            </w:r>
          </w:p>
          <w:p w14:paraId="0139CE7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 scores,</w:t>
            </w:r>
          </w:p>
          <w:p w14:paraId="21B2C12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Morphological</w:t>
            </w:r>
          </w:p>
        </w:tc>
        <w:tc>
          <w:tcPr>
            <w:tcW w:w="1350" w:type="dxa"/>
          </w:tcPr>
          <w:p w14:paraId="61A92D7E"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28,56,84</w:t>
            </w:r>
          </w:p>
        </w:tc>
      </w:tr>
      <w:tr w:rsidR="003356FE" w:rsidRPr="00324F1B" w14:paraId="394C02C2"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534263C1" w14:textId="11C86629"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Spiro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&lt;EndNote&gt;&lt;Cite&gt;&lt;Author&gt;Spiro&lt;/Author&gt;&lt;Year&gt;2010&lt;/Year&gt;&lt;RecNum&gt;1691&lt;/RecNum&gt;&lt;DisplayText&gt;(37)&lt;/DisplayText&gt;&lt;record&gt;&lt;rec-number&gt;1691&lt;/rec-number&gt;&lt;foreign-keys&gt;&lt;key app="EN" db-id="929z22wv3a2929ettfh529v8fsfd52ax9dsr" timestamp="1476195614"&gt;1691&lt;/key&gt;&lt;key app="ENWeb" db-id=""&gt;0&lt;/key&gt;&lt;/foreign-keys&gt;&lt;ref-type name="Journal Article"&gt;17&lt;/ref-type&gt;&lt;contributors&gt;&lt;authors&gt;&lt;author&gt;Spiro, A. S.&lt;/author&gt;&lt;author&gt;Beil, F. T.&lt;/author&gt;&lt;author&gt;Baranowsky, A.&lt;/author&gt;&lt;author&gt;Barvencik, F.&lt;/author&gt;&lt;author&gt;Schilling, A. F.&lt;/author&gt;&lt;author&gt;Nguyen, K.&lt;/author&gt;&lt;author&gt;Khadem, S.&lt;/author&gt;&lt;author&gt;Seitz, S.&lt;/author&gt;&lt;author&gt;Rueger, J. M.&lt;/author&gt;&lt;author&gt;Schinke, T.&lt;/author&gt;&lt;author&gt;Amling, M.&lt;/author&gt;&lt;/authors&gt;&lt;/contributors&gt;&lt;titles&gt;&lt;title&gt;BMP-7-induced ectopic bone formation and fracture healing is impaired by systemic NSAID application in C57BL/6-mice&lt;/title&gt;&lt;secondary-title&gt;Journal of Orthopaedic Research&lt;/secondary-title&gt;&lt;/titles&gt;&lt;periodical&gt;&lt;full-title&gt;Journal of Orthopaedic Research&lt;/full-title&gt;&lt;/periodical&gt;&lt;pages&gt;785-91&lt;/pages&gt;&lt;volume&gt;28&lt;/volume&gt;&lt;number&gt;6&lt;/number&gt;&lt;dates&gt;&lt;year&gt;2010&lt;/year&gt;&lt;pub-dates&gt;&lt;date&gt;2010-01-01&lt;/date&gt;&lt;/pub-dates&gt;&lt;/dates&gt;&lt;isbn&gt;0736-0266 DO - http://dx.doi.org/10.1016/S0736-0266(01)00178-4&lt;/isbn&gt;&lt;label&gt;include, mice, mechanical, histology, diclofenac,SR,MA&lt;/label&gt;&lt;urls&gt;&lt;related-urls&gt;&lt;url&gt;http://mcgill.on.worldcat.org/atoztitles/link?sid=OVID:medline&amp;amp;id=pmid:20063306&amp;amp;id=doi:10.1002%2Fjor.21044&amp;amp;issn=0736-0266&amp;amp;isbn=&amp;amp;volume=28&amp;amp;issue=6&amp;amp;spage=785&amp;amp;pages=785-91&amp;amp;date=2010&amp;amp;title=Journal+of+Orthopaedic+Research&amp;amp;atitle=BMP-7-induced+ectopic+bone+formation+and+fracture+healing+is+impaired+by+systemic+NSAID+application+in+C57BL%2F6-mice.&amp;amp;aulast=Spiro&lt;/url&gt;&lt;/related-urls&gt;&lt;/urls&gt;&lt;custom1&gt;RAYYAN-INCLUSION: {&amp;quot;Haider&amp;quot;=&amp;gt;true, &amp;quot;sales.anapaula&amp;quot;=&amp;gt;true} | RAYYAN-LABELS: mouse,COX-2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(37)</w:t>
            </w:r>
            <w:r w:rsidRPr="009942E0">
              <w:rPr>
                <w:rFonts w:cstheme="minorHAnsi"/>
                <w:color w:val="000000"/>
                <w:sz w:val="18"/>
                <w:szCs w:val="18"/>
              </w:rPr>
              <w:fldChar w:fldCharType="end"/>
            </w:r>
          </w:p>
        </w:tc>
        <w:tc>
          <w:tcPr>
            <w:tcW w:w="720" w:type="dxa"/>
          </w:tcPr>
          <w:p w14:paraId="34F9D47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2010</w:t>
            </w:r>
          </w:p>
        </w:tc>
        <w:tc>
          <w:tcPr>
            <w:tcW w:w="990" w:type="dxa"/>
          </w:tcPr>
          <w:p w14:paraId="6F5945B4"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Mice</w:t>
            </w:r>
          </w:p>
        </w:tc>
        <w:tc>
          <w:tcPr>
            <w:tcW w:w="720" w:type="dxa"/>
          </w:tcPr>
          <w:p w14:paraId="4ED3EE1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w:t>
            </w:r>
          </w:p>
        </w:tc>
        <w:tc>
          <w:tcPr>
            <w:tcW w:w="851" w:type="dxa"/>
          </w:tcPr>
          <w:p w14:paraId="3362EC1C"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567" w:type="dxa"/>
          </w:tcPr>
          <w:p w14:paraId="7508C7A2"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6CDF8D6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5740BCD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w:t>
            </w:r>
          </w:p>
        </w:tc>
        <w:tc>
          <w:tcPr>
            <w:tcW w:w="630" w:type="dxa"/>
          </w:tcPr>
          <w:p w14:paraId="6999CA97"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080" w:type="dxa"/>
          </w:tcPr>
          <w:p w14:paraId="4BFDE31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w:t>
            </w:r>
          </w:p>
        </w:tc>
        <w:tc>
          <w:tcPr>
            <w:tcW w:w="1260" w:type="dxa"/>
          </w:tcPr>
          <w:p w14:paraId="65FCBF5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w:t>
            </w:r>
          </w:p>
        </w:tc>
        <w:tc>
          <w:tcPr>
            <w:tcW w:w="990" w:type="dxa"/>
          </w:tcPr>
          <w:p w14:paraId="2C45675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w:t>
            </w:r>
          </w:p>
        </w:tc>
        <w:tc>
          <w:tcPr>
            <w:tcW w:w="1620" w:type="dxa"/>
          </w:tcPr>
          <w:p w14:paraId="7D9A3C4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Hist.(MT,OSB &amp; OSC number &amp; Surface),</w:t>
            </w:r>
          </w:p>
          <w:p w14:paraId="21089C63" w14:textId="0F46D943"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CT(BV,TV,BV/TV,T.Th,T.S</w:t>
            </w:r>
            <w:r w:rsidR="006E2C72">
              <w:rPr>
                <w:rFonts w:cstheme="minorHAnsi"/>
                <w:color w:val="000000"/>
                <w:sz w:val="18"/>
                <w:szCs w:val="18"/>
              </w:rPr>
              <w:t>p</w:t>
            </w:r>
            <w:r w:rsidRPr="009942E0">
              <w:rPr>
                <w:rFonts w:cstheme="minorHAnsi"/>
                <w:color w:val="000000"/>
                <w:sz w:val="18"/>
                <w:szCs w:val="18"/>
              </w:rPr>
              <w:t>)</w:t>
            </w:r>
          </w:p>
        </w:tc>
        <w:tc>
          <w:tcPr>
            <w:tcW w:w="1350" w:type="dxa"/>
          </w:tcPr>
          <w:p w14:paraId="626434D7"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20</w:t>
            </w:r>
          </w:p>
        </w:tc>
      </w:tr>
      <w:tr w:rsidR="003356FE" w:rsidRPr="00324F1B" w14:paraId="3041F14A"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3412A079" w14:textId="4D7016C1"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Tan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&lt;EndNote&gt;&lt;Cite&gt;&lt;Author&gt;Tan&lt;/Author&gt;&lt;Year&gt;2009&lt;/Year&gt;&lt;RecNum&gt;4385&lt;/RecNum&gt;&lt;DisplayText&gt;(38)&lt;/DisplayText&gt;&lt;record&gt;&lt;rec-number&gt;4385&lt;/rec-number&gt;&lt;foreign-keys&gt;&lt;key app="EN" db-id="929z22wv3a2929ettfh529v8fsfd52ax9dsr" timestamp="1487611092"&gt;4385&lt;/key&gt;&lt;key app="ENWeb" db-id=""&gt;0&lt;/key&gt;&lt;/foreign-keys&gt;&lt;ref-type name="Journal Article"&gt;17&lt;/ref-type&gt;&lt;contributors&gt;&lt;authors&gt;&lt;author&gt;Tan, V.&lt;/author&gt;&lt;author&gt;Parsons, J.R.&lt;/author&gt;&lt;author&gt;O&amp;apos;Connor, J.P.&lt;/author&gt;&lt;author&gt;Manigrasso, M.B.&lt;/author&gt;&lt;author&gt;Capo, J.T.&lt;/author&gt;&lt;author&gt;Cottrell, J.A.&lt;/author&gt;&lt;author&gt;Bontempo, N.&lt;/author&gt;&lt;/authors&gt;&lt;/contributors&gt;&lt;titles&gt;&lt;title&gt;A comparison of the effects of ibuprofen and rofecoxib on rabbit fibula osteotomy healing&lt;/title&gt;&lt;secondary-title&gt;Acta Orthopaedica&lt;/secondary-title&gt;&lt;/titles&gt;&lt;periodical&gt;&lt;full-title&gt;Acta Orthopaedica&lt;/full-title&gt;&lt;/periodical&gt;&lt;pages&gt;597-605&lt;/pages&gt;&lt;volume&gt;80&lt;/volume&gt;&lt;number&gt;5&lt;/number&gt;&lt;dates&gt;&lt;year&gt;2009&lt;/year&gt;&lt;pub-dates&gt;&lt;date&gt;2009-01-01&lt;/date&gt;&lt;/pub-dates&gt;&lt;/dates&gt;&lt;isbn&gt;1745-3674&lt;/isbn&gt;&lt;urls&gt;&lt;related-urls&gt;&lt;url&gt;https://www.scopus.com/inward/record.uri?eid=2-s2.0-70450171540&amp;amp;partnerID=40&amp;amp;md5=099315f0d5b8bd83c72911e51386f351&lt;/url&gt;&lt;/related-urls&gt;&lt;/urls&gt;&lt;custom1&gt;RAYYAN-INCLUSION: {&amp;quot;Haider&amp;quot;=&amp;gt;true, &amp;quot;sales.anapaula&amp;quot;=&amp;gt;true} | RAYYAN-LABELS: Ibuprofen,Non selective COX inhib,rabbits&lt;/custom1&gt;&lt;language&gt;English&lt;/language&gt;&lt;/record&gt;&lt;/Cite&gt;&lt;/EndNote&gt;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(38)</w:t>
            </w:r>
            <w:r w:rsidRPr="009942E0">
              <w:rPr>
                <w:rFonts w:cstheme="minorHAnsi"/>
                <w:color w:val="000000"/>
                <w:sz w:val="18"/>
                <w:szCs w:val="18"/>
              </w:rPr>
              <w:fldChar w:fldCharType="end"/>
            </w:r>
          </w:p>
        </w:tc>
        <w:tc>
          <w:tcPr>
            <w:tcW w:w="720" w:type="dxa"/>
          </w:tcPr>
          <w:p w14:paraId="49A30D2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2009</w:t>
            </w:r>
          </w:p>
        </w:tc>
        <w:tc>
          <w:tcPr>
            <w:tcW w:w="990" w:type="dxa"/>
          </w:tcPr>
          <w:p w14:paraId="0F3DAC0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4BFC535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2A170F0C"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350</w:t>
            </w:r>
          </w:p>
        </w:tc>
        <w:tc>
          <w:tcPr>
            <w:tcW w:w="567" w:type="dxa"/>
          </w:tcPr>
          <w:p w14:paraId="51A9074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5C898A1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Other</w:t>
            </w:r>
          </w:p>
        </w:tc>
        <w:tc>
          <w:tcPr>
            <w:tcW w:w="2199" w:type="dxa"/>
          </w:tcPr>
          <w:p w14:paraId="2384210D"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NS-COX(Ibu.),</w:t>
            </w:r>
          </w:p>
          <w:p w14:paraId="1EF4B123"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COX-2(Rof.)</w:t>
            </w:r>
          </w:p>
        </w:tc>
        <w:tc>
          <w:tcPr>
            <w:tcW w:w="630" w:type="dxa"/>
          </w:tcPr>
          <w:p w14:paraId="2C3C5525"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50,12.5</w:t>
            </w:r>
          </w:p>
        </w:tc>
        <w:tc>
          <w:tcPr>
            <w:tcW w:w="1080" w:type="dxa"/>
          </w:tcPr>
          <w:p w14:paraId="219B4695"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28</w:t>
            </w:r>
          </w:p>
        </w:tc>
        <w:tc>
          <w:tcPr>
            <w:tcW w:w="1260" w:type="dxa"/>
          </w:tcPr>
          <w:p w14:paraId="5CEF894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6C738AF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42, 84</w:t>
            </w:r>
          </w:p>
        </w:tc>
        <w:tc>
          <w:tcPr>
            <w:tcW w:w="1620" w:type="dxa"/>
          </w:tcPr>
          <w:p w14:paraId="27A71BD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Hist.(MT, callus Size, Cartilage)</w:t>
            </w:r>
          </w:p>
        </w:tc>
        <w:tc>
          <w:tcPr>
            <w:tcW w:w="1350" w:type="dxa"/>
          </w:tcPr>
          <w:p w14:paraId="50E304F4"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21,42</w:t>
            </w:r>
          </w:p>
        </w:tc>
      </w:tr>
      <w:tr w:rsidR="003356FE" w:rsidRPr="00324F1B" w14:paraId="66BEC036"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6CD265E4" w14:textId="554CFCEF"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Tiseo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&lt;EndNote&gt;&lt;Cite&gt;&lt;Author&gt;Tiseo&lt;/Author&gt;&lt;Year&gt;2006&lt;/Year&gt;&lt;RecNum&gt;1692&lt;/RecNum&gt;&lt;DisplayText&gt;(39)&lt;/DisplayText&gt;&lt;record&gt;&lt;rec-number&gt;1692&lt;/rec-number&gt;&lt;foreign-keys&gt;&lt;key app="EN" db-id="929z22wv3a2929ettfh529v8fsfd52ax9dsr" timestamp="1476195614"&gt;1692&lt;/key&gt;&lt;key app="ENWeb" db-id=""&gt;0&lt;/key&gt;&lt;/foreign-keys&gt;&lt;ref-type name="Journal Article"&gt;17&lt;/ref-type&gt;&lt;contributors&gt;&lt;authors&gt;&lt;author&gt;Tiseo, B. C.&lt;/author&gt;&lt;author&gt;Namur, G. N.&lt;/author&gt;&lt;author&gt;De Paula, E. J. L.&lt;/author&gt;&lt;author&gt;Mattar Jr, R.&lt;/author&gt;&lt;author&gt;De Oliveira, C. R. G. C. M.&lt;/author&gt;&lt;/authors&gt;&lt;/contributors&gt;&lt;titles&gt;&lt;title&gt;Experimental study of the action of COX-2 selective nonsteroidal anti-inflammatory drugs and traditional anti-inflammatory drugs in bone regeneration&lt;/title&gt;&lt;secondary-title&gt;Clinics&lt;/secondary-title&gt;&lt;/titles&gt;&lt;periodical&gt;&lt;full-title&gt;Clinics&lt;/full-title&gt;&lt;/periodical&gt;&lt;pages&gt;223-230&lt;/pages&gt;&lt;volume&gt;61&lt;/volume&gt;&lt;number&gt;3&lt;/number&gt;&lt;dates&gt;&lt;year&gt;2006&lt;/year&gt;&lt;pub-dates&gt;&lt;date&gt;2006-01-01&lt;/date&gt;&lt;/pub-dates&gt;&lt;/dates&gt;&lt;isbn&gt;1807-5932&lt;/isbn&gt;&lt;label&gt;No effect, include, histology, rofecoxib,rats,SR&lt;/label&gt;&lt;urls&gt;&lt;related-urls&gt;&lt;url&gt;http://www.scielo.br/pdf/clin/v61n3/29970.pdf http://mcgill.on.worldcat.org/atoztitles/link?sid=OVID:embase&amp;amp;id=pmid:16832555&amp;amp;id=doi:10.1590%2FS1807-59322006000300007&amp;amp;issn=1807-5932&amp;amp;isbn=&amp;amp;volume=61&amp;amp;issue=3&amp;amp;spage=223&amp;amp;pages=223-230&amp;amp;date=2006&amp;amp;title=Clinics&amp;amp;atitle=Experimental+study+of+the+action+of+COX-2+selective+nonsteroidal+anti-inflammatory+drugs+and+traditional+anti-inflammatory+drugs+in+bone+regeneration&amp;amp;aulast=Tiseo&lt;/url&gt;&lt;/related-urls&gt;&lt;/urls&gt;&lt;custom1&gt;RAYYAN-INCLUSION: {&amp;quot;Haider&amp;quot;=&amp;gt;true, &amp;quot;sales.anapaula&amp;quot;=&amp;gt;true} | RAYYAN-LABELS: COX-2 inhib,Non selective COX inhib,rats,Duplicate&lt;/custom1&gt;&lt;language&gt;English&lt;/language&gt;&lt;/record&gt;&lt;/Cite&gt;&lt;/EndNote&gt;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(39)</w:t>
            </w:r>
            <w:r w:rsidRPr="009942E0">
              <w:rPr>
                <w:rFonts w:cstheme="minorHAnsi"/>
                <w:color w:val="000000"/>
                <w:sz w:val="18"/>
                <w:szCs w:val="18"/>
              </w:rPr>
              <w:fldChar w:fldCharType="end"/>
            </w:r>
          </w:p>
        </w:tc>
        <w:tc>
          <w:tcPr>
            <w:tcW w:w="720" w:type="dxa"/>
          </w:tcPr>
          <w:p w14:paraId="5E9BDD0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2006</w:t>
            </w:r>
          </w:p>
        </w:tc>
        <w:tc>
          <w:tcPr>
            <w:tcW w:w="990" w:type="dxa"/>
          </w:tcPr>
          <w:p w14:paraId="1C7A4EE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1B3197BC"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51" w:type="dxa"/>
          </w:tcPr>
          <w:p w14:paraId="5896DA64"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341</w:t>
            </w:r>
          </w:p>
        </w:tc>
        <w:tc>
          <w:tcPr>
            <w:tcW w:w="567" w:type="dxa"/>
          </w:tcPr>
          <w:p w14:paraId="2E451907"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83" w:type="dxa"/>
          </w:tcPr>
          <w:p w14:paraId="2BDDEE32"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7C07C70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w:t>
            </w:r>
          </w:p>
          <w:p w14:paraId="516B7A10"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COX-2(Rof.)</w:t>
            </w:r>
          </w:p>
        </w:tc>
        <w:tc>
          <w:tcPr>
            <w:tcW w:w="630" w:type="dxa"/>
          </w:tcPr>
          <w:p w14:paraId="233690E8"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3,1</w:t>
            </w:r>
          </w:p>
        </w:tc>
        <w:tc>
          <w:tcPr>
            <w:tcW w:w="1080" w:type="dxa"/>
          </w:tcPr>
          <w:p w14:paraId="7F61C6A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14,28</w:t>
            </w:r>
          </w:p>
        </w:tc>
        <w:tc>
          <w:tcPr>
            <w:tcW w:w="1260" w:type="dxa"/>
          </w:tcPr>
          <w:p w14:paraId="650E111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67B269E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4295DF3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Hist.(callus area, Bone area,bone new formation area), Radiog.</w:t>
            </w:r>
          </w:p>
        </w:tc>
        <w:tc>
          <w:tcPr>
            <w:tcW w:w="1350" w:type="dxa"/>
          </w:tcPr>
          <w:p w14:paraId="0AA13D71"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14,28</w:t>
            </w:r>
          </w:p>
        </w:tc>
      </w:tr>
      <w:tr w:rsidR="003356FE" w:rsidRPr="00324F1B" w14:paraId="585A4824"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3EE0BF3E" w14:textId="3A30DD57"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Tornkvist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&lt;EndNote&gt;&lt;Cite&gt;&lt;Author&gt;Tornkvist&lt;/Author&gt;&lt;Year&gt;1984&lt;/Year&gt;&lt;RecNum&gt;4391&lt;/RecNum&gt;&lt;DisplayText&gt;(40)&lt;/DisplayText&gt;&lt;record&gt;&lt;rec-number&gt;4391&lt;/rec-number&gt;&lt;foreign-keys&gt;&lt;key app="EN" db-id="929z22wv3a2929ettfh529v8fsfd52ax9dsr" timestamp="1487611093"&gt;4391&lt;/key&gt;&lt;key app="ENWeb" db-id=""&gt;0&lt;/key&gt;&lt;/foreign-keys&gt;&lt;ref-type name="Journal Article"&gt;17&lt;/ref-type&gt;&lt;contributors&gt;&lt;authors&gt;&lt;author&gt;Tornkvist, H.&lt;/author&gt;&lt;author&gt;Stromberg, L.&lt;/author&gt;&lt;author&gt;Lindholm, T. S.&lt;/author&gt;&lt;author&gt;Netz, P.&lt;/author&gt;&lt;author&gt;Lindholm, T. C.&lt;/author&gt;&lt;/authors&gt;&lt;/contributors&gt;&lt;titles&gt;&lt;title&gt;Effect of ibuprofen and indomethacin on bone metabolism reflected in bone strength&lt;/title&gt;&lt;secondary-title&gt;Clinical Orthopaedics &amp;amp; Related Research&lt;/secondary-title&gt;&lt;/titles&gt;&lt;periodical&gt;&lt;full-title&gt;Clinical Orthopaedics &amp;amp; Related Research&lt;/full-title&gt;&lt;abbr-1&gt;Clin Orthop&lt;/abbr-1&gt;&lt;/periodical&gt;&lt;pages&gt;255-9&lt;/pages&gt;&lt;volume&gt;0&lt;/volume&gt;&lt;number&gt;187&lt;/number&gt;&lt;dates&gt;&lt;year&gt;1984&lt;/year&gt;&lt;pub-dates&gt;&lt;date&gt;1984-01-01&lt;/date&gt;&lt;/pub-dates&gt;&lt;/dates&gt;&lt;isbn&gt;0009-921X U2 - PMID: 16980893&lt;/isbn&gt;&lt;urls&gt;&lt;related-urls&gt;&lt;url&gt;http://mcgill.on.worldcat.org/atoztitles/link?sid=OVID:medline&amp;amp;id=pmid:6744727&amp;amp;id=doi:&amp;amp;issn=0009-921X&amp;amp;isbn=&amp;amp;volume=&amp;amp;issue=187&amp;amp;spage=255&amp;amp;pages=255-9&amp;amp;date=1984&amp;amp;title=Clinical+Orthopaedics+%26+Related+Research&amp;amp;atitle=Effect+of+ibuprofen+and+indomethacin+on+bone+metabolism+reflected+in+bone+strength.&amp;amp;aulast=Tornkvist&lt;/url&gt;&lt;/related-urls&gt;&lt;/urls&gt;&lt;custom1&gt;RAYYAN-INCLUSION: {&amp;quot;Haider&amp;quot;=&amp;gt;true, &amp;quot;sales.anapaula&amp;quot;=&amp;gt;true} | RAYYAN-LABELS: rabbits,Non selective COX inhib,Ibuprofen,Duplicate&lt;/custom1&gt;&lt;language&gt;English&lt;/language&gt;&lt;/record&gt;&lt;/Cite&gt;&lt;/EndNote&gt;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(40)</w:t>
            </w:r>
            <w:r w:rsidRPr="009942E0">
              <w:rPr>
                <w:rFonts w:cstheme="minorHAnsi"/>
                <w:color w:val="000000"/>
                <w:sz w:val="18"/>
                <w:szCs w:val="18"/>
              </w:rPr>
              <w:fldChar w:fldCharType="end"/>
            </w:r>
          </w:p>
        </w:tc>
        <w:tc>
          <w:tcPr>
            <w:tcW w:w="720" w:type="dxa"/>
          </w:tcPr>
          <w:p w14:paraId="4F158F61"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1984</w:t>
            </w:r>
          </w:p>
        </w:tc>
        <w:tc>
          <w:tcPr>
            <w:tcW w:w="990" w:type="dxa"/>
          </w:tcPr>
          <w:p w14:paraId="092A5E9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397CC032"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16</w:t>
            </w:r>
          </w:p>
        </w:tc>
        <w:tc>
          <w:tcPr>
            <w:tcW w:w="851" w:type="dxa"/>
          </w:tcPr>
          <w:p w14:paraId="01E60E1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210</w:t>
            </w:r>
          </w:p>
        </w:tc>
        <w:tc>
          <w:tcPr>
            <w:tcW w:w="567" w:type="dxa"/>
          </w:tcPr>
          <w:p w14:paraId="71B8411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883" w:type="dxa"/>
          </w:tcPr>
          <w:p w14:paraId="44A6891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43E637D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NS-COX(Ibu.,Ind.)</w:t>
            </w:r>
          </w:p>
        </w:tc>
        <w:tc>
          <w:tcPr>
            <w:tcW w:w="630" w:type="dxa"/>
          </w:tcPr>
          <w:p w14:paraId="71F9BA1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15,10</w:t>
            </w:r>
          </w:p>
        </w:tc>
        <w:tc>
          <w:tcPr>
            <w:tcW w:w="1080" w:type="dxa"/>
          </w:tcPr>
          <w:p w14:paraId="146566B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56</w:t>
            </w:r>
          </w:p>
        </w:tc>
        <w:tc>
          <w:tcPr>
            <w:tcW w:w="1260" w:type="dxa"/>
          </w:tcPr>
          <w:p w14:paraId="11224A4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w:t>
            </w:r>
          </w:p>
        </w:tc>
        <w:tc>
          <w:tcPr>
            <w:tcW w:w="990" w:type="dxa"/>
          </w:tcPr>
          <w:p w14:paraId="6B8870C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56</w:t>
            </w:r>
          </w:p>
        </w:tc>
        <w:tc>
          <w:tcPr>
            <w:tcW w:w="1620" w:type="dxa"/>
          </w:tcPr>
          <w:p w14:paraId="6C5BDDE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1350" w:type="dxa"/>
          </w:tcPr>
          <w:p w14:paraId="1B5CF61C"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NA</w:t>
            </w:r>
          </w:p>
        </w:tc>
      </w:tr>
      <w:tr w:rsidR="003356FE" w:rsidRPr="00324F1B" w14:paraId="428340CE"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1A8E8138" w14:textId="6A5087E3"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Utvag et al</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&lt;EndNote&gt;&lt;Cite&gt;&lt;Author&gt;Utvag&lt;/Author&gt;&lt;Year&gt;2010&lt;/Year&gt;&lt;RecNum&gt;1622&lt;/RecNum&gt;&lt;DisplayText&gt;(41)&lt;/DisplayText&gt;&lt;record&gt;&lt;rec-number&gt;1622&lt;/rec-number&gt;&lt;foreign-keys&gt;&lt;key app="EN" db-id="929z22wv3a2929ettfh529v8fsfd52ax9dsr" timestamp="1476195595"&gt;1622&lt;/key&gt;&lt;key app="ENWeb" db-id=""&gt;0&lt;/key&gt;&lt;/foreign-keys&gt;&lt;ref-type name="Journal Article"&gt;17&lt;/ref-type&gt;&lt;contributors&gt;&lt;authors&gt;&lt;author&gt;Utvag, S. E.&lt;/author&gt;&lt;author&gt;Fuskevag, O. M.&lt;/author&gt;&lt;author&gt;Shegarfi, H.&lt;/author&gt;&lt;author&gt;Reikeras, O.&lt;/author&gt;&lt;/authors&gt;&lt;/contributors&gt;&lt;titles&gt;&lt;title&gt;Short-term treatment with COX-2 inhibitors does not impair fracture healing&lt;/title&gt;&lt;secondary-title&gt;Journal of Investigative Surgery&lt;/secondary-title&gt;&lt;/titles&gt;&lt;periodical&gt;&lt;full-title&gt;Journal of Investigative Surgery&lt;/full-title&gt;&lt;/periodical&gt;&lt;pages&gt;257-61&lt;/pages&gt;&lt;volume&gt;23&lt;/volume&gt;&lt;number&gt;5&lt;/number&gt;&lt;dates&gt;&lt;year&gt;2010&lt;/year&gt;&lt;pub-dates&gt;&lt;date&gt;2010-01-01&lt;/date&gt;&lt;/pub-dates&gt;&lt;/dates&gt;&lt;isbn&gt;0894-1939&lt;/isbn&gt;&lt;label&gt;No effect, include, rats,histology,mechanical,SR,MA&lt;/label&gt;&lt;urls&gt;&lt;related-urls&gt;&lt;url&gt;http://mcgill.on.worldcat.org/atoztitles/link?sid=OVID:medline&amp;amp;id=pmid:20874480&amp;amp;id=doi:10.3109%2F08941939.2010.481009&amp;amp;issn=0894-1939&amp;amp;isbn=&amp;amp;volume=23&amp;amp;issue=5&amp;amp;spage=257&amp;amp;pages=257-61&amp;amp;date=2010&amp;amp;title=Journal+of+Investigative+Surgery&amp;amp;atitle=Short-term+treatment+with+COX-2+inhibitors+does+not+impair+fracture+healing.&amp;amp;aulast=Utvag&lt;/url&gt;&lt;/related-urls&gt;&lt;/urls&gt;&lt;custom1&gt;RAYYAN-INCLUSION: {&amp;quot;Haider&amp;quot;=&amp;gt;true, &amp;quot;sales.anapaula&amp;quot;=&amp;gt;true} | RAYYAN-LABELS: rats,Non selective COX inhib,COX-2 inhib&lt;/custom1&gt;&lt;language&gt;English&lt;/language&gt;&lt;/record&gt;&lt;/Cite&gt;&lt;/EndNote&gt;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(41)</w:t>
            </w:r>
            <w:r w:rsidRPr="009942E0">
              <w:rPr>
                <w:rFonts w:cstheme="minorHAnsi"/>
                <w:color w:val="000000"/>
                <w:sz w:val="18"/>
                <w:szCs w:val="18"/>
              </w:rPr>
              <w:fldChar w:fldCharType="end"/>
            </w:r>
          </w:p>
        </w:tc>
        <w:tc>
          <w:tcPr>
            <w:tcW w:w="720" w:type="dxa"/>
          </w:tcPr>
          <w:p w14:paraId="680009A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2010</w:t>
            </w:r>
          </w:p>
        </w:tc>
        <w:tc>
          <w:tcPr>
            <w:tcW w:w="990" w:type="dxa"/>
          </w:tcPr>
          <w:p w14:paraId="647F0A02"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78AFCD5C"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113</w:t>
            </w:r>
          </w:p>
        </w:tc>
        <w:tc>
          <w:tcPr>
            <w:tcW w:w="851" w:type="dxa"/>
          </w:tcPr>
          <w:p w14:paraId="0B662C13"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350</w:t>
            </w:r>
          </w:p>
        </w:tc>
        <w:tc>
          <w:tcPr>
            <w:tcW w:w="567" w:type="dxa"/>
          </w:tcPr>
          <w:p w14:paraId="69B58CD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74EA3B26"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58EC0F7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w:t>
            </w:r>
          </w:p>
          <w:p w14:paraId="731A79BC"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COX-2(Par.)</w:t>
            </w:r>
          </w:p>
        </w:tc>
        <w:tc>
          <w:tcPr>
            <w:tcW w:w="630" w:type="dxa"/>
          </w:tcPr>
          <w:p w14:paraId="59BD06E6"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w:t>
            </w:r>
          </w:p>
        </w:tc>
        <w:tc>
          <w:tcPr>
            <w:tcW w:w="1080" w:type="dxa"/>
          </w:tcPr>
          <w:p w14:paraId="43BE8B15"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7</w:t>
            </w:r>
          </w:p>
        </w:tc>
        <w:tc>
          <w:tcPr>
            <w:tcW w:w="1260" w:type="dxa"/>
          </w:tcPr>
          <w:p w14:paraId="7FEA832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3PMB-F,3PMB-Stiff,3PMB-WF</w:t>
            </w:r>
          </w:p>
        </w:tc>
        <w:tc>
          <w:tcPr>
            <w:tcW w:w="990" w:type="dxa"/>
          </w:tcPr>
          <w:p w14:paraId="62B7AB1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30</w:t>
            </w:r>
          </w:p>
        </w:tc>
        <w:tc>
          <w:tcPr>
            <w:tcW w:w="1620" w:type="dxa"/>
          </w:tcPr>
          <w:p w14:paraId="3B2C804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DEXA-BD</w:t>
            </w:r>
          </w:p>
        </w:tc>
        <w:tc>
          <w:tcPr>
            <w:tcW w:w="1350" w:type="dxa"/>
          </w:tcPr>
          <w:p w14:paraId="35421097"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30</w:t>
            </w:r>
          </w:p>
        </w:tc>
      </w:tr>
      <w:tr w:rsidR="003356FE" w:rsidRPr="00324F1B" w14:paraId="718D1DD4"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059F168" w14:textId="56F937D9"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Bissinger et al 2016</w:t>
            </w:r>
            <w:r w:rsidRPr="009942E0">
              <w:rPr>
                <w:rFonts w:cstheme="minorHAnsi"/>
                <w:color w:val="000000"/>
                <w:sz w:val="18"/>
                <w:szCs w:val="18"/>
              </w:rPr>
              <w:fldChar w:fldCharType="begin">
                <w:fldData xml:space="preserve">PEVuZE5vdGU+PENpdGU+PEF1dGhvcj5CaXNzaW5nZXI8L0F1dGhvcj48WWVhcj4yMDE2PC9ZZWFy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</w:fldData>
              </w:fldChar>
            </w:r>
            <w:r w:rsidR="005377C9" w:rsidRPr="009942E0">
              <w:rPr>
                <w:rFonts w:cstheme="minorHAnsi"/>
                <w:b w:val="0"/>
                <w:bCs w:val="0"/>
                <w:color w:val="000000"/>
                <w:sz w:val="18"/>
                <w:szCs w:val="18"/>
              </w:rPr>
              <w:instrText xml:space="preserve"> ADDIN EN.CITE </w:instrText>
            </w:r>
            <w:r w:rsidR="005377C9" w:rsidRPr="009942E0">
              <w:rPr>
                <w:rFonts w:cstheme="minorHAnsi"/>
                <w:color w:val="000000"/>
                <w:sz w:val="18"/>
                <w:szCs w:val="18"/>
              </w:rPr>
              <w:fldChar w:fldCharType="begin">
                <w:fldData xml:space="preserve">PEVuZE5vdGU+PENpdGU+PEF1dGhvcj5CaXNzaW5nZXI8L0F1dGhvcj48WWVhcj4yMDE2PC9ZZWFy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</w:fldData>
              </w:fldChar>
            </w:r>
            <w:r w:rsidR="005377C9" w:rsidRPr="009942E0">
              <w:rPr>
                <w:rFonts w:cstheme="minorHAnsi"/>
                <w:b w:val="0"/>
                <w:bCs w:val="0"/>
                <w:color w:val="000000"/>
                <w:sz w:val="18"/>
                <w:szCs w:val="18"/>
              </w:rPr>
              <w:instrText xml:space="preserve"> ADDIN EN.CITE.DATA </w:instrText>
            </w:r>
            <w:r w:rsidR="005377C9" w:rsidRPr="009942E0">
              <w:rPr>
                <w:rFonts w:cstheme="minorHAnsi"/>
                <w:color w:val="000000"/>
                <w:sz w:val="18"/>
                <w:szCs w:val="18"/>
              </w:rPr>
            </w:r>
            <w:r w:rsidR="005377C9" w:rsidRPr="009942E0">
              <w:rPr>
                <w:rFonts w:cstheme="minorHAnsi"/>
                <w:color w:val="000000"/>
                <w:sz w:val="18"/>
                <w:szCs w:val="18"/>
              </w:rPr>
              <w:fldChar w:fldCharType="end"/>
            </w:r>
            <w:r w:rsidRPr="009942E0">
              <w:rPr>
                <w:rFonts w:cstheme="minorHAnsi"/>
                <w:color w:val="000000"/>
                <w:sz w:val="18"/>
                <w:szCs w:val="18"/>
              </w:rPr>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(42)</w:t>
            </w:r>
            <w:r w:rsidRPr="009942E0">
              <w:rPr>
                <w:rFonts w:cstheme="minorHAnsi"/>
                <w:color w:val="000000"/>
                <w:sz w:val="18"/>
                <w:szCs w:val="18"/>
              </w:rPr>
              <w:fldChar w:fldCharType="end"/>
            </w:r>
          </w:p>
        </w:tc>
        <w:tc>
          <w:tcPr>
            <w:tcW w:w="720" w:type="dxa"/>
          </w:tcPr>
          <w:p w14:paraId="558F0310" w14:textId="77777777" w:rsidR="003356FE" w:rsidRPr="009942E0" w:rsidRDefault="003356FE" w:rsidP="00D341CD">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2016</w:t>
            </w:r>
          </w:p>
        </w:tc>
        <w:tc>
          <w:tcPr>
            <w:tcW w:w="990" w:type="dxa"/>
          </w:tcPr>
          <w:p w14:paraId="6A75664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34E2DB50"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16</w:t>
            </w:r>
          </w:p>
        </w:tc>
        <w:tc>
          <w:tcPr>
            <w:tcW w:w="851" w:type="dxa"/>
          </w:tcPr>
          <w:p w14:paraId="7E045424"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500</w:t>
            </w:r>
          </w:p>
        </w:tc>
        <w:tc>
          <w:tcPr>
            <w:tcW w:w="567" w:type="dxa"/>
          </w:tcPr>
          <w:p w14:paraId="071CDF3E"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79AD123B"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7FA150E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NS-COX(Dicl.)</w:t>
            </w:r>
          </w:p>
        </w:tc>
        <w:tc>
          <w:tcPr>
            <w:tcW w:w="630" w:type="dxa"/>
          </w:tcPr>
          <w:p w14:paraId="6AAA78B9"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5,0.5</w:t>
            </w:r>
          </w:p>
        </w:tc>
        <w:tc>
          <w:tcPr>
            <w:tcW w:w="1080" w:type="dxa"/>
          </w:tcPr>
          <w:p w14:paraId="28E64F50" w14:textId="77777777" w:rsidR="003356FE" w:rsidRPr="009942E0" w:rsidRDefault="003356FE" w:rsidP="00D341CD">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260" w:type="dxa"/>
          </w:tcPr>
          <w:p w14:paraId="267D7E70"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37686861" w14:textId="77777777" w:rsidR="003356FE" w:rsidRPr="009942E0" w:rsidRDefault="003356FE" w:rsidP="00D341CD">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21</w:t>
            </w:r>
          </w:p>
        </w:tc>
        <w:tc>
          <w:tcPr>
            <w:tcW w:w="1620" w:type="dxa"/>
          </w:tcPr>
          <w:p w14:paraId="3B7914F9" w14:textId="5ED1E207" w:rsidR="003356FE" w:rsidRPr="009942E0" w:rsidRDefault="00F16711"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Pr>
                <w:rFonts w:cstheme="minorHAnsi"/>
                <w:color w:val="000000"/>
                <w:sz w:val="18"/>
                <w:szCs w:val="18"/>
              </w:rPr>
              <w:t>µ-</w:t>
            </w:r>
            <w:r w:rsidR="003356FE" w:rsidRPr="009942E0">
              <w:rPr>
                <w:rFonts w:cstheme="minorHAnsi"/>
                <w:color w:val="000000"/>
                <w:sz w:val="18"/>
                <w:szCs w:val="18"/>
              </w:rPr>
              <w:t>CT(BV,TV,BV/TV,T.Th,T.S)</w:t>
            </w:r>
          </w:p>
        </w:tc>
        <w:tc>
          <w:tcPr>
            <w:tcW w:w="1350" w:type="dxa"/>
          </w:tcPr>
          <w:p w14:paraId="2F267617"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21</w:t>
            </w:r>
          </w:p>
        </w:tc>
      </w:tr>
      <w:tr w:rsidR="003356FE" w:rsidRPr="00324F1B" w14:paraId="5E1AAC22"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DBE472D" w14:textId="43D2E7A5"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Bo et al 1976</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&lt;EndNote&gt;&lt;Cite&gt;&lt;Author&gt;Bo&lt;/Author&gt;&lt;Year&gt;1976&lt;/Year&gt;&lt;RecNum&gt;4612&lt;/RecNum&gt;&lt;DisplayText&gt;(43)&lt;/DisplayText&gt;&lt;record&gt;&lt;rec-number&gt;4612&lt;/rec-number&gt;&lt;foreign-keys&gt;&lt;key app="EN" db-id="929z22wv3a2929ettfh529v8fsfd52ax9dsr" timestamp="1499699902"&gt;4612&lt;/key&gt;&lt;key app="ENWeb" db-id=""&gt;0&lt;/key&gt;&lt;/foreign-keys&gt;&lt;ref-type name="Journal Article"&gt;17&lt;/ref-type&gt;&lt;contributors&gt;&lt;authors&gt;&lt;author&gt;Bo, J.&lt;/author&gt;&lt;author&gt;Sudmann, E.&lt;/author&gt;&lt;author&gt;Marton, P. F.&lt;/author&gt;&lt;/authors&gt;&lt;/contributors&gt;&lt;titles&gt;&lt;title&gt;Effect of indomethacin on fracture healing in rats&lt;/title&gt;&lt;secondary-title&gt;Acta Orthop Scand&lt;/secondary-title&gt;&lt;alt-title&gt;Acta orthopaedica Scandinavica&lt;/alt-title&gt;&lt;/titles&gt;&lt;alt-periodical&gt;&lt;full-title&gt;Acta Orthopaedica Scandinavica&lt;/full-title&gt;&lt;/alt-periodical&gt;&lt;pages&gt;588-99&lt;/pages&gt;&lt;volume&gt;47&lt;/volume&gt;&lt;number&gt;6&lt;/number&gt;&lt;edition&gt;1976/12/01&lt;/edition&gt;&lt;keywords&gt;&lt;keyword&gt;Animals&lt;/keyword&gt;&lt;keyword&gt;Bony Callus/*drug effects&lt;/keyword&gt;&lt;keyword&gt;Disease Models, Animal&lt;/keyword&gt;&lt;keyword&gt;Elasticity&lt;/keyword&gt;&lt;keyword&gt;Femoral Fractures/diagnostic imaging/*drug therapy&lt;/keyword&gt;&lt;keyword&gt;Indomethacin/pharmacology/*therapeutic use&lt;/keyword&gt;&lt;keyword&gt;Male&lt;/keyword&gt;&lt;keyword&gt;Radiography&lt;/keyword&gt;&lt;keyword&gt;Rats&lt;/keyword&gt;&lt;keyword&gt;Rats, Inbred Strains&lt;/keyword&gt;&lt;keyword&gt;Tensile Strength/drug effects&lt;/keyword&gt;&lt;keyword&gt;Wound Healing/drug effects&lt;/keyword&gt;&lt;/keywords&gt;&lt;dates&gt;&lt;year&gt;1976&lt;/year&gt;&lt;pub-dates&gt;&lt;date&gt;Dec&lt;/date&gt;&lt;/pub-dates&gt;&lt;/dates&gt;&lt;isbn&gt;0001-6470 (Print)&amp;#xD;0001-6470&lt;/isbn&gt;&lt;accession-num&gt;1015253&lt;/accession-num&gt;&lt;urls&gt;&lt;/urls&gt;&lt;remote-database-provider&gt;NLM&lt;/remote-database-provider&gt;&lt;language&gt;eng&lt;/language&gt;&lt;/record&gt;&lt;/Cite&gt;&lt;/EndNote&gt;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(43)</w:t>
            </w:r>
            <w:r w:rsidRPr="009942E0">
              <w:rPr>
                <w:rFonts w:cstheme="minorHAnsi"/>
                <w:color w:val="000000"/>
                <w:sz w:val="18"/>
                <w:szCs w:val="18"/>
              </w:rPr>
              <w:fldChar w:fldCharType="end"/>
            </w:r>
          </w:p>
        </w:tc>
        <w:tc>
          <w:tcPr>
            <w:tcW w:w="720" w:type="dxa"/>
          </w:tcPr>
          <w:p w14:paraId="17BD5840" w14:textId="77777777" w:rsidR="003356FE" w:rsidRPr="009942E0" w:rsidRDefault="003356FE" w:rsidP="00D341CD">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1976</w:t>
            </w:r>
          </w:p>
        </w:tc>
        <w:tc>
          <w:tcPr>
            <w:tcW w:w="990" w:type="dxa"/>
          </w:tcPr>
          <w:p w14:paraId="55EF4CF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Rats</w:t>
            </w:r>
          </w:p>
        </w:tc>
        <w:tc>
          <w:tcPr>
            <w:tcW w:w="720" w:type="dxa"/>
          </w:tcPr>
          <w:p w14:paraId="58697986"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Adolescent</w:t>
            </w:r>
          </w:p>
        </w:tc>
        <w:tc>
          <w:tcPr>
            <w:tcW w:w="851" w:type="dxa"/>
          </w:tcPr>
          <w:p w14:paraId="6167EDE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187</w:t>
            </w:r>
          </w:p>
        </w:tc>
        <w:tc>
          <w:tcPr>
            <w:tcW w:w="567" w:type="dxa"/>
          </w:tcPr>
          <w:p w14:paraId="6B1FC502"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3CD5E01A"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Femur</w:t>
            </w:r>
          </w:p>
        </w:tc>
        <w:tc>
          <w:tcPr>
            <w:tcW w:w="2199" w:type="dxa"/>
          </w:tcPr>
          <w:p w14:paraId="7403216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w:t>
            </w:r>
          </w:p>
        </w:tc>
        <w:tc>
          <w:tcPr>
            <w:tcW w:w="630" w:type="dxa"/>
          </w:tcPr>
          <w:p w14:paraId="37248192"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w:t>
            </w:r>
          </w:p>
        </w:tc>
        <w:tc>
          <w:tcPr>
            <w:tcW w:w="1080" w:type="dxa"/>
          </w:tcPr>
          <w:p w14:paraId="0E8B9748"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6,9,12,18,24</w:t>
            </w:r>
          </w:p>
        </w:tc>
        <w:tc>
          <w:tcPr>
            <w:tcW w:w="1260" w:type="dxa"/>
          </w:tcPr>
          <w:p w14:paraId="1C376572"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143B9A69"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6,9,12,18,24</w:t>
            </w:r>
          </w:p>
        </w:tc>
        <w:tc>
          <w:tcPr>
            <w:tcW w:w="1620" w:type="dxa"/>
          </w:tcPr>
          <w:p w14:paraId="4D9F795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Hist.(area of mineralization),</w:t>
            </w:r>
          </w:p>
          <w:p w14:paraId="7A00196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lastRenderedPageBreak/>
              <w:t>Plasma level of Indomethacin</w:t>
            </w:r>
          </w:p>
        </w:tc>
        <w:tc>
          <w:tcPr>
            <w:tcW w:w="1350" w:type="dxa"/>
          </w:tcPr>
          <w:p w14:paraId="70DCB50D"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lastRenderedPageBreak/>
              <w:t>21</w:t>
            </w:r>
          </w:p>
        </w:tc>
      </w:tr>
      <w:tr w:rsidR="003356FE" w:rsidRPr="00324F1B" w14:paraId="3C2C54CB"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404A6A4B" w14:textId="58777BE0"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Ochi et al 2011</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&lt;EndNote&gt;&lt;Cite&gt;&lt;Author&gt;Ochi&lt;/Author&gt;&lt;Year&gt;2011&lt;/Year&gt;&lt;RecNum&gt;4186&lt;/RecNum&gt;&lt;DisplayText&gt;(44)&lt;/DisplayText&gt;&lt;record&gt;&lt;rec-number&gt;4186&lt;/rec-number&gt;&lt;foreign-keys&gt;&lt;key app="EN" db-id="929z22wv3a2929ettfh529v8fsfd52ax9dsr" timestamp="1484054649"&gt;4186&lt;/key&gt;&lt;key app="ENWeb" db-id=""&gt;0&lt;/key&gt;&lt;/foreign-keys&gt;&lt;ref-type name="Journal Article"&gt;17&lt;/ref-type&gt;&lt;contributors&gt;&lt;authors&gt;&lt;author&gt;Ochi, H.&lt;/author&gt;&lt;author&gt;Hara, Y.&lt;/author&gt;&lt;author&gt;Asou, Y.&lt;/author&gt;&lt;author&gt;Harada, Y.&lt;/author&gt;&lt;author&gt;Nezu, Y.&lt;/author&gt;&lt;author&gt;Yogo, T.&lt;/author&gt;&lt;author&gt;Shinomiya, K.&lt;/author&gt;&lt;author&gt;Tagawa, M.&lt;/author&gt;&lt;/authors&gt;&lt;/contributors&gt;&lt;titles&gt;&lt;title&gt;Effects of long-term administration of carprofen on healing of a tibial osteotomy in dogs&lt;/title&gt;&lt;secondary-title&gt;American Journal of Veterinary Research&lt;/secondary-title&gt;&lt;/titles&gt;&lt;periodical&gt;&lt;full-title&gt;American Journal of Veterinary Research&lt;/full-title&gt;&lt;/periodical&gt;&lt;pages&gt;634-41&lt;/pages&gt;&lt;volume&gt;72&lt;/volume&gt;&lt;number&gt;5&lt;/number&gt;&lt;dates&gt;&lt;year&gt;2011&lt;/year&gt;&lt;pub-dates&gt;&lt;date&gt;2011-01-01&lt;/date&gt;&lt;/pub-dates&gt;&lt;/dates&gt;&lt;label&gt;Exclude, dogs,animal,complete&lt;/label&gt;&lt;urls&gt;&lt;related-urls&gt;&lt;url&gt;http://mcgill.on.worldcat.org/atoztitles/link?sid=OVID:medline&amp;amp;id=pmid:21529215&amp;amp;id=doi:10.2460%2Fajvr.72.5.634&amp;amp;issn=0002-9645&amp;amp;isbn=&amp;amp;volume=72&amp;amp;issue=5&amp;amp;spage=634&amp;amp;pages=634-41&amp;amp;date=2011&amp;amp;title=American+Journal+of+Veterinary+Research&amp;amp;atitle=Effects+of+long-term+administration+of+carprofen+on+healing+of+a+tibial+osteotomy+in+dogs.&amp;amp;aulast=Ochi&lt;/url&gt;&lt;/related-urls&gt;&lt;/urls&gt;&lt;custom1&gt;RAYYAN-INCLUSION: {&amp;quot;Haider&amp;quot;=&amp;gt;true, &amp;quot;sales.anapaula&amp;quot;=&amp;gt;true} | RAYYAN-LABELS: dogs,Non selective COX inhib,need to read full text&lt;/custom1&gt;&lt;language&gt;English&lt;/language&gt;&lt;/record&gt;&lt;/Cite&gt;&lt;/EndNote&gt;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(44)</w:t>
            </w:r>
            <w:r w:rsidRPr="009942E0">
              <w:rPr>
                <w:rFonts w:cstheme="minorHAnsi"/>
                <w:color w:val="000000"/>
                <w:sz w:val="18"/>
                <w:szCs w:val="18"/>
              </w:rPr>
              <w:fldChar w:fldCharType="end"/>
            </w:r>
          </w:p>
        </w:tc>
        <w:tc>
          <w:tcPr>
            <w:tcW w:w="720" w:type="dxa"/>
          </w:tcPr>
          <w:p w14:paraId="01DCA634" w14:textId="77777777" w:rsidR="003356FE" w:rsidRPr="009942E0" w:rsidRDefault="003356FE" w:rsidP="00D341CD">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2011</w:t>
            </w:r>
          </w:p>
        </w:tc>
        <w:tc>
          <w:tcPr>
            <w:tcW w:w="990" w:type="dxa"/>
          </w:tcPr>
          <w:p w14:paraId="08E0BC0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Dogs</w:t>
            </w:r>
          </w:p>
        </w:tc>
        <w:tc>
          <w:tcPr>
            <w:tcW w:w="720" w:type="dxa"/>
          </w:tcPr>
          <w:p w14:paraId="309A6004"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11m</w:t>
            </w:r>
          </w:p>
        </w:tc>
        <w:tc>
          <w:tcPr>
            <w:tcW w:w="851" w:type="dxa"/>
          </w:tcPr>
          <w:p w14:paraId="2D625382"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567" w:type="dxa"/>
          </w:tcPr>
          <w:p w14:paraId="302A798F"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68861E2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Tibia</w:t>
            </w:r>
          </w:p>
        </w:tc>
        <w:tc>
          <w:tcPr>
            <w:tcW w:w="2199" w:type="dxa"/>
          </w:tcPr>
          <w:p w14:paraId="7C40A7E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NS-COX(Carprofen)</w:t>
            </w:r>
          </w:p>
        </w:tc>
        <w:tc>
          <w:tcPr>
            <w:tcW w:w="630" w:type="dxa"/>
          </w:tcPr>
          <w:p w14:paraId="5775711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2.2</w:t>
            </w:r>
          </w:p>
        </w:tc>
        <w:tc>
          <w:tcPr>
            <w:tcW w:w="1080" w:type="dxa"/>
          </w:tcPr>
          <w:p w14:paraId="4F80D0C8" w14:textId="77777777" w:rsidR="003356FE" w:rsidRPr="009942E0" w:rsidRDefault="003356FE" w:rsidP="00D341CD">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120</w:t>
            </w:r>
          </w:p>
        </w:tc>
        <w:tc>
          <w:tcPr>
            <w:tcW w:w="1260" w:type="dxa"/>
          </w:tcPr>
          <w:p w14:paraId="1BD6566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08BEA8A2" w14:textId="77777777" w:rsidR="003356FE" w:rsidRPr="009942E0" w:rsidRDefault="003356FE" w:rsidP="00D341CD">
            <w:pPr>
              <w:jc w:val="right"/>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120</w:t>
            </w:r>
          </w:p>
        </w:tc>
        <w:tc>
          <w:tcPr>
            <w:tcW w:w="1620" w:type="dxa"/>
          </w:tcPr>
          <w:p w14:paraId="15580D32"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Hist.(callus area,Cartilage),</w:t>
            </w:r>
          </w:p>
          <w:p w14:paraId="6DFEEF6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Radiog.</w:t>
            </w:r>
          </w:p>
        </w:tc>
        <w:tc>
          <w:tcPr>
            <w:tcW w:w="1350" w:type="dxa"/>
          </w:tcPr>
          <w:p w14:paraId="68345EF9"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120</w:t>
            </w:r>
          </w:p>
        </w:tc>
      </w:tr>
      <w:tr w:rsidR="003356FE" w:rsidRPr="00324F1B" w14:paraId="2133CA9E" w14:textId="77777777" w:rsidTr="00F16711">
        <w:trPr>
          <w:trHeight w:val="220"/>
        </w:trPr>
        <w:tc>
          <w:tcPr>
            <w:cnfStyle w:val="001000000000" w:firstRow="0" w:lastRow="0" w:firstColumn="1" w:lastColumn="0" w:oddVBand="0" w:evenVBand="0" w:oddHBand="0" w:evenHBand="0" w:firstRowFirstColumn="0" w:firstRowLastColumn="0" w:lastRowFirstColumn="0" w:lastRowLastColumn="0"/>
            <w:tcW w:w="1705" w:type="dxa"/>
          </w:tcPr>
          <w:p w14:paraId="0BBDBD86" w14:textId="3E323059"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 xml:space="preserve">Karachalios et al </w:t>
            </w:r>
            <w:r w:rsidRPr="009942E0">
              <w:rPr>
                <w:rFonts w:cstheme="minorHAnsi"/>
                <w:color w:val="000000"/>
                <w:sz w:val="18"/>
                <w:szCs w:val="18"/>
              </w:rPr>
              <w:fldChar w:fldCharType="begin">
                <w:fldData xml:space="preserve">PEVuZE5vdGU+PENpdGU+PEF1dGhvcj5LYXJhY2hhbGlvczwvQXV0aG9yPjxZZWFyPjIwMDc8L1ll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</w:fldData>
              </w:fldChar>
            </w:r>
            <w:r w:rsidR="005377C9" w:rsidRPr="009942E0">
              <w:rPr>
                <w:rFonts w:cstheme="minorHAnsi"/>
                <w:b w:val="0"/>
                <w:bCs w:val="0"/>
                <w:color w:val="000000"/>
                <w:sz w:val="18"/>
                <w:szCs w:val="18"/>
              </w:rPr>
              <w:instrText xml:space="preserve"> ADDIN EN.CITE </w:instrText>
            </w:r>
            <w:r w:rsidR="005377C9" w:rsidRPr="009942E0">
              <w:rPr>
                <w:rFonts w:cstheme="minorHAnsi"/>
                <w:color w:val="000000"/>
                <w:sz w:val="18"/>
                <w:szCs w:val="18"/>
              </w:rPr>
              <w:fldChar w:fldCharType="begin">
                <w:fldData xml:space="preserve">PEVuZE5vdGU+PENpdGU+PEF1dGhvcj5LYXJhY2hhbGlvczwvQXV0aG9yPjxZZWFyPjIwMDc8L1ll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</w:fldData>
              </w:fldChar>
            </w:r>
            <w:r w:rsidR="005377C9" w:rsidRPr="009942E0">
              <w:rPr>
                <w:rFonts w:cstheme="minorHAnsi"/>
                <w:b w:val="0"/>
                <w:bCs w:val="0"/>
                <w:color w:val="000000"/>
                <w:sz w:val="18"/>
                <w:szCs w:val="18"/>
              </w:rPr>
              <w:instrText xml:space="preserve"> ADDIN EN.CITE.DATA </w:instrText>
            </w:r>
            <w:r w:rsidR="005377C9" w:rsidRPr="009942E0">
              <w:rPr>
                <w:rFonts w:cstheme="minorHAnsi"/>
                <w:color w:val="000000"/>
                <w:sz w:val="18"/>
                <w:szCs w:val="18"/>
              </w:rPr>
            </w:r>
            <w:r w:rsidR="005377C9" w:rsidRPr="009942E0">
              <w:rPr>
                <w:rFonts w:cstheme="minorHAnsi"/>
                <w:color w:val="000000"/>
                <w:sz w:val="18"/>
                <w:szCs w:val="18"/>
              </w:rPr>
              <w:fldChar w:fldCharType="end"/>
            </w:r>
            <w:r w:rsidRPr="009942E0">
              <w:rPr>
                <w:rFonts w:cstheme="minorHAnsi"/>
                <w:color w:val="000000"/>
                <w:sz w:val="18"/>
                <w:szCs w:val="18"/>
              </w:rPr>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(45)</w:t>
            </w:r>
            <w:r w:rsidRPr="009942E0">
              <w:rPr>
                <w:rFonts w:cstheme="minorHAnsi"/>
                <w:color w:val="000000"/>
                <w:sz w:val="18"/>
                <w:szCs w:val="18"/>
              </w:rPr>
              <w:fldChar w:fldCharType="end"/>
            </w:r>
          </w:p>
        </w:tc>
        <w:tc>
          <w:tcPr>
            <w:tcW w:w="720" w:type="dxa"/>
          </w:tcPr>
          <w:p w14:paraId="091C85FD"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9942E0">
              <w:rPr>
                <w:rFonts w:cstheme="minorHAnsi"/>
                <w:sz w:val="18"/>
                <w:szCs w:val="18"/>
              </w:rPr>
              <w:t>2007</w:t>
            </w:r>
          </w:p>
        </w:tc>
        <w:tc>
          <w:tcPr>
            <w:tcW w:w="990" w:type="dxa"/>
          </w:tcPr>
          <w:p w14:paraId="264CF941"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7202EAE2"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12</w:t>
            </w:r>
          </w:p>
        </w:tc>
        <w:tc>
          <w:tcPr>
            <w:tcW w:w="851" w:type="dxa"/>
          </w:tcPr>
          <w:p w14:paraId="74F9C9BF"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340</w:t>
            </w:r>
          </w:p>
        </w:tc>
        <w:tc>
          <w:tcPr>
            <w:tcW w:w="567" w:type="dxa"/>
          </w:tcPr>
          <w:p w14:paraId="2DBDA916"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M</w:t>
            </w:r>
          </w:p>
        </w:tc>
        <w:tc>
          <w:tcPr>
            <w:tcW w:w="883" w:type="dxa"/>
          </w:tcPr>
          <w:p w14:paraId="600C7ED7"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Ulna</w:t>
            </w:r>
          </w:p>
        </w:tc>
        <w:tc>
          <w:tcPr>
            <w:tcW w:w="2199" w:type="dxa"/>
          </w:tcPr>
          <w:p w14:paraId="5A6AF3BE"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w:t>
            </w:r>
          </w:p>
          <w:p w14:paraId="5415A09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COX-2(Melo.,Rof.)</w:t>
            </w:r>
          </w:p>
        </w:tc>
        <w:tc>
          <w:tcPr>
            <w:tcW w:w="630" w:type="dxa"/>
          </w:tcPr>
          <w:p w14:paraId="5CBF3951" w14:textId="77777777" w:rsidR="003356FE" w:rsidRPr="009942E0" w:rsidRDefault="003356FE" w:rsidP="00D341CD">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2,0.3,0.5,2.5</w:t>
            </w:r>
          </w:p>
        </w:tc>
        <w:tc>
          <w:tcPr>
            <w:tcW w:w="1080" w:type="dxa"/>
          </w:tcPr>
          <w:p w14:paraId="2F06BE8E" w14:textId="77777777" w:rsidR="003356FE" w:rsidRPr="009942E0" w:rsidRDefault="003356FE" w:rsidP="00D341CD">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w:t>
            </w:r>
          </w:p>
        </w:tc>
        <w:tc>
          <w:tcPr>
            <w:tcW w:w="1260" w:type="dxa"/>
          </w:tcPr>
          <w:p w14:paraId="30C9172B"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3PMB-F,3PMB-Stiff.</w:t>
            </w:r>
          </w:p>
        </w:tc>
        <w:tc>
          <w:tcPr>
            <w:tcW w:w="990" w:type="dxa"/>
          </w:tcPr>
          <w:p w14:paraId="2D8A8E56" w14:textId="77777777" w:rsidR="003356FE" w:rsidRPr="009942E0" w:rsidRDefault="003356FE" w:rsidP="00D341CD">
            <w:pPr>
              <w:jc w:val="right"/>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42</w:t>
            </w:r>
          </w:p>
        </w:tc>
        <w:tc>
          <w:tcPr>
            <w:tcW w:w="1620" w:type="dxa"/>
          </w:tcPr>
          <w:p w14:paraId="3783382F" w14:textId="77777777" w:rsidR="003356FE" w:rsidRPr="009942E0" w:rsidRDefault="003356FE" w:rsidP="00D341CD">
            <w:pP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Hist.(histomorphometrics- BC,OCC)</w:t>
            </w:r>
          </w:p>
        </w:tc>
        <w:tc>
          <w:tcPr>
            <w:tcW w:w="1350" w:type="dxa"/>
          </w:tcPr>
          <w:p w14:paraId="400F2CBB" w14:textId="77777777" w:rsidR="003356FE" w:rsidRPr="002C4F47" w:rsidRDefault="003356FE" w:rsidP="00D341C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42</w:t>
            </w:r>
          </w:p>
        </w:tc>
      </w:tr>
      <w:tr w:rsidR="003356FE" w:rsidRPr="00324F1B" w14:paraId="3034BB41" w14:textId="77777777" w:rsidTr="009942E0">
        <w:trPr>
          <w:cnfStyle w:val="000000100000" w:firstRow="0" w:lastRow="0" w:firstColumn="0" w:lastColumn="0" w:oddVBand="0" w:evenVBand="0" w:oddHBand="1" w:evenHBand="0" w:firstRowFirstColumn="0" w:firstRowLastColumn="0" w:lastRowFirstColumn="0" w:lastRowLastColumn="0"/>
          <w:trHeight w:val="220"/>
        </w:trPr>
        <w:tc>
          <w:tcPr>
            <w:cnfStyle w:val="001000000000" w:firstRow="0" w:lastRow="0" w:firstColumn="1" w:lastColumn="0" w:oddVBand="0" w:evenVBand="0" w:oddHBand="0" w:evenHBand="0" w:firstRowFirstColumn="0" w:firstRowLastColumn="0" w:lastRowFirstColumn="0" w:lastRowLastColumn="0"/>
            <w:tcW w:w="1705" w:type="dxa"/>
          </w:tcPr>
          <w:p w14:paraId="5AF0CA37" w14:textId="505BC3A6" w:rsidR="003356FE" w:rsidRPr="009942E0" w:rsidRDefault="003356FE" w:rsidP="00E07C2D">
            <w:pPr>
              <w:rPr>
                <w:rFonts w:cstheme="minorHAnsi"/>
                <w:b w:val="0"/>
                <w:bCs w:val="0"/>
                <w:color w:val="000000"/>
                <w:sz w:val="18"/>
                <w:szCs w:val="18"/>
              </w:rPr>
            </w:pPr>
            <w:r w:rsidRPr="009942E0">
              <w:rPr>
                <w:rFonts w:cstheme="minorHAnsi"/>
                <w:b w:val="0"/>
                <w:bCs w:val="0"/>
                <w:color w:val="000000"/>
                <w:sz w:val="18"/>
                <w:szCs w:val="18"/>
              </w:rPr>
              <w:t>Sudman &amp; Bang</w:t>
            </w:r>
            <w:r w:rsidRPr="009942E0">
              <w:rPr>
                <w:rFonts w:cstheme="minorHAnsi"/>
                <w:color w:val="000000"/>
                <w:sz w:val="18"/>
                <w:szCs w:val="18"/>
              </w:rPr>
              <w:fldChar w:fldCharType="begin"/>
            </w:r>
            <w:r w:rsidR="005377C9" w:rsidRPr="009942E0">
              <w:rPr>
                <w:rFonts w:cstheme="minorHAnsi"/>
                <w:b w:val="0"/>
                <w:bCs w:val="0"/>
                <w:color w:val="000000"/>
                <w:sz w:val="18"/>
                <w:szCs w:val="18"/>
              </w:rPr>
              <w:instrText xml:space="preserve"> ADDIN EN.CITE &lt;EndNote&gt;&lt;Cite&gt;&lt;Author&gt;Sudmann&lt;/Author&gt;&lt;Year&gt;1979&lt;/Year&gt;&lt;RecNum&gt;4613&lt;/RecNum&gt;&lt;DisplayText&gt;(46)&lt;/DisplayText&gt;&lt;record&gt;&lt;rec-number&gt;4613&lt;/rec-number&gt;&lt;foreign-keys&gt;&lt;key app="EN" db-id="929z22wv3a2929ettfh529v8fsfd52ax9dsr" timestamp="1499699905"&gt;4613&lt;/key&gt;&lt;key app="ENWeb" db-id=""&gt;0&lt;/key&gt;&lt;/foreign-keys&gt;&lt;ref-type name="Journal Article"&gt;17&lt;/ref-type&gt;&lt;contributors&gt;&lt;authors&gt;&lt;author&gt;Sudmann, E.&lt;/author&gt;&lt;author&gt;Bang, G.&lt;/author&gt;&lt;/authors&gt;&lt;/contributors&gt;&lt;titles&gt;&lt;title&gt;Indomethacin-induced inhibition of haversian remodelling in rabbits&lt;/title&gt;&lt;secondary-title&gt;Acta Orthop Scand&lt;/secondary-title&gt;&lt;alt-title&gt;Acta orthopaedica Scandinavica&lt;/alt-title&gt;&lt;/titles&gt;&lt;alt-periodical&gt;&lt;full-title&gt;Acta Orthopaedica Scandinavica&lt;/full-title&gt;&lt;/alt-periodical&gt;&lt;pages&gt;621-7&lt;/pages&gt;&lt;volume&gt;50&lt;/volume&gt;&lt;number&gt;6 Pt 1&lt;/number&gt;&lt;edition&gt;1979/12/01&lt;/edition&gt;&lt;keywords&gt;&lt;keyword&gt;Animals&lt;/keyword&gt;&lt;keyword&gt;Bone and Bones/*surgery&lt;/keyword&gt;&lt;keyword&gt;Female&lt;/keyword&gt;&lt;keyword&gt;Haversian System/*physiology&lt;/keyword&gt;&lt;keyword&gt;Indomethacin/blood/*pharmacology&lt;/keyword&gt;&lt;keyword&gt;Microscopy, Fluorescence&lt;/keyword&gt;&lt;keyword&gt;Osteotomy&lt;/keyword&gt;&lt;keyword&gt;Rabbits&lt;/keyword&gt;&lt;keyword&gt;Radius/pathology/physiology&lt;/keyword&gt;&lt;keyword&gt;Ulna/pathology/physiology&lt;/keyword&gt;&lt;keyword&gt;Wound Healing/*drug effects&lt;/keyword&gt;&lt;/keywords&gt;&lt;dates&gt;&lt;year&gt;1979&lt;/year&gt;&lt;pub-dates&gt;&lt;date&gt;Dec&lt;/date&gt;&lt;/pub-dates&gt;&lt;/dates&gt;&lt;isbn&gt;0001-6470 (Print)&amp;#xD;0001-6470&lt;/isbn&gt;&lt;accession-num&gt;532589&lt;/accession-num&gt;&lt;label&gt;Not included in the Meta analysis no MB or Xray&lt;/label&gt;&lt;urls&gt;&lt;/urls&gt;&lt;remote-database-provider&gt;NLM&lt;/remote-database-provider&gt;&lt;language&gt;eng&lt;/language&gt;&lt;/record&gt;&lt;/Cite&gt;&lt;/EndNote&gt;</w:instrText>
            </w:r>
            <w:r w:rsidRPr="009942E0">
              <w:rPr>
                <w:rFonts w:cstheme="minorHAnsi"/>
                <w:color w:val="000000"/>
                <w:sz w:val="18"/>
                <w:szCs w:val="18"/>
              </w:rPr>
              <w:fldChar w:fldCharType="separate"/>
            </w:r>
            <w:r w:rsidR="005377C9" w:rsidRPr="009942E0">
              <w:rPr>
                <w:rFonts w:cstheme="minorHAnsi"/>
                <w:b w:val="0"/>
                <w:bCs w:val="0"/>
                <w:noProof/>
                <w:color w:val="000000"/>
                <w:sz w:val="18"/>
                <w:szCs w:val="18"/>
              </w:rPr>
              <w:t>(46)</w:t>
            </w:r>
            <w:r w:rsidRPr="009942E0">
              <w:rPr>
                <w:rFonts w:cstheme="minorHAnsi"/>
                <w:color w:val="000000"/>
                <w:sz w:val="18"/>
                <w:szCs w:val="18"/>
              </w:rPr>
              <w:fldChar w:fldCharType="end"/>
            </w:r>
          </w:p>
        </w:tc>
        <w:tc>
          <w:tcPr>
            <w:tcW w:w="720" w:type="dxa"/>
          </w:tcPr>
          <w:p w14:paraId="628A905F"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9942E0">
              <w:rPr>
                <w:rFonts w:cstheme="minorHAnsi"/>
                <w:sz w:val="18"/>
                <w:szCs w:val="18"/>
              </w:rPr>
              <w:t>1979</w:t>
            </w:r>
          </w:p>
        </w:tc>
        <w:tc>
          <w:tcPr>
            <w:tcW w:w="990" w:type="dxa"/>
          </w:tcPr>
          <w:p w14:paraId="78D17808"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Rabbit</w:t>
            </w:r>
          </w:p>
        </w:tc>
        <w:tc>
          <w:tcPr>
            <w:tcW w:w="720" w:type="dxa"/>
          </w:tcPr>
          <w:p w14:paraId="16F6BDD9"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18</w:t>
            </w:r>
          </w:p>
        </w:tc>
        <w:tc>
          <w:tcPr>
            <w:tcW w:w="851" w:type="dxa"/>
          </w:tcPr>
          <w:p w14:paraId="12DDF9E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200</w:t>
            </w:r>
          </w:p>
        </w:tc>
        <w:tc>
          <w:tcPr>
            <w:tcW w:w="567" w:type="dxa"/>
          </w:tcPr>
          <w:p w14:paraId="68C83AF3"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F</w:t>
            </w:r>
          </w:p>
        </w:tc>
        <w:tc>
          <w:tcPr>
            <w:tcW w:w="883" w:type="dxa"/>
          </w:tcPr>
          <w:p w14:paraId="648A7309"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Radius</w:t>
            </w:r>
          </w:p>
        </w:tc>
        <w:tc>
          <w:tcPr>
            <w:tcW w:w="2199" w:type="dxa"/>
          </w:tcPr>
          <w:p w14:paraId="2E6C1CA7"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NS-COX(Ind.)</w:t>
            </w:r>
          </w:p>
        </w:tc>
        <w:tc>
          <w:tcPr>
            <w:tcW w:w="630" w:type="dxa"/>
          </w:tcPr>
          <w:p w14:paraId="0493FA3A" w14:textId="77777777" w:rsidR="003356FE" w:rsidRPr="009942E0" w:rsidRDefault="003356FE" w:rsidP="00D341CD">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5,10</w:t>
            </w:r>
          </w:p>
        </w:tc>
        <w:tc>
          <w:tcPr>
            <w:tcW w:w="1080" w:type="dxa"/>
          </w:tcPr>
          <w:p w14:paraId="3BF34874"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14,28</w:t>
            </w:r>
          </w:p>
        </w:tc>
        <w:tc>
          <w:tcPr>
            <w:tcW w:w="1260" w:type="dxa"/>
          </w:tcPr>
          <w:p w14:paraId="7F2F6B9E"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NO</w:t>
            </w:r>
          </w:p>
        </w:tc>
        <w:tc>
          <w:tcPr>
            <w:tcW w:w="990" w:type="dxa"/>
          </w:tcPr>
          <w:p w14:paraId="594098AA"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NA</w:t>
            </w:r>
          </w:p>
        </w:tc>
        <w:tc>
          <w:tcPr>
            <w:tcW w:w="1620" w:type="dxa"/>
          </w:tcPr>
          <w:p w14:paraId="1E2D8CCC" w14:textId="77777777" w:rsidR="003356FE" w:rsidRPr="009942E0" w:rsidRDefault="003356FE" w:rsidP="00D341CD">
            <w:pP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rPr>
            </w:pPr>
            <w:r w:rsidRPr="009942E0">
              <w:rPr>
                <w:rFonts w:cstheme="minorHAnsi"/>
                <w:color w:val="000000"/>
                <w:sz w:val="18"/>
                <w:szCs w:val="18"/>
              </w:rPr>
              <w:t>Hist.(Flourochrom label for harvesian system), Indomethcin Plasma level</w:t>
            </w:r>
          </w:p>
        </w:tc>
        <w:tc>
          <w:tcPr>
            <w:tcW w:w="1350" w:type="dxa"/>
          </w:tcPr>
          <w:p w14:paraId="547F3C2F" w14:textId="77777777" w:rsidR="003356FE" w:rsidRPr="002C4F47" w:rsidRDefault="003356FE" w:rsidP="00D341CD">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18"/>
                <w:szCs w:val="18"/>
              </w:rPr>
            </w:pPr>
            <w:r w:rsidRPr="002C4F47">
              <w:rPr>
                <w:rFonts w:ascii="Times New Roman" w:hAnsi="Times New Roman" w:cs="Times New Roman"/>
                <w:color w:val="000000"/>
                <w:sz w:val="18"/>
                <w:szCs w:val="18"/>
              </w:rPr>
              <w:t>Not Clear</w:t>
            </w:r>
          </w:p>
        </w:tc>
      </w:tr>
    </w:tbl>
    <w:p w14:paraId="720080D4" w14:textId="304AF04A" w:rsidR="00563F77" w:rsidRPr="00F16711" w:rsidRDefault="00F16711" w:rsidP="00F16711">
      <w:pPr>
        <w:jc w:val="both"/>
        <w:rPr>
          <w:rFonts w:asciiTheme="majorBidi" w:hAnsiTheme="majorBidi" w:cstheme="majorBidi"/>
          <w:b/>
          <w:bCs/>
          <w:sz w:val="18"/>
          <w:szCs w:val="18"/>
        </w:rPr>
      </w:pPr>
      <w:r w:rsidRPr="00F16711">
        <w:rPr>
          <w:sz w:val="18"/>
          <w:szCs w:val="18"/>
        </w:rPr>
        <w:t xml:space="preserve">NA-not available; NO-not measured; M-male; F-female; NS-COX-nonselective cyclooxygenase; COX-2-selective cyclooxygenase-2; 3PMB-F-3 points mechanical bending (force to fracture); 3PMB-stiff.- 3 points mechanical bending (stiffness); 3PMB-WF-3 points mechanical bending (work to failure); </w:t>
      </w:r>
      <w:r w:rsidRPr="00F16711">
        <w:rPr>
          <w:rFonts w:cstheme="minorHAnsi"/>
          <w:sz w:val="18"/>
          <w:szCs w:val="18"/>
        </w:rPr>
        <w:t>µ</w:t>
      </w:r>
      <w:r w:rsidRPr="00F16711">
        <w:rPr>
          <w:sz w:val="18"/>
          <w:szCs w:val="18"/>
        </w:rPr>
        <w:t>-CT- micro-computertomographic; MT-mineralized tissue; BV-bone volume; BV/TV-bone volume/ tissue volume; T.Th.-trabeculae thickness; T.Sp-trabeculae space; OSB-osteoblast number; OSC-osteclast number</w:t>
      </w:r>
    </w:p>
    <w:p w14:paraId="0C67BFCE" w14:textId="46E01D71" w:rsidR="00563F77" w:rsidRDefault="00563F77" w:rsidP="00563F77">
      <w:pPr>
        <w:rPr>
          <w:rFonts w:asciiTheme="majorBidi" w:hAnsiTheme="majorBidi" w:cstheme="majorBidi"/>
        </w:rPr>
      </w:pPr>
    </w:p>
    <w:p w14:paraId="08FF34D8" w14:textId="77777777" w:rsidR="00563F77" w:rsidRDefault="00563F77" w:rsidP="00563F77">
      <w:pPr>
        <w:tabs>
          <w:tab w:val="left" w:pos="4399"/>
        </w:tabs>
        <w:rPr>
          <w:rFonts w:asciiTheme="majorBidi" w:hAnsiTheme="majorBidi" w:cstheme="majorBidi"/>
        </w:rPr>
      </w:pPr>
      <w:r>
        <w:rPr>
          <w:rFonts w:asciiTheme="majorBidi" w:hAnsiTheme="majorBidi" w:cstheme="majorBidi"/>
        </w:rPr>
        <w:tab/>
      </w:r>
    </w:p>
    <w:tbl>
      <w:tblPr>
        <w:tblStyle w:val="PlainTable2"/>
        <w:tblpPr w:leftFromText="180" w:rightFromText="180" w:vertAnchor="page" w:horzAnchor="margin" w:tblpXSpec="center" w:tblpY="1879"/>
        <w:tblW w:w="15565" w:type="dxa"/>
        <w:tblLayout w:type="fixed"/>
        <w:tblLook w:val="04A0" w:firstRow="1" w:lastRow="0" w:firstColumn="1" w:lastColumn="0" w:noHBand="0" w:noVBand="1"/>
      </w:tblPr>
      <w:tblGrid>
        <w:gridCol w:w="1705"/>
        <w:gridCol w:w="720"/>
        <w:gridCol w:w="990"/>
        <w:gridCol w:w="720"/>
        <w:gridCol w:w="851"/>
        <w:gridCol w:w="567"/>
        <w:gridCol w:w="883"/>
        <w:gridCol w:w="2199"/>
        <w:gridCol w:w="630"/>
        <w:gridCol w:w="1080"/>
        <w:gridCol w:w="1260"/>
        <w:gridCol w:w="990"/>
        <w:gridCol w:w="1620"/>
        <w:gridCol w:w="1350"/>
      </w:tblGrid>
      <w:tr w:rsidR="00563F77" w:rsidRPr="00B773EF" w14:paraId="30C73575" w14:textId="77777777" w:rsidTr="009942E0">
        <w:trPr>
          <w:cnfStyle w:val="100000000000" w:firstRow="1" w:lastRow="0" w:firstColumn="0" w:lastColumn="0" w:oddVBand="0" w:evenVBand="0" w:oddHBand="0" w:evenHBand="0" w:firstRowFirstColumn="0" w:firstRowLastColumn="0" w:lastRowFirstColumn="0" w:lastRowLastColumn="0"/>
          <w:trHeight w:val="744"/>
        </w:trPr>
        <w:tc>
          <w:tcPr>
            <w:cnfStyle w:val="001000000000" w:firstRow="0" w:lastRow="0" w:firstColumn="1" w:lastColumn="0" w:oddVBand="0" w:evenVBand="0" w:oddHBand="0" w:evenHBand="0" w:firstRowFirstColumn="0" w:firstRowLastColumn="0" w:lastRowFirstColumn="0" w:lastRowLastColumn="0"/>
            <w:tcW w:w="1705" w:type="dxa"/>
          </w:tcPr>
          <w:p w14:paraId="419AF665" w14:textId="3CBF005D" w:rsidR="00563F77" w:rsidRPr="002C4F47" w:rsidRDefault="00563F77" w:rsidP="00D341CD">
            <w:pPr>
              <w:rPr>
                <w:rFonts w:asciiTheme="majorBidi" w:hAnsiTheme="majorBidi" w:cstheme="majorBidi"/>
                <w:sz w:val="20"/>
                <w:szCs w:val="20"/>
              </w:rPr>
            </w:pPr>
          </w:p>
        </w:tc>
        <w:tc>
          <w:tcPr>
            <w:tcW w:w="720" w:type="dxa"/>
          </w:tcPr>
          <w:p w14:paraId="70EB55CF" w14:textId="4D39C81E"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990" w:type="dxa"/>
          </w:tcPr>
          <w:p w14:paraId="0F47CD3B" w14:textId="5DD84772"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720" w:type="dxa"/>
          </w:tcPr>
          <w:p w14:paraId="5098FA9E" w14:textId="02B466CC" w:rsidR="00563F77" w:rsidRPr="002C4F47" w:rsidRDefault="00563F77" w:rsidP="00D341CD">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851" w:type="dxa"/>
          </w:tcPr>
          <w:p w14:paraId="17D3635B" w14:textId="6BA3B71B"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567" w:type="dxa"/>
          </w:tcPr>
          <w:p w14:paraId="23975960" w14:textId="1E743862"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883" w:type="dxa"/>
          </w:tcPr>
          <w:p w14:paraId="004C7E03" w14:textId="0501505A"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2199" w:type="dxa"/>
          </w:tcPr>
          <w:p w14:paraId="118AED2B" w14:textId="6F575914"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630" w:type="dxa"/>
          </w:tcPr>
          <w:p w14:paraId="19B94751" w14:textId="557B1EBF"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080" w:type="dxa"/>
          </w:tcPr>
          <w:p w14:paraId="73F1B536" w14:textId="772EB24D"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260" w:type="dxa"/>
          </w:tcPr>
          <w:p w14:paraId="1AC1D342" w14:textId="69DA4FA7"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990" w:type="dxa"/>
          </w:tcPr>
          <w:p w14:paraId="18D25396" w14:textId="3257B57D"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620" w:type="dxa"/>
          </w:tcPr>
          <w:p w14:paraId="57DD5557" w14:textId="2B994779"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c>
          <w:tcPr>
            <w:tcW w:w="1350" w:type="dxa"/>
          </w:tcPr>
          <w:p w14:paraId="1EBF6D0C" w14:textId="306EF427" w:rsidR="00563F77" w:rsidRPr="002C4F47" w:rsidRDefault="00563F77" w:rsidP="00D341CD">
            <w:pP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20"/>
                <w:szCs w:val="20"/>
              </w:rPr>
            </w:pPr>
          </w:p>
        </w:tc>
      </w:tr>
    </w:tbl>
    <w:p w14:paraId="1ED66048" w14:textId="3857525B" w:rsidR="00563F77" w:rsidRDefault="00563F77" w:rsidP="00563F77">
      <w:pPr>
        <w:tabs>
          <w:tab w:val="left" w:pos="4399"/>
        </w:tabs>
        <w:rPr>
          <w:rFonts w:asciiTheme="majorBidi" w:hAnsiTheme="majorBidi" w:cstheme="majorBidi"/>
        </w:rPr>
      </w:pPr>
    </w:p>
    <w:p w14:paraId="0BEE1032" w14:textId="46F0186B" w:rsidR="003356FE" w:rsidRPr="00563F77" w:rsidRDefault="00563F77" w:rsidP="00563F77">
      <w:pPr>
        <w:tabs>
          <w:tab w:val="left" w:pos="4399"/>
        </w:tabs>
        <w:rPr>
          <w:rFonts w:asciiTheme="majorBidi" w:hAnsiTheme="majorBidi" w:cstheme="majorBidi"/>
        </w:rPr>
        <w:sectPr w:rsidR="003356FE" w:rsidRPr="00563F77" w:rsidSect="003356FE">
          <w:pgSz w:w="15840" w:h="12240" w:orient="landscape"/>
          <w:pgMar w:top="1440" w:right="1440" w:bottom="1440" w:left="1440" w:header="708" w:footer="708" w:gutter="0"/>
          <w:cols w:space="708"/>
          <w:docGrid w:linePitch="360"/>
        </w:sectPr>
      </w:pPr>
      <w:r>
        <w:rPr>
          <w:rFonts w:asciiTheme="majorBidi" w:hAnsiTheme="majorBidi" w:cstheme="majorBidi"/>
        </w:rPr>
        <w:tab/>
      </w:r>
    </w:p>
    <w:p w14:paraId="437DDC87" w14:textId="7F4CA7FF" w:rsidR="003356FE" w:rsidRDefault="004A2C24" w:rsidP="00B52FB7">
      <w:r>
        <w:lastRenderedPageBreak/>
        <w:t>References</w:t>
      </w:r>
    </w:p>
    <w:p w14:paraId="6DB437E4" w14:textId="77777777" w:rsidR="005377C9" w:rsidRPr="005377C9" w:rsidRDefault="003356FE" w:rsidP="005377C9">
      <w:pPr>
        <w:pStyle w:val="EndNoteBibliography"/>
        <w:spacing w:after="0"/>
      </w:pPr>
      <w:r>
        <w:fldChar w:fldCharType="begin"/>
      </w:r>
      <w:r>
        <w:instrText xml:space="preserve"> ADDIN EN.REFLIST </w:instrText>
      </w:r>
      <w:r>
        <w:fldChar w:fldCharType="separate"/>
      </w:r>
      <w:r w:rsidR="005377C9" w:rsidRPr="005377C9">
        <w:t>1.</w:t>
      </w:r>
      <w:r w:rsidR="005377C9" w:rsidRPr="005377C9">
        <w:tab/>
        <w:t>Hooijmans CR, Rovers MM, de Vries RB, Leenaars M, Ritskes-Hoitinga M, Langendam MW. SYRCLE's risk of bias tool for animal studies. BMC medical research methodology. 2014;14:43.</w:t>
      </w:r>
    </w:p>
    <w:p w14:paraId="1608DEE2" w14:textId="77777777" w:rsidR="005377C9" w:rsidRPr="005377C9" w:rsidRDefault="005377C9" w:rsidP="005377C9">
      <w:pPr>
        <w:pStyle w:val="EndNoteBibliography"/>
        <w:spacing w:after="0"/>
      </w:pPr>
      <w:r w:rsidRPr="005377C9">
        <w:t>2.</w:t>
      </w:r>
      <w:r w:rsidRPr="005377C9">
        <w:tab/>
        <w:t>Akman Ş, Gögüs A, Sener N, Bilgiç B, Aksoy B, Seckin F. Effect of diclofenac sodium on union of tibial fractures in rats. Advances in Therapy. 2002;19(3):119-25.</w:t>
      </w:r>
    </w:p>
    <w:p w14:paraId="1172A4FB" w14:textId="77777777" w:rsidR="005377C9" w:rsidRPr="005377C9" w:rsidRDefault="005377C9" w:rsidP="005377C9">
      <w:pPr>
        <w:pStyle w:val="EndNoteBibliography"/>
        <w:spacing w:after="0"/>
      </w:pPr>
      <w:r w:rsidRPr="005377C9">
        <w:t>3.</w:t>
      </w:r>
      <w:r w:rsidRPr="005377C9">
        <w:tab/>
        <w:t>Allen HL, Wase A, Bear WT. Indomethacin and aspirin: effect of nonsteroidal anti-inflammatory agents on the rate of fracture repair in the rat. Acta Orthopaedica Scandinavica. 1980;51(4):595-600.</w:t>
      </w:r>
    </w:p>
    <w:p w14:paraId="2985F4FC" w14:textId="77777777" w:rsidR="005377C9" w:rsidRPr="005377C9" w:rsidRDefault="005377C9" w:rsidP="005377C9">
      <w:pPr>
        <w:pStyle w:val="EndNoteBibliography"/>
        <w:spacing w:after="0"/>
      </w:pPr>
      <w:r w:rsidRPr="005377C9">
        <w:t>4.</w:t>
      </w:r>
      <w:r w:rsidRPr="005377C9">
        <w:tab/>
        <w:t>Altman RD, Latta LL, Keer R, Renfree K, Hornicek FJ, Banovac K. Effect of nonsteroidal antiinflammatory drugs on fracture healing: a laboratory study in rats. Journal of Orthopaedic Trauma. 1995;9(5):392-400.</w:t>
      </w:r>
    </w:p>
    <w:p w14:paraId="4B9F1D83" w14:textId="77777777" w:rsidR="005377C9" w:rsidRPr="005377C9" w:rsidRDefault="005377C9" w:rsidP="005377C9">
      <w:pPr>
        <w:pStyle w:val="EndNoteBibliography"/>
        <w:spacing w:after="0"/>
      </w:pPr>
      <w:r w:rsidRPr="005377C9">
        <w:t>5.</w:t>
      </w:r>
      <w:r w:rsidRPr="005377C9">
        <w:tab/>
        <w:t>Beck A, Krischak G, Sorg T, Augat P, Farker K, Merkel U, et al. Influence of diclofenac (group of nonsteroidal anti-inflammatory drugs) on fracture healing. Archives of Orthopaedic &amp; Trauma Surgery. 2003;123(7):327-32.</w:t>
      </w:r>
    </w:p>
    <w:p w14:paraId="4F69CEB9" w14:textId="77777777" w:rsidR="005377C9" w:rsidRPr="005377C9" w:rsidRDefault="005377C9" w:rsidP="005377C9">
      <w:pPr>
        <w:pStyle w:val="EndNoteBibliography"/>
        <w:spacing w:after="0"/>
      </w:pPr>
      <w:r w:rsidRPr="005377C9">
        <w:t>6.</w:t>
      </w:r>
      <w:r w:rsidRPr="005377C9">
        <w:tab/>
        <w:t>Bergenstock M, Min W, Simon AM, Sabatino C, O'Connor JP. A comparison between the effects of acetaminophen and celecoxib on bone fracture healing rats. Journal of Orthopaedic Trauma. 2005;19(10):717-23.</w:t>
      </w:r>
    </w:p>
    <w:p w14:paraId="30FF65AA" w14:textId="77777777" w:rsidR="005377C9" w:rsidRPr="005377C9" w:rsidRDefault="005377C9" w:rsidP="005377C9">
      <w:pPr>
        <w:pStyle w:val="EndNoteBibliography"/>
        <w:spacing w:after="0"/>
      </w:pPr>
      <w:r w:rsidRPr="005377C9">
        <w:t>7.</w:t>
      </w:r>
      <w:r w:rsidRPr="005377C9">
        <w:tab/>
        <w:t>Brown KM, Saunders MM, Kirsch T, Donahue HJ, Reid JS. Effect of COX-2-specific inhibition on fracture-healing in the rat femur. Journal of Bone &amp; Joint Surgery - American Volume. 2004;86(1):116-23.</w:t>
      </w:r>
    </w:p>
    <w:p w14:paraId="07AA1CD6" w14:textId="77777777" w:rsidR="005377C9" w:rsidRPr="005377C9" w:rsidRDefault="005377C9" w:rsidP="005377C9">
      <w:pPr>
        <w:pStyle w:val="EndNoteBibliography"/>
        <w:spacing w:after="0"/>
      </w:pPr>
      <w:r w:rsidRPr="005377C9">
        <w:t>8.</w:t>
      </w:r>
      <w:r w:rsidRPr="005377C9">
        <w:tab/>
        <w:t>Cappello T, Nuelle JAV, Katsantonis N, Nauer RK, Lauing KL, Jagodzinski JE, et al. Ketorolac administration does not delay early fracture healing in a juvenile rat model: A pilot study. Journal of Pediatric Orthopaedics. 2013;33(4):415-21.</w:t>
      </w:r>
    </w:p>
    <w:p w14:paraId="47D026F0" w14:textId="77777777" w:rsidR="005377C9" w:rsidRPr="005377C9" w:rsidRDefault="005377C9" w:rsidP="005377C9">
      <w:pPr>
        <w:pStyle w:val="EndNoteBibliography"/>
        <w:spacing w:after="0"/>
      </w:pPr>
      <w:r w:rsidRPr="005377C9">
        <w:t>9.</w:t>
      </w:r>
      <w:r w:rsidRPr="005377C9">
        <w:tab/>
        <w:t>Dimmen S, Nordsletten L, Engebretsen L, Steen H, Madsen JE. Negative effect of parecoxib on bone mineral during fracture healing in rats. Acta Orthopaedica. 2008;79(3):438-44.</w:t>
      </w:r>
    </w:p>
    <w:p w14:paraId="20FE5BBB" w14:textId="77777777" w:rsidR="005377C9" w:rsidRPr="005377C9" w:rsidRDefault="005377C9" w:rsidP="005377C9">
      <w:pPr>
        <w:pStyle w:val="EndNoteBibliography"/>
        <w:spacing w:after="0"/>
      </w:pPr>
      <w:r w:rsidRPr="005377C9">
        <w:t>10.</w:t>
      </w:r>
      <w:r w:rsidRPr="005377C9">
        <w:tab/>
        <w:t>Dimmen S, Nordsletten L, Madsen JE. Parecoxib and indomethacin delay early fracture healing: a study in rats. Clin Orthop. 2009;467(8):1992-9.</w:t>
      </w:r>
    </w:p>
    <w:p w14:paraId="20777DC5" w14:textId="77777777" w:rsidR="005377C9" w:rsidRPr="005377C9" w:rsidRDefault="005377C9" w:rsidP="005377C9">
      <w:pPr>
        <w:pStyle w:val="EndNoteBibliography"/>
        <w:spacing w:after="0"/>
      </w:pPr>
      <w:r w:rsidRPr="005377C9">
        <w:t>11.</w:t>
      </w:r>
      <w:r w:rsidRPr="005377C9">
        <w:tab/>
        <w:t>Donovan M, George M, Petersen E, Fredericks D, Femino JE, Lack WD, et al. Effect of aspirin on bone healing in a rabbit ulnar osteotomy model. Journal of Bone &amp; Joint Surgery - American Volume. 2013;95(6):488-96.</w:t>
      </w:r>
    </w:p>
    <w:p w14:paraId="2C5CE8BF" w14:textId="77777777" w:rsidR="005377C9" w:rsidRPr="005377C9" w:rsidRDefault="005377C9" w:rsidP="005377C9">
      <w:pPr>
        <w:pStyle w:val="EndNoteBibliography"/>
        <w:spacing w:after="0"/>
      </w:pPr>
      <w:r w:rsidRPr="005377C9">
        <w:t>12.</w:t>
      </w:r>
      <w:r w:rsidRPr="005377C9">
        <w:tab/>
        <w:t>Dorey FJ, Kody MH, Kabo JM, More RC, Meals RA. The effects of two nonsteroidal antiinflammatory drugs on limb swelling, joint stiffness, and bone torsional strength following fracture in a rabbit model. Clin Orthop. 1989;0(247):306-12.</w:t>
      </w:r>
    </w:p>
    <w:p w14:paraId="50A3E373" w14:textId="77777777" w:rsidR="005377C9" w:rsidRPr="005377C9" w:rsidRDefault="005377C9" w:rsidP="005377C9">
      <w:pPr>
        <w:pStyle w:val="EndNoteBibliography"/>
        <w:spacing w:after="0"/>
      </w:pPr>
      <w:r w:rsidRPr="005377C9">
        <w:t>13.</w:t>
      </w:r>
      <w:r w:rsidRPr="005377C9">
        <w:tab/>
        <w:t>Endo K, Sairyo K, Komatsubara S, Sasa T, Egawa H, Ogawa T, et al. Cyclooxygenase-2 inhibitor delays fracture healing in rats. Acta Orthopaedica. 2005;76(4):470-4.</w:t>
      </w:r>
    </w:p>
    <w:p w14:paraId="1782E5F0" w14:textId="77777777" w:rsidR="005377C9" w:rsidRPr="005377C9" w:rsidRDefault="005377C9" w:rsidP="005377C9">
      <w:pPr>
        <w:pStyle w:val="EndNoteBibliography"/>
        <w:spacing w:after="0"/>
      </w:pPr>
      <w:r w:rsidRPr="005377C9">
        <w:t>14.</w:t>
      </w:r>
      <w:r w:rsidRPr="005377C9">
        <w:tab/>
        <w:t>Endo K, Sairyo K, Komatsubara S, Sasa T, Egawa H, Yonekura D, et al. Cyclooxygenase-2 inhibitor inhibits the fracture healing. Journal of Physiological Anthropology &amp; Applied Human Science. 2002;21(5):235-8.</w:t>
      </w:r>
    </w:p>
    <w:p w14:paraId="155D3724" w14:textId="77777777" w:rsidR="005377C9" w:rsidRPr="005377C9" w:rsidRDefault="005377C9" w:rsidP="005377C9">
      <w:pPr>
        <w:pStyle w:val="EndNoteBibliography"/>
        <w:spacing w:after="0"/>
      </w:pPr>
      <w:r w:rsidRPr="005377C9">
        <w:t>15.</w:t>
      </w:r>
      <w:r w:rsidRPr="005377C9">
        <w:tab/>
        <w:t>Gerstenfeld LC, Al-Ghawas M, Alkhiary YM, Cullinane DM, Krall EA, Fitch JL, et al. Selective and nonselective cyclooxygenase-2 inhibitors and experimental fracture-healing. Reversibility of effects after short-term treatment. Journal of Bone &amp; Joint Surgery, American Volume. 2007;89(1):114-25.</w:t>
      </w:r>
    </w:p>
    <w:p w14:paraId="35741CC6" w14:textId="77777777" w:rsidR="005377C9" w:rsidRPr="005377C9" w:rsidRDefault="005377C9" w:rsidP="005377C9">
      <w:pPr>
        <w:pStyle w:val="EndNoteBibliography"/>
        <w:spacing w:after="0"/>
      </w:pPr>
      <w:r w:rsidRPr="005377C9">
        <w:t>16.</w:t>
      </w:r>
      <w:r w:rsidRPr="005377C9">
        <w:tab/>
        <w:t>Gerstenfeld LC, Thiede M, Siebert K, Mielke C, Phippard D, Svagr B, et al. Differential inhibition of fracture healing by non-selective and cyclooxygenase-2 selective non-steroidal anti-inflammatory drugs. Journal of Orthopaedic Research. 2003;21(4):670-5.</w:t>
      </w:r>
    </w:p>
    <w:p w14:paraId="5ECEBD20" w14:textId="77777777" w:rsidR="005377C9" w:rsidRPr="005377C9" w:rsidRDefault="005377C9" w:rsidP="005377C9">
      <w:pPr>
        <w:pStyle w:val="EndNoteBibliography"/>
        <w:spacing w:after="0"/>
      </w:pPr>
      <w:r w:rsidRPr="005377C9">
        <w:t>17.</w:t>
      </w:r>
      <w:r w:rsidRPr="005377C9">
        <w:tab/>
        <w:t>Giordano V, Giordano M, Knackfuss IG, Apfel MIR, Gomes RDC. Effect of tenoxicam on fracture healing in rat tibiae. Injury. 2003;34(2):85-94.</w:t>
      </w:r>
    </w:p>
    <w:p w14:paraId="3299F8D3" w14:textId="77777777" w:rsidR="005377C9" w:rsidRPr="005377C9" w:rsidRDefault="005377C9" w:rsidP="005377C9">
      <w:pPr>
        <w:pStyle w:val="EndNoteBibliography"/>
        <w:spacing w:after="0"/>
      </w:pPr>
      <w:r w:rsidRPr="005377C9">
        <w:t>18.</w:t>
      </w:r>
      <w:r w:rsidRPr="005377C9">
        <w:tab/>
        <w:t>Hak DJ, Schulz KS, Khoie B, Hazelwood SJ. The effect of Cox-2 specific inhibition on direct fracture healing in the rabbit tibia. Journal of Orthopaedic Science. 2011;16(1):93-8.</w:t>
      </w:r>
    </w:p>
    <w:p w14:paraId="1538B457" w14:textId="77777777" w:rsidR="005377C9" w:rsidRPr="005377C9" w:rsidRDefault="005377C9" w:rsidP="005377C9">
      <w:pPr>
        <w:pStyle w:val="EndNoteBibliography"/>
        <w:spacing w:after="0"/>
      </w:pPr>
      <w:r w:rsidRPr="005377C9">
        <w:lastRenderedPageBreak/>
        <w:t>19.</w:t>
      </w:r>
      <w:r w:rsidRPr="005377C9">
        <w:tab/>
        <w:t>Herbenick MA, Sprott D, Stills H, Lawless M. Effects of a cyclooxygenase 2 inhibitor on fracture healing in a rat model. American Journal of Orthopedics (Chatham, Nj). 2008;37(7):E133-7.</w:t>
      </w:r>
    </w:p>
    <w:p w14:paraId="182A52FA" w14:textId="77777777" w:rsidR="005377C9" w:rsidRPr="005377C9" w:rsidRDefault="005377C9" w:rsidP="005377C9">
      <w:pPr>
        <w:pStyle w:val="EndNoteBibliography"/>
        <w:spacing w:after="0"/>
      </w:pPr>
      <w:r w:rsidRPr="005377C9">
        <w:t>20.</w:t>
      </w:r>
      <w:r w:rsidRPr="005377C9">
        <w:tab/>
        <w:t>Hogevold HE, Grogaard B, Reikeras O. Effects of short-term treatment with corticosteroids and indomethacin on bone healing. A mechanical study of osteotomies in rats. Acta Orthopaedica Scandinavica. 1992;63(6):607-11.</w:t>
      </w:r>
    </w:p>
    <w:p w14:paraId="3B0DD58F" w14:textId="77777777" w:rsidR="005377C9" w:rsidRPr="005377C9" w:rsidRDefault="005377C9" w:rsidP="005377C9">
      <w:pPr>
        <w:pStyle w:val="EndNoteBibliography"/>
        <w:spacing w:after="0"/>
      </w:pPr>
      <w:r w:rsidRPr="005377C9">
        <w:t>21.</w:t>
      </w:r>
      <w:r w:rsidRPr="005377C9">
        <w:tab/>
        <w:t>Huo MH, Troiano NW, Pelker RR, Gundberg CM, Friedlaender GE. The influence of ibuprofen on fracture repair: biomechanical, biochemical, histologic, and histomorphometric parameters in rats. Journal of Orthopaedic Research. 1991;9(3):383-90.</w:t>
      </w:r>
    </w:p>
    <w:p w14:paraId="461A916D" w14:textId="77777777" w:rsidR="005377C9" w:rsidRPr="005377C9" w:rsidRDefault="005377C9" w:rsidP="005377C9">
      <w:pPr>
        <w:pStyle w:val="EndNoteBibliography"/>
        <w:spacing w:after="0"/>
      </w:pPr>
      <w:r w:rsidRPr="005377C9">
        <w:t>22.</w:t>
      </w:r>
      <w:r w:rsidRPr="005377C9">
        <w:tab/>
        <w:t>Inal S, Kabay S, Cayci MK, Kuru HI, Altikat S, Akkas G, et al. Comparison of the effects of dexketoprofen trometamol, meloxicam and diclofenac sodium on fibular fracture healing, kidney and liver: an experimental rat model. Injury. 2014;45(3):494-500.</w:t>
      </w:r>
    </w:p>
    <w:p w14:paraId="1F80D309" w14:textId="77777777" w:rsidR="005377C9" w:rsidRPr="005377C9" w:rsidRDefault="005377C9" w:rsidP="005377C9">
      <w:pPr>
        <w:pStyle w:val="EndNoteBibliography"/>
        <w:spacing w:after="0"/>
      </w:pPr>
      <w:r w:rsidRPr="005377C9">
        <w:t>23.</w:t>
      </w:r>
      <w:r w:rsidRPr="005377C9">
        <w:tab/>
        <w:t>Keller J, Bak B, Bunger C, Lucht U, Andreassen TT. Bone repair inhibited by indomethacin. Effects on bone metabolism and strength of rabbit osteotomies. Acta Orthopaedica Scandinavica. 1987;58(4):379-83.</w:t>
      </w:r>
    </w:p>
    <w:p w14:paraId="14BFE3FA" w14:textId="77777777" w:rsidR="005377C9" w:rsidRPr="005377C9" w:rsidRDefault="005377C9" w:rsidP="005377C9">
      <w:pPr>
        <w:pStyle w:val="EndNoteBibliography"/>
        <w:spacing w:after="0"/>
      </w:pPr>
      <w:r w:rsidRPr="005377C9">
        <w:t>24.</w:t>
      </w:r>
      <w:r w:rsidRPr="005377C9">
        <w:tab/>
        <w:t>Krischak GD, Augat P, Blakytny R, Claes L, Kinzl L, Beck A. The non-steroidal anti-inflammatory drug diclofenac reduces appearance of osteoblasts in bone defect healing in rats. Archives of Orthopaedic &amp; Trauma Surgery. 2007;127(6):453-8.</w:t>
      </w:r>
    </w:p>
    <w:p w14:paraId="6B05A020" w14:textId="77777777" w:rsidR="005377C9" w:rsidRPr="005377C9" w:rsidRDefault="005377C9" w:rsidP="005377C9">
      <w:pPr>
        <w:pStyle w:val="EndNoteBibliography"/>
        <w:spacing w:after="0"/>
      </w:pPr>
      <w:r w:rsidRPr="005377C9">
        <w:t>25.</w:t>
      </w:r>
      <w:r w:rsidRPr="005377C9">
        <w:tab/>
        <w:t>Krischak GD, Augat P, Sorg T, Blakytny R, Kinzl L, Claes L, et al. Effects of diclofenac on periosteal callus maturation in osteotomy healing in an animal model. Archives of Orthopaedic &amp; Trauma Surgery. 2007;127(1):3-9.</w:t>
      </w:r>
    </w:p>
    <w:p w14:paraId="2C07D20B" w14:textId="77777777" w:rsidR="005377C9" w:rsidRPr="005377C9" w:rsidRDefault="005377C9" w:rsidP="005377C9">
      <w:pPr>
        <w:pStyle w:val="EndNoteBibliography"/>
        <w:spacing w:after="0"/>
      </w:pPr>
      <w:r w:rsidRPr="005377C9">
        <w:t>26.</w:t>
      </w:r>
      <w:r w:rsidRPr="005377C9">
        <w:tab/>
        <w:t>Li K-H, Cheng L, Zhu Y, Deng G-B, Long H-T. Effects of a selective cyclooxygenase-2 inhibitor (celecoxib) on fracture healing in rats. Indian Journal of Orthopaedics. 2013;47(4):395-401.</w:t>
      </w:r>
    </w:p>
    <w:p w14:paraId="47F8BE15" w14:textId="77777777" w:rsidR="005377C9" w:rsidRPr="005377C9" w:rsidRDefault="005377C9" w:rsidP="005377C9">
      <w:pPr>
        <w:pStyle w:val="EndNoteBibliography"/>
        <w:spacing w:after="0"/>
      </w:pPr>
      <w:r w:rsidRPr="005377C9">
        <w:t>27.</w:t>
      </w:r>
      <w:r w:rsidRPr="005377C9">
        <w:tab/>
        <w:t>Matsumoto MA, De Oliveira A, Ribeiro Junior PD, Nary Filho H, Ribeiro DA. Short-term administration of non-selective and selective COX-2 NSAIDs do not interfere with bone repair in rats. Journal of Molecular Histology. 2008;39(4):381-7.</w:t>
      </w:r>
    </w:p>
    <w:p w14:paraId="6283BDFE" w14:textId="77777777" w:rsidR="005377C9" w:rsidRPr="005377C9" w:rsidRDefault="005377C9" w:rsidP="005377C9">
      <w:pPr>
        <w:pStyle w:val="EndNoteBibliography"/>
        <w:spacing w:after="0"/>
      </w:pPr>
      <w:r w:rsidRPr="005377C9">
        <w:t>28.</w:t>
      </w:r>
      <w:r w:rsidRPr="005377C9">
        <w:tab/>
        <w:t>Mullis BH, Copland ST, Weinhold PS, Miclau T, Lester GE, Bos GD. Effect of COX-2 inhibitors and non-steroidal anti-inflammatory drugs on a mouse fracture model. Injury. 2006;37(9):827-37.</w:t>
      </w:r>
    </w:p>
    <w:p w14:paraId="2B754380" w14:textId="77777777" w:rsidR="005377C9" w:rsidRPr="005377C9" w:rsidRDefault="005377C9" w:rsidP="005377C9">
      <w:pPr>
        <w:pStyle w:val="EndNoteBibliography"/>
        <w:spacing w:after="0"/>
      </w:pPr>
      <w:r w:rsidRPr="005377C9">
        <w:t>29.</w:t>
      </w:r>
      <w:r w:rsidRPr="005377C9">
        <w:tab/>
        <w:t>Murnaghan M, Li G, Marsh DR, Murnaghan M, Li G, Marsh DR. Nonsteroidal anti-inflammatory drug-induced fracture nonunion: an inhibition of angiogenesis? Journal of Bone &amp; Joint Surgery, American Volume. 2006;88:140-7.</w:t>
      </w:r>
    </w:p>
    <w:p w14:paraId="0292417E" w14:textId="77777777" w:rsidR="005377C9" w:rsidRPr="005377C9" w:rsidRDefault="005377C9" w:rsidP="005377C9">
      <w:pPr>
        <w:pStyle w:val="EndNoteBibliography"/>
        <w:spacing w:after="0"/>
      </w:pPr>
      <w:r w:rsidRPr="005377C9">
        <w:t>30.</w:t>
      </w:r>
      <w:r w:rsidRPr="005377C9">
        <w:tab/>
        <w:t>Reikeraas O, Engebretsen L. Effects of ketoralac tromethamine and indomethacin on primary and secondary bone healing. An experimental study in rats. Archives of Orthopaedic &amp; Trauma Surgery. 1998;118(1):50-2.</w:t>
      </w:r>
    </w:p>
    <w:p w14:paraId="64ABE2A2" w14:textId="77777777" w:rsidR="005377C9" w:rsidRPr="005377C9" w:rsidRDefault="005377C9" w:rsidP="005377C9">
      <w:pPr>
        <w:pStyle w:val="EndNoteBibliography"/>
        <w:spacing w:after="0"/>
      </w:pPr>
      <w:r w:rsidRPr="005377C9">
        <w:t>31.</w:t>
      </w:r>
      <w:r w:rsidRPr="005377C9">
        <w:tab/>
        <w:t>Sandberg O, Aspenberg P. Different effects of indomethacin on healing of shaft and metaphyseal fractures. Acta Orthopaedica. 2015;86(2):243-7.</w:t>
      </w:r>
    </w:p>
    <w:p w14:paraId="76FF31A1" w14:textId="77777777" w:rsidR="005377C9" w:rsidRPr="005377C9" w:rsidRDefault="005377C9" w:rsidP="005377C9">
      <w:pPr>
        <w:pStyle w:val="EndNoteBibliography"/>
        <w:spacing w:after="0"/>
      </w:pPr>
      <w:r w:rsidRPr="005377C9">
        <w:t>32.</w:t>
      </w:r>
      <w:r w:rsidRPr="005377C9">
        <w:tab/>
        <w:t>Sassioto MC, Inouye CM, Aydos RD, Figueiredo AS. Bone repair in rats treated with sodic diclofenac and calcitonin. Acta Cirurgica Brasileira. 2006;21:40-4.</w:t>
      </w:r>
    </w:p>
    <w:p w14:paraId="5CCC499E" w14:textId="77777777" w:rsidR="005377C9" w:rsidRPr="005377C9" w:rsidRDefault="005377C9" w:rsidP="005377C9">
      <w:pPr>
        <w:pStyle w:val="EndNoteBibliography"/>
        <w:spacing w:after="0"/>
      </w:pPr>
      <w:r w:rsidRPr="005377C9">
        <w:t>33.</w:t>
      </w:r>
      <w:r w:rsidRPr="005377C9">
        <w:tab/>
        <w:t>Sevimli R, Üzel M, Sayar H, Kalender AM, Dökmeci O. The effect of dexketoprofen trometamol on the healing of diaphysis fractures of rat tibia. Acta Orthopaedica et Traumatologica Turcica. 2013;47(6):423-9.</w:t>
      </w:r>
    </w:p>
    <w:p w14:paraId="38940B4C" w14:textId="77777777" w:rsidR="005377C9" w:rsidRPr="005377C9" w:rsidRDefault="005377C9" w:rsidP="005377C9">
      <w:pPr>
        <w:pStyle w:val="EndNoteBibliography"/>
        <w:spacing w:after="0"/>
      </w:pPr>
      <w:r w:rsidRPr="005377C9">
        <w:t>34.</w:t>
      </w:r>
      <w:r w:rsidRPr="005377C9">
        <w:tab/>
        <w:t>Simon AM, Manigrasso MB, O'Connor JP. Cyclo-oxygenase 2 function is essential for bone fracture healing. Journal of Bone &amp; Mineral Research. 2002;17(6):963-76.</w:t>
      </w:r>
    </w:p>
    <w:p w14:paraId="30DAB4B1" w14:textId="77777777" w:rsidR="005377C9" w:rsidRPr="005377C9" w:rsidRDefault="005377C9" w:rsidP="005377C9">
      <w:pPr>
        <w:pStyle w:val="EndNoteBibliography"/>
        <w:spacing w:after="0"/>
      </w:pPr>
      <w:r w:rsidRPr="005377C9">
        <w:t>35.</w:t>
      </w:r>
      <w:r w:rsidRPr="005377C9">
        <w:tab/>
        <w:t>Simon AM, O'Connor JP, Simon AM, O'Connor JP. Dose and time-dependent effects of cyclooxygenase-2 inhibition on fracture-healing. Journal of Bone &amp; Joint Surgery, American Volume. 2007;89(3):500-11.</w:t>
      </w:r>
    </w:p>
    <w:p w14:paraId="6D6F7F71" w14:textId="77777777" w:rsidR="005377C9" w:rsidRPr="005377C9" w:rsidRDefault="005377C9" w:rsidP="005377C9">
      <w:pPr>
        <w:pStyle w:val="EndNoteBibliography"/>
        <w:spacing w:after="0"/>
      </w:pPr>
      <w:r w:rsidRPr="005377C9">
        <w:t>36.</w:t>
      </w:r>
      <w:r w:rsidRPr="005377C9">
        <w:tab/>
        <w:t>Singh A, Shekhar S, Saraf SK, Garbyal RS. Effect of etoricoxib on fracture healing - an experimental study. Biomedical Research. 2011;22(1):52-6.</w:t>
      </w:r>
    </w:p>
    <w:p w14:paraId="23CD30EC" w14:textId="77777777" w:rsidR="005377C9" w:rsidRPr="005377C9" w:rsidRDefault="005377C9" w:rsidP="005377C9">
      <w:pPr>
        <w:pStyle w:val="EndNoteBibliography"/>
        <w:spacing w:after="0"/>
      </w:pPr>
      <w:r w:rsidRPr="005377C9">
        <w:lastRenderedPageBreak/>
        <w:t>37.</w:t>
      </w:r>
      <w:r w:rsidRPr="005377C9">
        <w:tab/>
        <w:t>Spiro AS, Beil FT, Baranowsky A, Barvencik F, Schilling AF, Nguyen K, et al. BMP-7-induced ectopic bone formation and fracture healing is impaired by systemic NSAID application in C57BL/6-mice. Journal of Orthopaedic Research. 2010;28(6):785-91.</w:t>
      </w:r>
    </w:p>
    <w:p w14:paraId="03162409" w14:textId="77777777" w:rsidR="005377C9" w:rsidRPr="005377C9" w:rsidRDefault="005377C9" w:rsidP="005377C9">
      <w:pPr>
        <w:pStyle w:val="EndNoteBibliography"/>
        <w:spacing w:after="0"/>
      </w:pPr>
      <w:r w:rsidRPr="005377C9">
        <w:t>38.</w:t>
      </w:r>
      <w:r w:rsidRPr="005377C9">
        <w:tab/>
        <w:t>Tan V, Parsons JR, O'Connor JP, Manigrasso MB, Capo JT, Cottrell JA, et al. A comparison of the effects of ibuprofen and rofecoxib on rabbit fibula osteotomy healing. Acta Orthopaedica. 2009;80(5):597-605.</w:t>
      </w:r>
    </w:p>
    <w:p w14:paraId="441C0C89" w14:textId="77777777" w:rsidR="005377C9" w:rsidRPr="005377C9" w:rsidRDefault="005377C9" w:rsidP="005377C9">
      <w:pPr>
        <w:pStyle w:val="EndNoteBibliography"/>
        <w:spacing w:after="0"/>
      </w:pPr>
      <w:r w:rsidRPr="005377C9">
        <w:t>39.</w:t>
      </w:r>
      <w:r w:rsidRPr="005377C9">
        <w:tab/>
        <w:t>Tiseo BC, Namur GN, De Paula EJL, Mattar Jr R, De Oliveira CRGCM. Experimental study of the action of COX-2 selective nonsteroidal anti-inflammatory drugs and traditional anti-inflammatory drugs in bone regeneration. Clinics. 2006;61(3):223-30.</w:t>
      </w:r>
    </w:p>
    <w:p w14:paraId="043DE844" w14:textId="77777777" w:rsidR="005377C9" w:rsidRPr="005377C9" w:rsidRDefault="005377C9" w:rsidP="005377C9">
      <w:pPr>
        <w:pStyle w:val="EndNoteBibliography"/>
        <w:spacing w:after="0"/>
      </w:pPr>
      <w:r w:rsidRPr="005377C9">
        <w:t>40.</w:t>
      </w:r>
      <w:r w:rsidRPr="005377C9">
        <w:tab/>
        <w:t>Tornkvist H, Stromberg L, Lindholm TS, Netz P, Lindholm TC. Effect of ibuprofen and indomethacin on bone metabolism reflected in bone strength. Clin Orthop. 1984;0(187):255-9.</w:t>
      </w:r>
    </w:p>
    <w:p w14:paraId="4425662E" w14:textId="77777777" w:rsidR="005377C9" w:rsidRPr="005377C9" w:rsidRDefault="005377C9" w:rsidP="005377C9">
      <w:pPr>
        <w:pStyle w:val="EndNoteBibliography"/>
        <w:spacing w:after="0"/>
      </w:pPr>
      <w:r w:rsidRPr="005377C9">
        <w:t>41.</w:t>
      </w:r>
      <w:r w:rsidRPr="005377C9">
        <w:tab/>
        <w:t>Utvag SE, Fuskevag OM, Shegarfi H, Reikeras O. Short-term treatment with COX-2 inhibitors does not impair fracture healing. Journal of Investigative Surgery. 2010;23(5):257-61.</w:t>
      </w:r>
    </w:p>
    <w:p w14:paraId="24C88D5E" w14:textId="77777777" w:rsidR="005377C9" w:rsidRPr="005377C9" w:rsidRDefault="005377C9" w:rsidP="005377C9">
      <w:pPr>
        <w:pStyle w:val="EndNoteBibliography"/>
        <w:spacing w:after="0"/>
      </w:pPr>
      <w:r w:rsidRPr="005377C9">
        <w:t>42.</w:t>
      </w:r>
      <w:r w:rsidRPr="005377C9">
        <w:tab/>
        <w:t xml:space="preserve">Bissinger O, Kreutzer K, Gotz C, Hapfelmeier A, Pautke C, Vogt S, et al. A biomechanical, </w:t>
      </w:r>
      <w:bookmarkStart w:id="0" w:name="_Hlk5261447"/>
      <w:r w:rsidRPr="005377C9">
        <w:t xml:space="preserve">micro-computertomographic </w:t>
      </w:r>
      <w:bookmarkEnd w:id="0"/>
      <w:r w:rsidRPr="005377C9">
        <w:t>and histological analysis of the influence of diclofenac and prednisolone on fracture healing in vivo. BMC musculoskeletal disorders. 2016;17(1):383.</w:t>
      </w:r>
    </w:p>
    <w:p w14:paraId="143C8F2B" w14:textId="77777777" w:rsidR="005377C9" w:rsidRPr="005377C9" w:rsidRDefault="005377C9" w:rsidP="005377C9">
      <w:pPr>
        <w:pStyle w:val="EndNoteBibliography"/>
        <w:spacing w:after="0"/>
      </w:pPr>
      <w:r w:rsidRPr="005377C9">
        <w:t>43.</w:t>
      </w:r>
      <w:r w:rsidRPr="005377C9">
        <w:tab/>
        <w:t>Bo J, Sudmann E, Marton PF. Effect of indomethacin on fracture healing in rats. Acta Orthop Scand. 1976;47(6):588-99.</w:t>
      </w:r>
    </w:p>
    <w:p w14:paraId="3F7C0CF9" w14:textId="77777777" w:rsidR="005377C9" w:rsidRPr="005377C9" w:rsidRDefault="005377C9" w:rsidP="005377C9">
      <w:pPr>
        <w:pStyle w:val="EndNoteBibliography"/>
        <w:spacing w:after="0"/>
      </w:pPr>
      <w:r w:rsidRPr="005377C9">
        <w:t>44.</w:t>
      </w:r>
      <w:r w:rsidRPr="005377C9">
        <w:tab/>
        <w:t>Ochi H, Hara Y, Asou Y, Harada Y, Nezu Y, Yogo T, et al. Effects of long-term administration of carprofen on healing of a tibial osteotomy in dogs. American Journal of Veterinary Research. 2011;72(5):634-41.</w:t>
      </w:r>
    </w:p>
    <w:p w14:paraId="78774A46" w14:textId="77777777" w:rsidR="005377C9" w:rsidRPr="005377C9" w:rsidRDefault="005377C9" w:rsidP="005377C9">
      <w:pPr>
        <w:pStyle w:val="EndNoteBibliography"/>
        <w:spacing w:after="0"/>
      </w:pPr>
      <w:r w:rsidRPr="005377C9">
        <w:t>45.</w:t>
      </w:r>
      <w:r w:rsidRPr="005377C9">
        <w:tab/>
        <w:t>Karachalios T, Boursinos L, Poultsides L, Khaldi L, Malizos KN. The effects of the short-term administration of low therapeutic doses of anti-COX-2 agents on the healing of fractures. An experimental study in rabbits. The Journal of bone and joint surgery British volume. 2007;89(9):1253-60.</w:t>
      </w:r>
    </w:p>
    <w:p w14:paraId="7AD7B68F" w14:textId="77777777" w:rsidR="005377C9" w:rsidRPr="005377C9" w:rsidRDefault="005377C9" w:rsidP="005377C9">
      <w:pPr>
        <w:pStyle w:val="EndNoteBibliography"/>
      </w:pPr>
      <w:r w:rsidRPr="005377C9">
        <w:t>46.</w:t>
      </w:r>
      <w:r w:rsidRPr="005377C9">
        <w:tab/>
        <w:t>Sudmann E, Bang G. Indomethacin-induced inhibition of haversian remodelling in rabbits. Acta Orthop Scand. 1979;50(6 Pt 1):621-7.</w:t>
      </w:r>
    </w:p>
    <w:p w14:paraId="63D9EC01" w14:textId="088B9A15" w:rsidR="003356FE" w:rsidRDefault="003356FE" w:rsidP="005377C9">
      <w:r>
        <w:fldChar w:fldCharType="end"/>
      </w:r>
    </w:p>
    <w:sectPr w:rsidR="003356FE" w:rsidSect="003356F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2CB6A1" w14:textId="77777777" w:rsidR="00246DA6" w:rsidRDefault="00246DA6" w:rsidP="003356FE">
      <w:pPr>
        <w:spacing w:after="0" w:line="240" w:lineRule="auto"/>
      </w:pPr>
      <w:r>
        <w:separator/>
      </w:r>
    </w:p>
  </w:endnote>
  <w:endnote w:type="continuationSeparator" w:id="0">
    <w:p w14:paraId="6DA185BF" w14:textId="77777777" w:rsidR="00246DA6" w:rsidRDefault="00246DA6" w:rsidP="00335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CEAE92" w14:textId="77777777" w:rsidR="00246DA6" w:rsidRDefault="00246DA6" w:rsidP="003356FE">
      <w:pPr>
        <w:spacing w:after="0" w:line="240" w:lineRule="auto"/>
      </w:pPr>
      <w:r>
        <w:separator/>
      </w:r>
    </w:p>
  </w:footnote>
  <w:footnote w:type="continuationSeparator" w:id="0">
    <w:p w14:paraId="79059D5C" w14:textId="77777777" w:rsidR="00246DA6" w:rsidRDefault="00246DA6" w:rsidP="003356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14289D"/>
    <w:multiLevelType w:val="hybridMultilevel"/>
    <w:tmpl w:val="848EC10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44B512F1"/>
    <w:multiLevelType w:val="hybridMultilevel"/>
    <w:tmpl w:val="FB5E12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63A2123B"/>
    <w:multiLevelType w:val="hybridMultilevel"/>
    <w:tmpl w:val="4B8467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cztTQ2NDI2NTAzsTRR0lEKTi0uzszPAykwqwUAnIzG4Cw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29z22wv3a2929ettfh529v8fsfd52ax9dsr&quot;&gt;Sample_Library_X7&lt;record-ids&gt;&lt;item&gt;1543&lt;/item&gt;&lt;item&gt;1545&lt;/item&gt;&lt;item&gt;1546&lt;/item&gt;&lt;item&gt;1549&lt;/item&gt;&lt;item&gt;1551&lt;/item&gt;&lt;item&gt;1552&lt;/item&gt;&lt;item&gt;1554&lt;/item&gt;&lt;item&gt;1560&lt;/item&gt;&lt;item&gt;1568&lt;/item&gt;&lt;item&gt;1582&lt;/item&gt;&lt;item&gt;1584&lt;/item&gt;&lt;item&gt;1594&lt;/item&gt;&lt;item&gt;1595&lt;/item&gt;&lt;item&gt;1613&lt;/item&gt;&lt;item&gt;1616&lt;/item&gt;&lt;item&gt;1622&lt;/item&gt;&lt;item&gt;1652&lt;/item&gt;&lt;item&gt;1659&lt;/item&gt;&lt;item&gt;1666&lt;/item&gt;&lt;item&gt;1667&lt;/item&gt;&lt;item&gt;1673&lt;/item&gt;&lt;item&gt;1678&lt;/item&gt;&lt;item&gt;1680&lt;/item&gt;&lt;item&gt;1683&lt;/item&gt;&lt;item&gt;1685&lt;/item&gt;&lt;item&gt;1689&lt;/item&gt;&lt;item&gt;1690&lt;/item&gt;&lt;item&gt;1691&lt;/item&gt;&lt;item&gt;1692&lt;/item&gt;&lt;item&gt;1842&lt;/item&gt;&lt;item&gt;1970&lt;/item&gt;&lt;item&gt;4129&lt;/item&gt;&lt;item&gt;4186&lt;/item&gt;&lt;item&gt;4236&lt;/item&gt;&lt;item&gt;4340&lt;/item&gt;&lt;item&gt;4364&lt;/item&gt;&lt;item&gt;4365&lt;/item&gt;&lt;item&gt;4367&lt;/item&gt;&lt;item&gt;4380&lt;/item&gt;&lt;item&gt;4385&lt;/item&gt;&lt;item&gt;4390&lt;/item&gt;&lt;item&gt;4391&lt;/item&gt;&lt;item&gt;4610&lt;/item&gt;&lt;item&gt;4612&lt;/item&gt;&lt;item&gt;4613&lt;/item&gt;&lt;item&gt;4615&lt;/item&gt;&lt;/record-ids&gt;&lt;/item&gt;&lt;/Libraries&gt;"/>
  </w:docVars>
  <w:rsids>
    <w:rsidRoot w:val="003356FE"/>
    <w:rsid w:val="000F4033"/>
    <w:rsid w:val="001225A9"/>
    <w:rsid w:val="0013201E"/>
    <w:rsid w:val="0019489E"/>
    <w:rsid w:val="00246DA6"/>
    <w:rsid w:val="002630A6"/>
    <w:rsid w:val="002B5AA1"/>
    <w:rsid w:val="002C03F2"/>
    <w:rsid w:val="003356FE"/>
    <w:rsid w:val="003B58A6"/>
    <w:rsid w:val="003E3E99"/>
    <w:rsid w:val="004A2C24"/>
    <w:rsid w:val="004B56B3"/>
    <w:rsid w:val="005109B8"/>
    <w:rsid w:val="005140B8"/>
    <w:rsid w:val="005377C9"/>
    <w:rsid w:val="00563F77"/>
    <w:rsid w:val="0056438B"/>
    <w:rsid w:val="005F33FD"/>
    <w:rsid w:val="00672EEE"/>
    <w:rsid w:val="006E2C72"/>
    <w:rsid w:val="007D381D"/>
    <w:rsid w:val="008D3B74"/>
    <w:rsid w:val="00912F7A"/>
    <w:rsid w:val="0092647F"/>
    <w:rsid w:val="00990844"/>
    <w:rsid w:val="009942E0"/>
    <w:rsid w:val="00A8777E"/>
    <w:rsid w:val="00B36B7E"/>
    <w:rsid w:val="00B52FB7"/>
    <w:rsid w:val="00B644F9"/>
    <w:rsid w:val="00BF2A1A"/>
    <w:rsid w:val="00CA16D0"/>
    <w:rsid w:val="00D341CD"/>
    <w:rsid w:val="00D7609F"/>
    <w:rsid w:val="00DA52AB"/>
    <w:rsid w:val="00DB59BF"/>
    <w:rsid w:val="00E07C2D"/>
    <w:rsid w:val="00E51EA6"/>
    <w:rsid w:val="00E5475F"/>
    <w:rsid w:val="00E80678"/>
    <w:rsid w:val="00F05E1D"/>
    <w:rsid w:val="00F16711"/>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A63C6"/>
  <w15:chartTrackingRefBased/>
  <w15:docId w15:val="{C31CB897-46DC-491D-9BCF-93EF16D07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41">
    <w:name w:val="Plain Table 41"/>
    <w:basedOn w:val="TableNormal"/>
    <w:uiPriority w:val="44"/>
    <w:rsid w:val="003356FE"/>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3356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56FE"/>
  </w:style>
  <w:style w:type="paragraph" w:styleId="Footer">
    <w:name w:val="footer"/>
    <w:basedOn w:val="Normal"/>
    <w:link w:val="FooterChar"/>
    <w:uiPriority w:val="99"/>
    <w:unhideWhenUsed/>
    <w:rsid w:val="003356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56FE"/>
  </w:style>
  <w:style w:type="paragraph" w:customStyle="1" w:styleId="EndNoteBibliographyTitle">
    <w:name w:val="EndNote Bibliography Title"/>
    <w:basedOn w:val="Normal"/>
    <w:link w:val="EndNoteBibliographyTitleChar"/>
    <w:rsid w:val="003356FE"/>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356FE"/>
    <w:rPr>
      <w:rFonts w:ascii="Calibri" w:hAnsi="Calibri" w:cs="Calibri"/>
      <w:noProof/>
      <w:lang w:val="en-US"/>
    </w:rPr>
  </w:style>
  <w:style w:type="paragraph" w:customStyle="1" w:styleId="EndNoteBibliography">
    <w:name w:val="EndNote Bibliography"/>
    <w:basedOn w:val="Normal"/>
    <w:link w:val="EndNoteBibliographyChar"/>
    <w:rsid w:val="003356FE"/>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356FE"/>
    <w:rPr>
      <w:rFonts w:ascii="Calibri" w:hAnsi="Calibri" w:cs="Calibri"/>
      <w:noProof/>
      <w:lang w:val="en-US"/>
    </w:rPr>
  </w:style>
  <w:style w:type="table" w:styleId="TableGrid">
    <w:name w:val="Table Grid"/>
    <w:basedOn w:val="TableNormal"/>
    <w:uiPriority w:val="39"/>
    <w:rsid w:val="00D341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07C2D"/>
    <w:pPr>
      <w:keepNext/>
      <w:spacing w:after="0" w:line="240" w:lineRule="auto"/>
    </w:pPr>
    <w:rPr>
      <w:rFonts w:ascii="Times New Roman" w:hAnsi="Times New Roman" w:cs="Times New Roman"/>
      <w:b/>
      <w:bCs/>
      <w:color w:val="000000" w:themeColor="text1"/>
      <w:sz w:val="20"/>
      <w:szCs w:val="20"/>
    </w:rPr>
  </w:style>
  <w:style w:type="table" w:styleId="GridTable1Light">
    <w:name w:val="Grid Table 1 Light"/>
    <w:basedOn w:val="TableNormal"/>
    <w:uiPriority w:val="46"/>
    <w:rsid w:val="00E07C2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2">
    <w:name w:val="Plain Table 2"/>
    <w:basedOn w:val="TableNormal"/>
    <w:uiPriority w:val="42"/>
    <w:rsid w:val="009942E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2952989">
      <w:bodyDiv w:val="1"/>
      <w:marLeft w:val="0"/>
      <w:marRight w:val="0"/>
      <w:marTop w:val="0"/>
      <w:marBottom w:val="0"/>
      <w:divBdr>
        <w:top w:val="none" w:sz="0" w:space="0" w:color="auto"/>
        <w:left w:val="none" w:sz="0" w:space="0" w:color="auto"/>
        <w:bottom w:val="none" w:sz="0" w:space="0" w:color="auto"/>
        <w:right w:val="none" w:sz="0" w:space="0" w:color="auto"/>
      </w:divBdr>
    </w:div>
    <w:div w:id="1254973147">
      <w:bodyDiv w:val="1"/>
      <w:marLeft w:val="0"/>
      <w:marRight w:val="0"/>
      <w:marTop w:val="0"/>
      <w:marBottom w:val="0"/>
      <w:divBdr>
        <w:top w:val="none" w:sz="0" w:space="0" w:color="auto"/>
        <w:left w:val="none" w:sz="0" w:space="0" w:color="auto"/>
        <w:bottom w:val="none" w:sz="0" w:space="0" w:color="auto"/>
        <w:right w:val="none" w:sz="0" w:space="0" w:color="auto"/>
      </w:divBdr>
    </w:div>
    <w:div w:id="1531064085">
      <w:bodyDiv w:val="1"/>
      <w:marLeft w:val="0"/>
      <w:marRight w:val="0"/>
      <w:marTop w:val="0"/>
      <w:marBottom w:val="0"/>
      <w:divBdr>
        <w:top w:val="none" w:sz="0" w:space="0" w:color="auto"/>
        <w:left w:val="none" w:sz="0" w:space="0" w:color="auto"/>
        <w:bottom w:val="none" w:sz="0" w:space="0" w:color="auto"/>
        <w:right w:val="none" w:sz="0" w:space="0" w:color="auto"/>
      </w:divBdr>
    </w:div>
    <w:div w:id="1759059135">
      <w:bodyDiv w:val="1"/>
      <w:marLeft w:val="0"/>
      <w:marRight w:val="0"/>
      <w:marTop w:val="0"/>
      <w:marBottom w:val="0"/>
      <w:divBdr>
        <w:top w:val="none" w:sz="0" w:space="0" w:color="auto"/>
        <w:left w:val="none" w:sz="0" w:space="0" w:color="auto"/>
        <w:bottom w:val="none" w:sz="0" w:space="0" w:color="auto"/>
        <w:right w:val="none" w:sz="0" w:space="0" w:color="auto"/>
      </w:divBdr>
    </w:div>
    <w:div w:id="213281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yrcle.nl" TargetMode="External"/><Relationship Id="rId13" Type="http://schemas.openxmlformats.org/officeDocument/2006/relationships/hyperlink" Target="http://www.ncbi.nlm.nih.gov/pubmed/15060322"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biomedcentral.com/1471-2288/14/43/abstr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an.sagepub.com/content/48/1/88.full.pdf+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ncbi.nlm.nih.gov/pmc/articles/PMC3104815/pdf/LA-09-117.pdf" TargetMode="External"/><Relationship Id="rId4" Type="http://schemas.openxmlformats.org/officeDocument/2006/relationships/webSettings" Target="webSettings.xml"/><Relationship Id="rId9" Type="http://schemas.openxmlformats.org/officeDocument/2006/relationships/hyperlink" Target="http://www.ncbi.nlm.nih.gov/pmc/articles/PMC3265183/pdf/LA-11-087.pdf"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19</Pages>
  <Words>17571</Words>
  <Characters>100157</Characters>
  <Application>Microsoft Office Word</Application>
  <DocSecurity>0</DocSecurity>
  <Lines>834</Lines>
  <Paragraphs>234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Haider Al-Waeli</dc:creator>
  <cp:keywords/>
  <dc:description/>
  <cp:lastModifiedBy>Haider Al-Waeli</cp:lastModifiedBy>
  <cp:revision>6</cp:revision>
  <dcterms:created xsi:type="dcterms:W3CDTF">2019-04-03T15:51:00Z</dcterms:created>
  <dcterms:modified xsi:type="dcterms:W3CDTF">2020-07-26T14:09:00Z</dcterms:modified>
</cp:coreProperties>
</file>