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7AC" w:rsidRPr="001B7DE7" w:rsidRDefault="007C47AC" w:rsidP="007C47AC">
      <w:pPr>
        <w:spacing w:line="360" w:lineRule="auto"/>
        <w:rPr>
          <w:rFonts w:ascii="Times New Roman" w:hAnsi="Times New Roman" w:cs="Times New Roman"/>
          <w:b/>
          <w:kern w:val="0"/>
          <w:sz w:val="18"/>
          <w:szCs w:val="18"/>
        </w:rPr>
      </w:pPr>
      <w:bookmarkStart w:id="0" w:name="OLE_LINK2"/>
      <w:bookmarkStart w:id="1" w:name="OLE_LINK3"/>
      <w:r w:rsidRPr="001B7DE7">
        <w:rPr>
          <w:rFonts w:ascii="Times New Roman" w:hAnsi="Times New Roman" w:cs="Times New Roman"/>
          <w:b/>
          <w:kern w:val="0"/>
          <w:sz w:val="18"/>
          <w:szCs w:val="18"/>
        </w:rPr>
        <w:t>abbreviations</w:t>
      </w:r>
      <w:r w:rsidRPr="001B7DE7">
        <w:rPr>
          <w:rFonts w:ascii="Times New Roman" w:hAnsi="Times New Roman" w:cs="Times New Roman"/>
          <w:b/>
          <w:kern w:val="0"/>
          <w:sz w:val="18"/>
          <w:szCs w:val="18"/>
        </w:rPr>
        <w:t>：</w:t>
      </w:r>
    </w:p>
    <w:p w:rsidR="00BC5D6F" w:rsidRPr="001B7DE7" w:rsidRDefault="007C47AC">
      <w:pPr>
        <w:rPr>
          <w:rStyle w:val="src"/>
          <w:rFonts w:ascii="Times New Roman" w:hAnsi="Times New Roman" w:cs="Times New Roman"/>
          <w:color w:val="333333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GnRH:</w:t>
      </w:r>
      <w:r w:rsidRPr="001B7DE7">
        <w:rPr>
          <w:rStyle w:val="a3"/>
          <w:rFonts w:ascii="Times New Roman" w:hAnsi="Times New Roman" w:cs="Times New Roman"/>
          <w:color w:val="333333"/>
          <w:sz w:val="18"/>
          <w:szCs w:val="18"/>
        </w:rPr>
        <w:t xml:space="preserve"> </w:t>
      </w:r>
      <w:r w:rsidRPr="001B7DE7">
        <w:rPr>
          <w:rStyle w:val="src"/>
          <w:rFonts w:ascii="Times New Roman" w:hAnsi="Times New Roman" w:cs="Times New Roman"/>
          <w:color w:val="333333"/>
          <w:sz w:val="18"/>
          <w:szCs w:val="18"/>
        </w:rPr>
        <w:t>Gonadotropin releasing hormone</w:t>
      </w:r>
    </w:p>
    <w:p w:rsidR="007C47AC" w:rsidRPr="001B7DE7" w:rsidRDefault="007C47AC">
      <w:pPr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IVF:In Vitro Fertilization</w:t>
      </w:r>
    </w:p>
    <w:p w:rsidR="007C47AC" w:rsidRPr="001B7DE7" w:rsidRDefault="007C47AC">
      <w:pPr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ICSI: Intracytoplasmic Sperm Injection</w:t>
      </w:r>
    </w:p>
    <w:p w:rsidR="007C47AC" w:rsidRPr="001B7DE7" w:rsidRDefault="007C47AC">
      <w:pPr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RCT: randomized controlled trial</w:t>
      </w:r>
    </w:p>
    <w:p w:rsidR="007C47AC" w:rsidRPr="001B7DE7" w:rsidRDefault="007C47AC">
      <w:pPr>
        <w:rPr>
          <w:rStyle w:val="a3"/>
          <w:rFonts w:ascii="Times New Roman" w:hAnsi="Times New Roman" w:cs="Times New Roman"/>
          <w:b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color w:val="000000"/>
          <w:sz w:val="18"/>
          <w:szCs w:val="18"/>
        </w:rPr>
        <w:t>Gn:</w:t>
      </w:r>
      <w:r w:rsidRPr="001B7DE7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 </w:t>
      </w:r>
      <w:r w:rsidRPr="001B7DE7">
        <w:rPr>
          <w:rStyle w:val="a3"/>
          <w:rFonts w:ascii="Times New Roman" w:hAnsi="Times New Roman" w:cs="Times New Roman"/>
          <w:b w:val="0"/>
          <w:color w:val="000000"/>
          <w:sz w:val="18"/>
          <w:szCs w:val="18"/>
        </w:rPr>
        <w:t>gonadotrophin</w:t>
      </w:r>
    </w:p>
    <w:p w:rsidR="007C47AC" w:rsidRPr="001B7DE7" w:rsidRDefault="007C47AC">
      <w:pPr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PCOS:</w:t>
      </w:r>
      <w:r w:rsidRPr="001B7DE7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 </w:t>
      </w: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polycystic ovary syndrome</w:t>
      </w:r>
    </w:p>
    <w:p w:rsidR="007C47AC" w:rsidRPr="001B7DE7" w:rsidRDefault="007C47AC">
      <w:pPr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POR:</w:t>
      </w:r>
      <w:r w:rsidRPr="001B7DE7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 </w:t>
      </w: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poor ovarian response</w:t>
      </w:r>
    </w:p>
    <w:p w:rsidR="007C47AC" w:rsidRPr="001B7DE7" w:rsidRDefault="007C47AC">
      <w:pPr>
        <w:rPr>
          <w:rStyle w:val="src"/>
          <w:rFonts w:ascii="Times New Roman" w:hAnsi="Times New Roman" w:cs="Times New Roman"/>
          <w:color w:val="333333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FSH:</w:t>
      </w:r>
      <w:r w:rsidRPr="001B7DE7">
        <w:rPr>
          <w:rStyle w:val="a3"/>
          <w:rFonts w:ascii="Times New Roman" w:hAnsi="Times New Roman" w:cs="Times New Roman"/>
          <w:color w:val="333333"/>
          <w:sz w:val="18"/>
          <w:szCs w:val="18"/>
        </w:rPr>
        <w:t xml:space="preserve"> </w:t>
      </w:r>
      <w:r w:rsidRPr="001B7DE7">
        <w:rPr>
          <w:rStyle w:val="src"/>
          <w:rFonts w:ascii="Times New Roman" w:hAnsi="Times New Roman" w:cs="Times New Roman"/>
          <w:color w:val="333333"/>
          <w:sz w:val="18"/>
          <w:szCs w:val="18"/>
        </w:rPr>
        <w:t>Follicle stimulating hormone</w:t>
      </w:r>
    </w:p>
    <w:p w:rsidR="007C47AC" w:rsidRPr="001B7DE7" w:rsidRDefault="007C47AC">
      <w:pPr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r-FSH:recombinant FSH</w:t>
      </w:r>
    </w:p>
    <w:p w:rsidR="007C47AC" w:rsidRPr="001B7DE7" w:rsidRDefault="007C47AC">
      <w:pPr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ET:embryo transfer</w:t>
      </w:r>
    </w:p>
    <w:p w:rsidR="007C47AC" w:rsidRPr="001B7DE7" w:rsidRDefault="007C47AC">
      <w:pPr>
        <w:rPr>
          <w:rStyle w:val="a3"/>
          <w:rFonts w:ascii="Times New Roman" w:hAnsi="Times New Roman" w:cs="Times New Roman"/>
          <w:b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color w:val="000000"/>
          <w:sz w:val="18"/>
          <w:szCs w:val="18"/>
        </w:rPr>
        <w:t>E2:estradiol</w:t>
      </w:r>
    </w:p>
    <w:p w:rsidR="007C47AC" w:rsidRPr="001B7DE7" w:rsidRDefault="007C47AC">
      <w:pPr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LH:</w:t>
      </w:r>
      <w:r w:rsidR="001143D0" w:rsidRPr="001B7DE7">
        <w:rPr>
          <w:rStyle w:val="a3"/>
          <w:rFonts w:ascii="Times New Roman" w:hAnsi="Times New Roman" w:cs="Times New Roman"/>
          <w:b w:val="0"/>
          <w:color w:val="000000"/>
          <w:sz w:val="18"/>
          <w:szCs w:val="18"/>
        </w:rPr>
        <w:t xml:space="preserve"> Luteinizing hormone</w:t>
      </w:r>
    </w:p>
    <w:p w:rsidR="007C47AC" w:rsidRPr="001B7DE7" w:rsidRDefault="007C47AC">
      <w:pPr>
        <w:rPr>
          <w:rStyle w:val="src"/>
          <w:rFonts w:ascii="Times New Roman" w:hAnsi="Times New Roman" w:cs="Times New Roman"/>
          <w:color w:val="333333"/>
          <w:sz w:val="18"/>
          <w:szCs w:val="18"/>
        </w:rPr>
      </w:pPr>
      <w:r w:rsidRPr="001B7DE7">
        <w:rPr>
          <w:rStyle w:val="src"/>
          <w:rFonts w:ascii="Times New Roman" w:hAnsi="Times New Roman" w:cs="Times New Roman"/>
          <w:color w:val="333333"/>
          <w:sz w:val="18"/>
          <w:szCs w:val="18"/>
        </w:rPr>
        <w:t>COS:controlled ovarian stimulation</w:t>
      </w:r>
    </w:p>
    <w:p w:rsidR="007C47AC" w:rsidRPr="001B7DE7" w:rsidRDefault="007C47AC">
      <w:pPr>
        <w:rPr>
          <w:rStyle w:val="src"/>
          <w:rFonts w:ascii="Times New Roman" w:hAnsi="Times New Roman" w:cs="Times New Roman"/>
          <w:color w:val="333333"/>
          <w:sz w:val="18"/>
          <w:szCs w:val="18"/>
        </w:rPr>
      </w:pPr>
      <w:r w:rsidRPr="001B7DE7">
        <w:rPr>
          <w:rStyle w:val="src"/>
          <w:rFonts w:ascii="Times New Roman" w:hAnsi="Times New Roman" w:cs="Times New Roman"/>
          <w:color w:val="333333"/>
          <w:sz w:val="18"/>
          <w:szCs w:val="18"/>
        </w:rPr>
        <w:t>OHSS:</w:t>
      </w:r>
      <w:r w:rsidRPr="001B7DE7">
        <w:rPr>
          <w:rStyle w:val="a3"/>
          <w:rFonts w:ascii="Times New Roman" w:hAnsi="Times New Roman" w:cs="Times New Roman"/>
          <w:color w:val="333333"/>
          <w:sz w:val="18"/>
          <w:szCs w:val="18"/>
        </w:rPr>
        <w:t xml:space="preserve"> </w:t>
      </w:r>
      <w:r w:rsidRPr="001B7DE7">
        <w:rPr>
          <w:rStyle w:val="src"/>
          <w:rFonts w:ascii="Times New Roman" w:hAnsi="Times New Roman" w:cs="Times New Roman"/>
          <w:color w:val="333333"/>
          <w:sz w:val="18"/>
          <w:szCs w:val="18"/>
        </w:rPr>
        <w:t>ovarian hyperstimulation syndrome</w:t>
      </w:r>
    </w:p>
    <w:p w:rsidR="007C47AC" w:rsidRPr="001B7DE7" w:rsidRDefault="007C47AC">
      <w:pPr>
        <w:rPr>
          <w:rStyle w:val="transsent"/>
          <w:rFonts w:ascii="Times New Roman" w:hAnsi="Times New Roman" w:cs="Times New Roman"/>
          <w:color w:val="333333"/>
          <w:sz w:val="18"/>
          <w:szCs w:val="18"/>
        </w:rPr>
      </w:pPr>
      <w:r w:rsidRPr="001B7DE7">
        <w:rPr>
          <w:rStyle w:val="transsent"/>
          <w:rFonts w:ascii="Times New Roman" w:hAnsi="Times New Roman" w:cs="Times New Roman"/>
          <w:color w:val="333333"/>
          <w:sz w:val="18"/>
          <w:szCs w:val="18"/>
        </w:rPr>
        <w:t>ESHR</w:t>
      </w:r>
      <w:r w:rsidRPr="001B7DE7">
        <w:rPr>
          <w:rStyle w:val="Char"/>
          <w:rFonts w:ascii="Times New Roman" w:hAnsi="Times New Roman" w:cs="Times New Roman"/>
          <w:color w:val="333333"/>
        </w:rPr>
        <w:t xml:space="preserve"> :</w:t>
      </w:r>
      <w:r w:rsidRPr="001B7DE7">
        <w:rPr>
          <w:rStyle w:val="transsent"/>
          <w:rFonts w:ascii="Times New Roman" w:hAnsi="Times New Roman" w:cs="Times New Roman"/>
          <w:color w:val="333333"/>
          <w:sz w:val="18"/>
          <w:szCs w:val="18"/>
        </w:rPr>
        <w:t>European Society of Human Reproduction and Embryology</w:t>
      </w:r>
    </w:p>
    <w:p w:rsidR="007C47AC" w:rsidRPr="001B7DE7" w:rsidRDefault="007C47AC" w:rsidP="007C47AC">
      <w:pPr>
        <w:rPr>
          <w:rStyle w:val="a3"/>
          <w:rFonts w:ascii="Times New Roman" w:hAnsi="Times New Roman" w:cs="Times New Roman"/>
          <w:b w:val="0"/>
          <w:color w:val="000000"/>
          <w:sz w:val="18"/>
          <w:szCs w:val="18"/>
        </w:rPr>
      </w:pPr>
      <w:r w:rsidRPr="001B7DE7">
        <w:rPr>
          <w:rStyle w:val="a3"/>
          <w:rFonts w:ascii="Times New Roman" w:hAnsi="Times New Roman" w:cs="Times New Roman"/>
          <w:b w:val="0"/>
          <w:color w:val="000000"/>
          <w:sz w:val="18"/>
          <w:szCs w:val="18"/>
        </w:rPr>
        <w:t>P:</w:t>
      </w:r>
      <w:r w:rsidRPr="001B7DE7">
        <w:rPr>
          <w:rFonts w:ascii="Times New Roman" w:hAnsi="Times New Roman" w:cs="Times New Roman"/>
          <w:sz w:val="18"/>
          <w:szCs w:val="18"/>
        </w:rPr>
        <w:t xml:space="preserve"> progesterone</w:t>
      </w:r>
    </w:p>
    <w:p w:rsidR="007C47AC" w:rsidRPr="001B7DE7" w:rsidRDefault="007C47AC">
      <w:pPr>
        <w:rPr>
          <w:rStyle w:val="src"/>
          <w:rFonts w:ascii="Times New Roman" w:hAnsi="Times New Roman" w:cs="Times New Roman"/>
          <w:color w:val="333333"/>
          <w:sz w:val="18"/>
          <w:szCs w:val="18"/>
        </w:rPr>
      </w:pPr>
      <w:r w:rsidRPr="001B7DE7">
        <w:rPr>
          <w:rStyle w:val="src"/>
          <w:rFonts w:ascii="Times New Roman" w:hAnsi="Times New Roman" w:cs="Times New Roman"/>
          <w:color w:val="333333"/>
          <w:sz w:val="18"/>
          <w:szCs w:val="18"/>
        </w:rPr>
        <w:t>OCP:</w:t>
      </w:r>
      <w:r w:rsidRPr="001B7DE7">
        <w:rPr>
          <w:rStyle w:val="a3"/>
          <w:rFonts w:ascii="Times New Roman" w:hAnsi="Times New Roman" w:cs="Times New Roman"/>
          <w:color w:val="333333"/>
          <w:sz w:val="18"/>
          <w:szCs w:val="18"/>
        </w:rPr>
        <w:t xml:space="preserve"> </w:t>
      </w:r>
      <w:r w:rsidRPr="001B7DE7">
        <w:rPr>
          <w:rStyle w:val="src"/>
          <w:rFonts w:ascii="Times New Roman" w:hAnsi="Times New Roman" w:cs="Times New Roman"/>
          <w:color w:val="333333"/>
          <w:sz w:val="18"/>
          <w:szCs w:val="18"/>
        </w:rPr>
        <w:t>oral contraceptive pill</w:t>
      </w:r>
    </w:p>
    <w:p w:rsidR="007C47AC" w:rsidRPr="001B7DE7" w:rsidRDefault="001143D0">
      <w:pPr>
        <w:rPr>
          <w:rStyle w:val="fontstyle01"/>
          <w:rFonts w:ascii="Times New Roman" w:hAnsi="Times New Roman" w:cs="Times New Roman"/>
          <w:sz w:val="18"/>
          <w:szCs w:val="18"/>
        </w:rPr>
      </w:pPr>
      <w:r w:rsidRPr="001B7DE7">
        <w:rPr>
          <w:rStyle w:val="fontstyle01"/>
          <w:rFonts w:ascii="Times New Roman" w:hAnsi="Times New Roman" w:cs="Times New Roman"/>
          <w:sz w:val="18"/>
          <w:szCs w:val="18"/>
        </w:rPr>
        <w:t>AMH:</w:t>
      </w:r>
      <w:r w:rsidRPr="001B7DE7">
        <w:rPr>
          <w:rFonts w:ascii="Times New Roman" w:hAnsi="Times New Roman" w:cs="Times New Roman"/>
          <w:sz w:val="18"/>
          <w:szCs w:val="18"/>
        </w:rPr>
        <w:t xml:space="preserve"> </w:t>
      </w:r>
      <w:r w:rsidRPr="001B7DE7">
        <w:rPr>
          <w:rStyle w:val="fontstyle01"/>
          <w:rFonts w:ascii="Times New Roman" w:hAnsi="Times New Roman" w:cs="Times New Roman"/>
          <w:sz w:val="18"/>
          <w:szCs w:val="18"/>
        </w:rPr>
        <w:t>anti-Mullerian hormone</w:t>
      </w:r>
    </w:p>
    <w:p w:rsidR="001143D0" w:rsidRPr="001B7DE7" w:rsidRDefault="001143D0">
      <w:pPr>
        <w:rPr>
          <w:rStyle w:val="fontstyle01"/>
          <w:rFonts w:ascii="Times New Roman" w:hAnsi="Times New Roman" w:cs="Times New Roman"/>
          <w:sz w:val="18"/>
          <w:szCs w:val="18"/>
        </w:rPr>
      </w:pPr>
      <w:r w:rsidRPr="001B7DE7">
        <w:rPr>
          <w:rStyle w:val="fontstyle01"/>
          <w:rFonts w:ascii="Times New Roman" w:hAnsi="Times New Roman" w:cs="Times New Roman"/>
          <w:sz w:val="18"/>
          <w:szCs w:val="18"/>
        </w:rPr>
        <w:t xml:space="preserve">AFC:antral follicle count </w:t>
      </w:r>
    </w:p>
    <w:p w:rsidR="001143D0" w:rsidRPr="001B7DE7" w:rsidRDefault="001143D0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1B7DE7">
        <w:rPr>
          <w:rFonts w:ascii="Times New Roman" w:hAnsi="Times New Roman" w:cs="Times New Roman"/>
          <w:color w:val="000000" w:themeColor="text1"/>
          <w:sz w:val="18"/>
          <w:szCs w:val="18"/>
        </w:rPr>
        <w:t>BMI: body mass index</w:t>
      </w:r>
    </w:p>
    <w:p w:rsidR="0086512A" w:rsidRPr="001B7DE7" w:rsidRDefault="00475E8D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1B7DE7">
        <w:rPr>
          <w:rFonts w:ascii="Times New Roman" w:hAnsi="Times New Roman" w:cs="Times New Roman"/>
          <w:color w:val="000000" w:themeColor="text1"/>
          <w:sz w:val="18"/>
          <w:szCs w:val="18"/>
        </w:rPr>
        <w:t>H</w:t>
      </w:r>
      <w:r w:rsidR="0086512A" w:rsidRPr="001B7DE7">
        <w:rPr>
          <w:rFonts w:ascii="Times New Roman" w:hAnsi="Times New Roman" w:cs="Times New Roman"/>
          <w:color w:val="000000" w:themeColor="text1"/>
          <w:sz w:val="18"/>
          <w:szCs w:val="18"/>
        </w:rPr>
        <w:t>CG:</w:t>
      </w:r>
      <w:r w:rsidR="0086512A" w:rsidRPr="001B7DE7">
        <w:rPr>
          <w:rFonts w:ascii="Times New Roman" w:hAnsi="Times New Roman" w:cs="Times New Roman"/>
          <w:sz w:val="18"/>
          <w:szCs w:val="18"/>
        </w:rPr>
        <w:t xml:space="preserve"> human chorionic gonadotropin</w:t>
      </w:r>
    </w:p>
    <w:p w:rsidR="001143D0" w:rsidRPr="001B7DE7" w:rsidRDefault="00475E8D">
      <w:pPr>
        <w:rPr>
          <w:rFonts w:ascii="Times New Roman" w:hAnsi="Times New Roman" w:cs="Times New Roman"/>
          <w:sz w:val="18"/>
          <w:szCs w:val="18"/>
        </w:rPr>
      </w:pPr>
      <w:r w:rsidRPr="001B7DE7">
        <w:rPr>
          <w:rFonts w:ascii="Times New Roman" w:hAnsi="Times New Roman" w:cs="Times New Roman"/>
          <w:color w:val="000000" w:themeColor="text1"/>
          <w:sz w:val="18"/>
          <w:szCs w:val="18"/>
        </w:rPr>
        <w:t>r-H</w:t>
      </w:r>
      <w:r w:rsidR="001143D0" w:rsidRPr="001B7DE7">
        <w:rPr>
          <w:rFonts w:ascii="Times New Roman" w:hAnsi="Times New Roman" w:cs="Times New Roman"/>
          <w:color w:val="000000" w:themeColor="text1"/>
          <w:sz w:val="18"/>
          <w:szCs w:val="18"/>
        </w:rPr>
        <w:t>CG:</w:t>
      </w:r>
      <w:r w:rsidR="001143D0" w:rsidRPr="001B7DE7">
        <w:rPr>
          <w:rFonts w:ascii="Times New Roman" w:hAnsi="Times New Roman" w:cs="Times New Roman"/>
          <w:sz w:val="18"/>
          <w:szCs w:val="18"/>
        </w:rPr>
        <w:t xml:space="preserve"> recombinant human chorionic gonadotropin</w:t>
      </w:r>
    </w:p>
    <w:p w:rsidR="001143D0" w:rsidRPr="001B7DE7" w:rsidRDefault="001143D0">
      <w:pPr>
        <w:rPr>
          <w:rFonts w:ascii="Times New Roman" w:hAnsi="Times New Roman" w:cs="Times New Roman"/>
          <w:sz w:val="18"/>
          <w:szCs w:val="18"/>
        </w:rPr>
      </w:pPr>
      <w:r w:rsidRPr="001B7DE7">
        <w:rPr>
          <w:rFonts w:ascii="Times New Roman" w:hAnsi="Times New Roman" w:cs="Times New Roman"/>
          <w:sz w:val="18"/>
          <w:szCs w:val="18"/>
        </w:rPr>
        <w:t>CD: menstrual cycle day</w:t>
      </w:r>
    </w:p>
    <w:p w:rsidR="001143D0" w:rsidRPr="001B7DE7" w:rsidRDefault="001143D0" w:rsidP="001143D0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1B7DE7">
        <w:rPr>
          <w:rFonts w:ascii="Times New Roman" w:hAnsi="Times New Roman" w:cs="Times New Roman"/>
          <w:sz w:val="18"/>
          <w:szCs w:val="18"/>
        </w:rPr>
        <w:t>GnRH-ant: GnRH antagonist</w:t>
      </w:r>
    </w:p>
    <w:p w:rsidR="001143D0" w:rsidRPr="001B7DE7" w:rsidRDefault="001143D0">
      <w:pPr>
        <w:rPr>
          <w:rFonts w:ascii="Times New Roman" w:hAnsi="Times New Roman" w:cs="Times New Roman"/>
          <w:sz w:val="18"/>
          <w:szCs w:val="18"/>
        </w:rPr>
      </w:pPr>
      <w:r w:rsidRPr="001B7DE7">
        <w:rPr>
          <w:rFonts w:ascii="Times New Roman" w:hAnsi="Times New Roman" w:cs="Times New Roman"/>
          <w:sz w:val="18"/>
          <w:szCs w:val="18"/>
        </w:rPr>
        <w:t>CLR:clinical pregnancy rate</w:t>
      </w:r>
    </w:p>
    <w:p w:rsidR="001143D0" w:rsidRPr="001B7DE7" w:rsidRDefault="001143D0">
      <w:pPr>
        <w:rPr>
          <w:rStyle w:val="tgt"/>
          <w:rFonts w:ascii="Times New Roman" w:hAnsi="Times New Roman" w:cs="Times New Roman"/>
          <w:color w:val="333333"/>
          <w:sz w:val="18"/>
          <w:szCs w:val="18"/>
        </w:rPr>
      </w:pPr>
      <w:r w:rsidRPr="001B7DE7">
        <w:rPr>
          <w:rStyle w:val="tgt"/>
          <w:rFonts w:ascii="Times New Roman" w:hAnsi="Times New Roman" w:cs="Times New Roman"/>
          <w:color w:val="333333"/>
          <w:sz w:val="18"/>
          <w:szCs w:val="18"/>
        </w:rPr>
        <w:t>OPR:</w:t>
      </w:r>
      <w:r w:rsidRPr="001B7DE7">
        <w:rPr>
          <w:rStyle w:val="fontstyle01"/>
          <w:rFonts w:ascii="Times New Roman" w:hAnsi="Times New Roman" w:cs="Times New Roman"/>
          <w:color w:val="333333"/>
          <w:sz w:val="18"/>
          <w:szCs w:val="18"/>
        </w:rPr>
        <w:t xml:space="preserve"> </w:t>
      </w:r>
      <w:r w:rsidRPr="001B7DE7">
        <w:rPr>
          <w:rStyle w:val="tgt"/>
          <w:rFonts w:ascii="Times New Roman" w:hAnsi="Times New Roman" w:cs="Times New Roman"/>
          <w:color w:val="333333"/>
          <w:sz w:val="18"/>
          <w:szCs w:val="18"/>
        </w:rPr>
        <w:t>ongoing pregnancy rate</w:t>
      </w:r>
    </w:p>
    <w:p w:rsidR="001143D0" w:rsidRPr="001B7DE7" w:rsidRDefault="001143D0">
      <w:pPr>
        <w:rPr>
          <w:rStyle w:val="tgt"/>
          <w:rFonts w:ascii="Times New Roman" w:hAnsi="Times New Roman" w:cs="Times New Roman"/>
          <w:color w:val="333333"/>
          <w:sz w:val="18"/>
          <w:szCs w:val="18"/>
        </w:rPr>
      </w:pPr>
      <w:r w:rsidRPr="001B7DE7">
        <w:rPr>
          <w:rStyle w:val="tgt"/>
          <w:rFonts w:ascii="Times New Roman" w:hAnsi="Times New Roman" w:cs="Times New Roman"/>
          <w:color w:val="333333"/>
          <w:sz w:val="18"/>
          <w:szCs w:val="18"/>
        </w:rPr>
        <w:t>LBR</w:t>
      </w:r>
      <w:r w:rsidRPr="001B7DE7">
        <w:rPr>
          <w:rStyle w:val="tgt1"/>
          <w:rFonts w:ascii="Times New Roman" w:hAnsi="Times New Roman" w:cs="Times New Roman"/>
          <w:color w:val="333333"/>
          <w:sz w:val="18"/>
          <w:szCs w:val="18"/>
        </w:rPr>
        <w:t xml:space="preserve"> :</w:t>
      </w:r>
      <w:r w:rsidRPr="001B7DE7">
        <w:rPr>
          <w:rStyle w:val="tgt"/>
          <w:rFonts w:ascii="Times New Roman" w:hAnsi="Times New Roman" w:cs="Times New Roman"/>
          <w:color w:val="333333"/>
          <w:sz w:val="18"/>
          <w:szCs w:val="18"/>
        </w:rPr>
        <w:t>live birth rate</w:t>
      </w:r>
    </w:p>
    <w:p w:rsidR="002B3C10" w:rsidRPr="001B7DE7" w:rsidRDefault="002B3C10">
      <w:pPr>
        <w:rPr>
          <w:rFonts w:ascii="Times New Roman" w:hAnsi="Times New Roman" w:cs="Times New Roman"/>
          <w:sz w:val="18"/>
          <w:szCs w:val="18"/>
        </w:rPr>
      </w:pPr>
      <w:r w:rsidRPr="001B7DE7">
        <w:rPr>
          <w:rFonts w:ascii="Times New Roman" w:hAnsi="Times New Roman" w:cs="Times New Roman"/>
          <w:sz w:val="18"/>
          <w:szCs w:val="18"/>
        </w:rPr>
        <w:t>PASS: Power Analysis and Sample Size</w:t>
      </w:r>
    </w:p>
    <w:p w:rsidR="002B3C10" w:rsidRPr="001B7DE7" w:rsidRDefault="002B3C10">
      <w:pPr>
        <w:rPr>
          <w:rFonts w:ascii="Times New Roman" w:hAnsi="Times New Roman" w:cs="Times New Roman"/>
          <w:sz w:val="18"/>
          <w:szCs w:val="18"/>
        </w:rPr>
      </w:pPr>
      <w:r w:rsidRPr="001B7DE7">
        <w:rPr>
          <w:rFonts w:ascii="Times New Roman" w:hAnsi="Times New Roman" w:cs="Times New Roman"/>
          <w:sz w:val="18"/>
          <w:szCs w:val="18"/>
        </w:rPr>
        <w:t>CONSORT</w:t>
      </w:r>
      <w:r w:rsidR="00475E8D" w:rsidRPr="001B7DE7">
        <w:rPr>
          <w:rFonts w:ascii="Times New Roman" w:hAnsi="Times New Roman" w:cs="Times New Roman"/>
          <w:sz w:val="18"/>
          <w:szCs w:val="18"/>
        </w:rPr>
        <w:t>: Consolidated Standards of Reporting Trials</w:t>
      </w:r>
    </w:p>
    <w:p w:rsidR="002B3C10" w:rsidRPr="001B7DE7" w:rsidRDefault="002B3C10">
      <w:pPr>
        <w:rPr>
          <w:rFonts w:ascii="Times New Roman" w:hAnsi="Times New Roman" w:cs="Times New Roman"/>
          <w:sz w:val="18"/>
          <w:szCs w:val="18"/>
        </w:rPr>
      </w:pPr>
      <w:r w:rsidRPr="001B7DE7">
        <w:rPr>
          <w:rFonts w:ascii="Times New Roman" w:hAnsi="Times New Roman" w:cs="Times New Roman"/>
          <w:sz w:val="18"/>
          <w:szCs w:val="18"/>
        </w:rPr>
        <w:t>SPSS:</w:t>
      </w:r>
      <w:r w:rsidRPr="001B7D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1B7DE7">
        <w:rPr>
          <w:rFonts w:ascii="Times New Roman" w:hAnsi="Times New Roman" w:cs="Times New Roman"/>
          <w:sz w:val="18"/>
          <w:szCs w:val="18"/>
        </w:rPr>
        <w:t>Statistical Package for Social Sciences</w:t>
      </w:r>
    </w:p>
    <w:p w:rsidR="001143D0" w:rsidRPr="001B7DE7" w:rsidRDefault="001143D0">
      <w:pPr>
        <w:rPr>
          <w:rFonts w:ascii="Times New Roman" w:hAnsi="Times New Roman" w:cs="Times New Roman"/>
          <w:kern w:val="0"/>
          <w:sz w:val="18"/>
          <w:szCs w:val="18"/>
        </w:rPr>
      </w:pPr>
      <w:r w:rsidRPr="001B7DE7">
        <w:rPr>
          <w:rFonts w:ascii="Times New Roman" w:hAnsi="Times New Roman" w:cs="Times New Roman"/>
          <w:kern w:val="0"/>
          <w:sz w:val="18"/>
          <w:szCs w:val="18"/>
        </w:rPr>
        <w:t>SD: standard deviation</w:t>
      </w:r>
    </w:p>
    <w:p w:rsidR="001143D0" w:rsidRPr="001B7DE7" w:rsidRDefault="001143D0">
      <w:pPr>
        <w:rPr>
          <w:rFonts w:ascii="Times New Roman" w:hAnsi="Times New Roman" w:cs="Times New Roman"/>
          <w:kern w:val="0"/>
          <w:sz w:val="18"/>
          <w:szCs w:val="18"/>
        </w:rPr>
      </w:pPr>
      <w:r w:rsidRPr="001B7DE7">
        <w:rPr>
          <w:rFonts w:ascii="Times New Roman" w:hAnsi="Times New Roman" w:cs="Times New Roman"/>
          <w:kern w:val="0"/>
          <w:sz w:val="18"/>
          <w:szCs w:val="18"/>
        </w:rPr>
        <w:t>IQR :inter quartile range</w:t>
      </w:r>
    </w:p>
    <w:p w:rsidR="001143D0" w:rsidRPr="001B7DE7" w:rsidRDefault="001143D0">
      <w:pPr>
        <w:rPr>
          <w:rFonts w:ascii="Times New Roman" w:hAnsi="Times New Roman" w:cs="Times New Roman"/>
          <w:kern w:val="0"/>
          <w:sz w:val="18"/>
          <w:szCs w:val="18"/>
        </w:rPr>
      </w:pPr>
      <w:r w:rsidRPr="001B7DE7">
        <w:rPr>
          <w:rFonts w:ascii="Times New Roman" w:hAnsi="Times New Roman" w:cs="Times New Roman"/>
          <w:kern w:val="0"/>
          <w:sz w:val="18"/>
          <w:szCs w:val="18"/>
        </w:rPr>
        <w:t>CI:confidence interval</w:t>
      </w:r>
    </w:p>
    <w:p w:rsidR="001143D0" w:rsidRPr="001B7DE7" w:rsidRDefault="001143D0">
      <w:pPr>
        <w:rPr>
          <w:rFonts w:ascii="Times New Roman" w:hAnsi="Times New Roman" w:cs="Times New Roman"/>
          <w:kern w:val="0"/>
          <w:sz w:val="18"/>
          <w:szCs w:val="18"/>
        </w:rPr>
      </w:pPr>
      <w:r w:rsidRPr="001B7DE7">
        <w:rPr>
          <w:rFonts w:ascii="Times New Roman" w:hAnsi="Times New Roman" w:cs="Times New Roman"/>
          <w:kern w:val="0"/>
          <w:sz w:val="18"/>
          <w:szCs w:val="18"/>
        </w:rPr>
        <w:t xml:space="preserve">RDs:and risk differentials </w:t>
      </w:r>
    </w:p>
    <w:p w:rsidR="00475E8D" w:rsidRPr="001B7DE7" w:rsidRDefault="00475E8D">
      <w:pPr>
        <w:rPr>
          <w:rStyle w:val="fontstyle01"/>
          <w:rFonts w:ascii="Times New Roman" w:hAnsi="Times New Roman" w:cs="Times New Roman"/>
          <w:sz w:val="18"/>
          <w:szCs w:val="18"/>
        </w:rPr>
      </w:pPr>
      <w:r w:rsidRPr="001B7DE7">
        <w:rPr>
          <w:rStyle w:val="fontstyle01"/>
          <w:rFonts w:ascii="Times New Roman" w:hAnsi="Times New Roman" w:cs="Times New Roman"/>
          <w:sz w:val="18"/>
          <w:szCs w:val="18"/>
        </w:rPr>
        <w:t>IU:International unit</w:t>
      </w:r>
    </w:p>
    <w:p w:rsidR="002546E0" w:rsidRPr="001B7DE7" w:rsidRDefault="002546E0">
      <w:pPr>
        <w:rPr>
          <w:rFonts w:ascii="Times New Roman" w:hAnsi="Times New Roman" w:cs="Times New Roman"/>
          <w:kern w:val="0"/>
          <w:sz w:val="18"/>
          <w:szCs w:val="18"/>
        </w:rPr>
      </w:pPr>
      <w:r w:rsidRPr="001B7DE7">
        <w:rPr>
          <w:rFonts w:ascii="Times New Roman" w:hAnsi="Times New Roman" w:cs="Times New Roman"/>
          <w:kern w:val="0"/>
          <w:sz w:val="18"/>
          <w:szCs w:val="18"/>
        </w:rPr>
        <w:t>AIH:  artificial insemination with husband's semen</w:t>
      </w:r>
    </w:p>
    <w:p w:rsidR="002546E0" w:rsidRPr="001B7DE7" w:rsidRDefault="002546E0">
      <w:pPr>
        <w:rPr>
          <w:rFonts w:ascii="Times New Roman" w:hAnsi="Times New Roman" w:cs="Times New Roman"/>
          <w:kern w:val="0"/>
          <w:sz w:val="18"/>
          <w:szCs w:val="18"/>
        </w:rPr>
      </w:pPr>
      <w:r w:rsidRPr="001B7DE7">
        <w:rPr>
          <w:rFonts w:ascii="Times New Roman" w:hAnsi="Times New Roman" w:cs="Times New Roman"/>
          <w:kern w:val="0"/>
          <w:sz w:val="18"/>
          <w:szCs w:val="18"/>
        </w:rPr>
        <w:t>FORT:follicle output rate</w:t>
      </w:r>
    </w:p>
    <w:p w:rsidR="002546E0" w:rsidRPr="001B7DE7" w:rsidRDefault="008569AC">
      <w:pPr>
        <w:rPr>
          <w:rFonts w:ascii="Times New Roman" w:hAnsi="Times New Roman" w:cs="Times New Roman"/>
          <w:kern w:val="0"/>
          <w:sz w:val="18"/>
          <w:szCs w:val="18"/>
        </w:rPr>
      </w:pPr>
      <w:bookmarkStart w:id="2" w:name="OLE_LINK1"/>
      <w:r w:rsidRPr="001B7DE7">
        <w:rPr>
          <w:rFonts w:ascii="Times New Roman" w:hAnsi="Times New Roman" w:cs="Times New Roman"/>
          <w:kern w:val="0"/>
          <w:sz w:val="18"/>
          <w:szCs w:val="18"/>
        </w:rPr>
        <w:t>2</w:t>
      </w:r>
      <w:r w:rsidR="002546E0" w:rsidRPr="001B7DE7">
        <w:rPr>
          <w:rFonts w:ascii="Times New Roman" w:hAnsi="Times New Roman" w:cs="Times New Roman"/>
          <w:kern w:val="0"/>
          <w:sz w:val="18"/>
          <w:szCs w:val="18"/>
        </w:rPr>
        <w:t xml:space="preserve">PN: </w:t>
      </w:r>
      <w:r w:rsidRPr="001B7DE7">
        <w:rPr>
          <w:rFonts w:ascii="Times New Roman" w:hAnsi="Times New Roman" w:cs="Times New Roman"/>
          <w:sz w:val="18"/>
          <w:szCs w:val="18"/>
        </w:rPr>
        <w:t>two pronuclei</w:t>
      </w:r>
    </w:p>
    <w:bookmarkEnd w:id="2"/>
    <w:p w:rsidR="00594DC1" w:rsidRPr="001B7DE7" w:rsidRDefault="00594DC1">
      <w:pPr>
        <w:rPr>
          <w:rFonts w:ascii="Times New Roman" w:hAnsi="Times New Roman" w:cs="Times New Roman"/>
          <w:bCs/>
          <w:color w:val="333333"/>
          <w:kern w:val="0"/>
          <w:sz w:val="18"/>
          <w:szCs w:val="18"/>
        </w:rPr>
      </w:pPr>
      <w:r w:rsidRPr="001B7DE7">
        <w:rPr>
          <w:rFonts w:ascii="Times New Roman" w:hAnsi="Times New Roman" w:cs="Times New Roman"/>
          <w:bCs/>
          <w:color w:val="333333"/>
          <w:kern w:val="0"/>
          <w:sz w:val="18"/>
          <w:szCs w:val="18"/>
        </w:rPr>
        <w:t>VC:Variation Coefficient</w:t>
      </w:r>
    </w:p>
    <w:p w:rsidR="0086512A" w:rsidRPr="001B7DE7" w:rsidRDefault="0086512A">
      <w:pPr>
        <w:rPr>
          <w:rFonts w:ascii="Times New Roman" w:hAnsi="Times New Roman" w:cs="Times New Roman"/>
          <w:sz w:val="18"/>
          <w:szCs w:val="18"/>
        </w:rPr>
      </w:pPr>
      <w:r w:rsidRPr="001B7DE7">
        <w:rPr>
          <w:rFonts w:ascii="Times New Roman" w:hAnsi="Times New Roman" w:cs="Times New Roman"/>
          <w:sz w:val="18"/>
          <w:szCs w:val="18"/>
        </w:rPr>
        <w:t xml:space="preserve">GC:granulosa cells </w:t>
      </w:r>
    </w:p>
    <w:p w:rsidR="001143D0" w:rsidRPr="001B7DE7" w:rsidRDefault="0014605D">
      <w:pPr>
        <w:rPr>
          <w:rFonts w:ascii="Times New Roman" w:hAnsi="Times New Roman" w:cs="Times New Roman"/>
          <w:sz w:val="18"/>
          <w:szCs w:val="18"/>
        </w:rPr>
      </w:pPr>
      <w:r w:rsidRPr="001B7DE7">
        <w:rPr>
          <w:rFonts w:ascii="Times New Roman" w:hAnsi="Times New Roman" w:cs="Times New Roman"/>
          <w:color w:val="000000"/>
          <w:sz w:val="18"/>
          <w:szCs w:val="18"/>
        </w:rPr>
        <w:t>ART:assisted reproductive technology</w:t>
      </w:r>
      <w:bookmarkEnd w:id="0"/>
      <w:bookmarkEnd w:id="1"/>
    </w:p>
    <w:sectPr w:rsidR="001143D0" w:rsidRPr="001B7DE7" w:rsidSect="009F26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DE3" w:rsidRDefault="00640DE3" w:rsidP="005D3B73">
      <w:r>
        <w:separator/>
      </w:r>
    </w:p>
  </w:endnote>
  <w:endnote w:type="continuationSeparator" w:id="1">
    <w:p w:rsidR="00640DE3" w:rsidRDefault="00640DE3" w:rsidP="005D3B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ldrbrAdvTT86d4731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DE3" w:rsidRDefault="00640DE3" w:rsidP="005D3B73">
      <w:r>
        <w:separator/>
      </w:r>
    </w:p>
  </w:footnote>
  <w:footnote w:type="continuationSeparator" w:id="1">
    <w:p w:rsidR="00640DE3" w:rsidRDefault="00640DE3" w:rsidP="005D3B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47AC"/>
    <w:rsid w:val="001143D0"/>
    <w:rsid w:val="0014605D"/>
    <w:rsid w:val="001B7DE7"/>
    <w:rsid w:val="002546E0"/>
    <w:rsid w:val="002B3C10"/>
    <w:rsid w:val="00454026"/>
    <w:rsid w:val="00475E8D"/>
    <w:rsid w:val="004C3D89"/>
    <w:rsid w:val="005403E8"/>
    <w:rsid w:val="00594DC1"/>
    <w:rsid w:val="005D3B73"/>
    <w:rsid w:val="005E523E"/>
    <w:rsid w:val="00640DE3"/>
    <w:rsid w:val="007C47AC"/>
    <w:rsid w:val="008569AC"/>
    <w:rsid w:val="0086512A"/>
    <w:rsid w:val="008C270F"/>
    <w:rsid w:val="009329E6"/>
    <w:rsid w:val="009F2697"/>
    <w:rsid w:val="00A65C22"/>
    <w:rsid w:val="00AF03D8"/>
    <w:rsid w:val="00FB36A8"/>
    <w:rsid w:val="00FC2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C47AC"/>
    <w:rPr>
      <w:b/>
      <w:bCs/>
    </w:rPr>
  </w:style>
  <w:style w:type="character" w:customStyle="1" w:styleId="src">
    <w:name w:val="src"/>
    <w:basedOn w:val="a0"/>
    <w:rsid w:val="007C47AC"/>
  </w:style>
  <w:style w:type="character" w:customStyle="1" w:styleId="transsent">
    <w:name w:val="transsent"/>
    <w:basedOn w:val="a0"/>
    <w:rsid w:val="007C47AC"/>
  </w:style>
  <w:style w:type="paragraph" w:styleId="a4">
    <w:name w:val="header"/>
    <w:basedOn w:val="a"/>
    <w:link w:val="Char"/>
    <w:uiPriority w:val="99"/>
    <w:semiHidden/>
    <w:unhideWhenUsed/>
    <w:rsid w:val="007C47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C47AC"/>
    <w:rPr>
      <w:sz w:val="18"/>
      <w:szCs w:val="18"/>
    </w:rPr>
  </w:style>
  <w:style w:type="character" w:customStyle="1" w:styleId="fontstyle01">
    <w:name w:val="fontstyle01"/>
    <w:basedOn w:val="a0"/>
    <w:rsid w:val="001143D0"/>
    <w:rPr>
      <w:rFonts w:ascii="FldrbrAdvTT86d47313" w:hAnsi="FldrbrAdvTT86d47313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tgt">
    <w:name w:val="tgt"/>
    <w:basedOn w:val="a0"/>
    <w:rsid w:val="001143D0"/>
  </w:style>
  <w:style w:type="character" w:customStyle="1" w:styleId="tgt1">
    <w:name w:val="tgt1"/>
    <w:basedOn w:val="a0"/>
    <w:rsid w:val="001143D0"/>
  </w:style>
  <w:style w:type="paragraph" w:styleId="a5">
    <w:name w:val="footer"/>
    <w:basedOn w:val="a"/>
    <w:link w:val="Char0"/>
    <w:uiPriority w:val="99"/>
    <w:semiHidden/>
    <w:unhideWhenUsed/>
    <w:rsid w:val="005D3B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D3B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12</cp:revision>
  <dcterms:created xsi:type="dcterms:W3CDTF">2021-04-05T11:03:00Z</dcterms:created>
  <dcterms:modified xsi:type="dcterms:W3CDTF">2021-05-11T03:18:00Z</dcterms:modified>
</cp:coreProperties>
</file>