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8C7A0" w14:textId="77777777" w:rsidR="00344F50" w:rsidRDefault="00344F50" w:rsidP="00344F5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Supporting</w:t>
      </w:r>
      <w:r w:rsidRPr="00324C12">
        <w:rPr>
          <w:b/>
          <w:sz w:val="32"/>
          <w:szCs w:val="32"/>
        </w:rPr>
        <w:t xml:space="preserve"> information</w:t>
      </w:r>
    </w:p>
    <w:p w14:paraId="531F038A" w14:textId="77777777" w:rsidR="00344F50" w:rsidRPr="00962BC6" w:rsidRDefault="00344F50" w:rsidP="00344F50">
      <w:pPr>
        <w:spacing w:line="360" w:lineRule="auto"/>
        <w:rPr>
          <w:b/>
          <w:noProof/>
          <w:szCs w:val="24"/>
        </w:rPr>
      </w:pPr>
    </w:p>
    <w:p w14:paraId="3DD5BE51" w14:textId="77777777" w:rsidR="00514B1D" w:rsidRPr="00514B1D" w:rsidRDefault="00514B1D" w:rsidP="00514B1D">
      <w:pPr>
        <w:spacing w:line="360" w:lineRule="auto"/>
        <w:jc w:val="center"/>
        <w:rPr>
          <w:b/>
          <w:noProof/>
          <w:szCs w:val="24"/>
          <w:lang w:eastAsia="en-US"/>
        </w:rPr>
      </w:pPr>
      <w:bookmarkStart w:id="0" w:name="_Hlk65669637"/>
      <w:r w:rsidRPr="00514B1D">
        <w:rPr>
          <w:b/>
          <w:noProof/>
          <w:szCs w:val="24"/>
          <w:lang w:eastAsia="en-US"/>
        </w:rPr>
        <w:t>Determination of the activation energies of phase transition for calcium orthophosphates based on powder X-ray diffraction data</w:t>
      </w:r>
    </w:p>
    <w:p w14:paraId="441641C8" w14:textId="77777777" w:rsidR="00514B1D" w:rsidRPr="006902BF" w:rsidRDefault="00514B1D" w:rsidP="00514B1D">
      <w:pPr>
        <w:pStyle w:val="BBAuthorName"/>
        <w:jc w:val="left"/>
        <w:rPr>
          <w:noProof/>
          <w:sz w:val="20"/>
        </w:rPr>
      </w:pPr>
    </w:p>
    <w:p w14:paraId="24E66E60" w14:textId="77777777" w:rsidR="00514B1D" w:rsidRPr="006902BF" w:rsidRDefault="00514B1D" w:rsidP="00514B1D">
      <w:pPr>
        <w:pStyle w:val="BBAuthorName"/>
        <w:rPr>
          <w:noProof/>
          <w:sz w:val="20"/>
        </w:rPr>
      </w:pPr>
      <w:r w:rsidRPr="006902BF">
        <w:rPr>
          <w:noProof/>
          <w:sz w:val="20"/>
        </w:rPr>
        <w:t>Kateryna Vasylenko</w:t>
      </w:r>
      <w:r w:rsidRPr="006902BF">
        <w:rPr>
          <w:noProof/>
          <w:sz w:val="20"/>
          <w:vertAlign w:val="superscript"/>
        </w:rPr>
        <w:t>1</w:t>
      </w:r>
      <w:r w:rsidRPr="006902BF">
        <w:rPr>
          <w:noProof/>
          <w:sz w:val="20"/>
        </w:rPr>
        <w:t>, Yuriy Sakhno</w:t>
      </w:r>
      <w:r w:rsidRPr="006902BF">
        <w:rPr>
          <w:noProof/>
          <w:sz w:val="20"/>
          <w:vertAlign w:val="superscript"/>
        </w:rPr>
        <w:t>2*</w:t>
      </w:r>
      <w:r w:rsidRPr="006902BF">
        <w:rPr>
          <w:noProof/>
          <w:sz w:val="20"/>
        </w:rPr>
        <w:t>; Deb Jaisi</w:t>
      </w:r>
      <w:r w:rsidRPr="006902BF">
        <w:rPr>
          <w:noProof/>
          <w:sz w:val="20"/>
          <w:vertAlign w:val="superscript"/>
        </w:rPr>
        <w:t>2</w:t>
      </w:r>
      <w:r w:rsidRPr="006902BF">
        <w:rPr>
          <w:noProof/>
          <w:sz w:val="20"/>
        </w:rPr>
        <w:t>; and</w:t>
      </w:r>
      <w:r w:rsidRPr="006902BF">
        <w:rPr>
          <w:rFonts w:ascii="Arial" w:hAnsi="Arial" w:cs="Arial"/>
          <w:b/>
          <w:bCs/>
          <w:sz w:val="20"/>
          <w:shd w:val="clear" w:color="auto" w:fill="FFFFFF"/>
        </w:rPr>
        <w:t xml:space="preserve"> </w:t>
      </w:r>
      <w:r w:rsidRPr="006902BF">
        <w:rPr>
          <w:noProof/>
          <w:sz w:val="20"/>
        </w:rPr>
        <w:t>Mykola Nikolenko</w:t>
      </w:r>
      <w:r w:rsidRPr="006902BF">
        <w:rPr>
          <w:noProof/>
          <w:sz w:val="20"/>
          <w:vertAlign w:val="superscript"/>
        </w:rPr>
        <w:t>1*</w:t>
      </w:r>
    </w:p>
    <w:p w14:paraId="37250EC0" w14:textId="77777777" w:rsidR="00514B1D" w:rsidRPr="006902BF" w:rsidRDefault="00514B1D" w:rsidP="00514B1D">
      <w:pPr>
        <w:spacing w:line="360" w:lineRule="auto"/>
        <w:rPr>
          <w:noProof/>
          <w:sz w:val="20"/>
        </w:rPr>
      </w:pPr>
    </w:p>
    <w:p w14:paraId="23B3A63B" w14:textId="77777777" w:rsidR="00514B1D" w:rsidRPr="006902BF" w:rsidRDefault="00514B1D" w:rsidP="00514B1D">
      <w:pPr>
        <w:spacing w:line="360" w:lineRule="auto"/>
        <w:rPr>
          <w:noProof/>
          <w:sz w:val="20"/>
        </w:rPr>
      </w:pPr>
    </w:p>
    <w:p w14:paraId="3DFCEE0A" w14:textId="77777777" w:rsidR="00514B1D" w:rsidRPr="006902BF" w:rsidRDefault="00514B1D" w:rsidP="00514B1D">
      <w:pPr>
        <w:pStyle w:val="BCAuthorAddress"/>
        <w:jc w:val="left"/>
        <w:rPr>
          <w:noProof/>
          <w:sz w:val="20"/>
        </w:rPr>
      </w:pPr>
    </w:p>
    <w:p w14:paraId="2B44CFD9" w14:textId="77777777" w:rsidR="00514B1D" w:rsidRPr="006902BF" w:rsidRDefault="00514B1D" w:rsidP="00514B1D">
      <w:pPr>
        <w:pStyle w:val="BCAuthorAddress"/>
        <w:jc w:val="left"/>
        <w:rPr>
          <w:noProof/>
          <w:sz w:val="20"/>
        </w:rPr>
      </w:pPr>
      <w:bookmarkStart w:id="1" w:name="_Hlk65669659"/>
      <w:r w:rsidRPr="006902BF">
        <w:rPr>
          <w:noProof/>
          <w:sz w:val="20"/>
          <w:vertAlign w:val="superscript"/>
        </w:rPr>
        <w:t>1</w:t>
      </w:r>
      <w:r w:rsidRPr="006902BF">
        <w:rPr>
          <w:noProof/>
          <w:sz w:val="20"/>
        </w:rPr>
        <w:t>Faculty of Chemical Technologies and Ecology, Ukrainian State University of Chemical Technology, Dnipro, Ukraine</w:t>
      </w:r>
      <w:r>
        <w:rPr>
          <w:noProof/>
          <w:sz w:val="20"/>
        </w:rPr>
        <w:t>,</w:t>
      </w:r>
      <w:r w:rsidRPr="006902BF">
        <w:rPr>
          <w:noProof/>
          <w:sz w:val="20"/>
        </w:rPr>
        <w:t xml:space="preserve"> 49005</w:t>
      </w:r>
      <w:r w:rsidRPr="006902BF">
        <w:rPr>
          <w:rFonts w:ascii="Arial" w:hAnsi="Arial" w:cs="Arial"/>
          <w:color w:val="222222"/>
          <w:sz w:val="20"/>
          <w:shd w:val="clear" w:color="auto" w:fill="FFFFFF"/>
        </w:rPr>
        <w:t xml:space="preserve"> </w:t>
      </w:r>
    </w:p>
    <w:bookmarkEnd w:id="0"/>
    <w:p w14:paraId="09E685FC" w14:textId="77777777" w:rsidR="00514B1D" w:rsidRPr="006902BF" w:rsidRDefault="00514B1D" w:rsidP="00514B1D">
      <w:pPr>
        <w:pStyle w:val="BCAuthorAddress"/>
        <w:jc w:val="left"/>
        <w:rPr>
          <w:noProof/>
          <w:sz w:val="20"/>
        </w:rPr>
      </w:pPr>
      <w:r w:rsidRPr="006902BF">
        <w:rPr>
          <w:noProof/>
          <w:sz w:val="20"/>
          <w:vertAlign w:val="superscript"/>
        </w:rPr>
        <w:t>2</w:t>
      </w:r>
      <w:r w:rsidRPr="006902BF">
        <w:rPr>
          <w:noProof/>
          <w:sz w:val="20"/>
        </w:rPr>
        <w:t>Department of Plant and Soil Sciences, University of Delaware, Newark, D</w:t>
      </w:r>
      <w:r>
        <w:rPr>
          <w:noProof/>
          <w:sz w:val="20"/>
        </w:rPr>
        <w:t>elaware</w:t>
      </w:r>
      <w:r w:rsidRPr="006902BF">
        <w:rPr>
          <w:noProof/>
          <w:sz w:val="20"/>
        </w:rPr>
        <w:t>, 19716</w:t>
      </w:r>
      <w:bookmarkEnd w:id="1"/>
    </w:p>
    <w:p w14:paraId="040BD57E" w14:textId="5D13CE3A" w:rsidR="0001611D" w:rsidRDefault="0001611D" w:rsidP="0001611D">
      <w:pPr>
        <w:rPr>
          <w:lang w:eastAsia="en-US"/>
        </w:rPr>
      </w:pPr>
    </w:p>
    <w:p w14:paraId="5BDB7883" w14:textId="0DAB1395" w:rsidR="00514B1D" w:rsidRDefault="00514B1D" w:rsidP="0001611D">
      <w:pPr>
        <w:rPr>
          <w:lang w:eastAsia="en-US"/>
        </w:rPr>
      </w:pPr>
    </w:p>
    <w:p w14:paraId="771AF45F" w14:textId="77777777" w:rsidR="00514B1D" w:rsidRPr="0001611D" w:rsidRDefault="00514B1D" w:rsidP="0001611D">
      <w:pPr>
        <w:rPr>
          <w:lang w:eastAsia="en-US"/>
        </w:rPr>
      </w:pPr>
    </w:p>
    <w:p w14:paraId="040BBAFC" w14:textId="4D7145D9" w:rsidR="00514B1D" w:rsidRPr="006902BF" w:rsidRDefault="00514B1D" w:rsidP="00514B1D">
      <w:pPr>
        <w:spacing w:line="360" w:lineRule="auto"/>
        <w:rPr>
          <w:i/>
          <w:sz w:val="20"/>
        </w:rPr>
      </w:pPr>
      <w:r w:rsidRPr="006902BF">
        <w:rPr>
          <w:i/>
          <w:sz w:val="20"/>
        </w:rPr>
        <w:t xml:space="preserve"> Corresponding author: </w:t>
      </w:r>
    </w:p>
    <w:p w14:paraId="51111AB4" w14:textId="77777777" w:rsidR="00514B1D" w:rsidRPr="006902BF" w:rsidRDefault="00514B1D" w:rsidP="00514B1D">
      <w:pPr>
        <w:spacing w:line="360" w:lineRule="auto"/>
        <w:rPr>
          <w:i/>
          <w:sz w:val="20"/>
        </w:rPr>
      </w:pPr>
      <w:r w:rsidRPr="006902BF">
        <w:rPr>
          <w:noProof/>
          <w:sz w:val="20"/>
        </w:rPr>
        <w:t>Mykola Nikolenko</w:t>
      </w:r>
      <w:r w:rsidRPr="006902BF">
        <w:rPr>
          <w:i/>
          <w:sz w:val="20"/>
        </w:rPr>
        <w:t xml:space="preserve">: </w:t>
      </w:r>
      <w:hyperlink r:id="rId4" w:tgtFrame="_blank" w:history="1">
        <w:r w:rsidRPr="006902BF">
          <w:rPr>
            <w:i/>
            <w:sz w:val="20"/>
          </w:rPr>
          <w:t>n_nikolenko@ukr.net</w:t>
        </w:r>
      </w:hyperlink>
      <w:r w:rsidRPr="006902BF">
        <w:rPr>
          <w:i/>
          <w:sz w:val="20"/>
        </w:rPr>
        <w:t xml:space="preserve">, </w:t>
      </w:r>
    </w:p>
    <w:p w14:paraId="2780DAEA" w14:textId="08F63E35" w:rsidR="0081551B" w:rsidRDefault="0081551B">
      <w:pPr>
        <w:spacing w:after="160" w:line="259" w:lineRule="auto"/>
        <w:jc w:val="left"/>
      </w:pPr>
    </w:p>
    <w:p w14:paraId="69BD1F57" w14:textId="77777777" w:rsidR="004D38B2" w:rsidRPr="00344F50" w:rsidRDefault="004D38B2">
      <w:pPr>
        <w:spacing w:after="160" w:line="259" w:lineRule="auto"/>
        <w:jc w:val="left"/>
      </w:pPr>
    </w:p>
    <w:p w14:paraId="7E83A334" w14:textId="79E4A1AD" w:rsidR="00514B1D" w:rsidRDefault="00514B1D">
      <w:pPr>
        <w:spacing w:after="160" w:line="259" w:lineRule="auto"/>
        <w:jc w:val="left"/>
      </w:pPr>
      <w:r>
        <w:br w:type="page"/>
      </w:r>
    </w:p>
    <w:p w14:paraId="531B658E" w14:textId="77777777" w:rsidR="0081551B" w:rsidRPr="00344F50" w:rsidRDefault="0081551B" w:rsidP="0081551B">
      <w:pPr>
        <w:jc w:val="center"/>
      </w:pPr>
    </w:p>
    <w:p w14:paraId="74690564" w14:textId="6BE985D8" w:rsidR="0081551B" w:rsidRDefault="0081551B" w:rsidP="0081551B">
      <w:pPr>
        <w:jc w:val="center"/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100FF691" wp14:editId="5D965937">
            <wp:extent cx="4914900" cy="3476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0D2EC" w14:textId="77777777" w:rsidR="0081551B" w:rsidRDefault="0081551B" w:rsidP="0081551B"/>
    <w:p w14:paraId="46A8A2D7" w14:textId="1D093C09" w:rsidR="0081551B" w:rsidRDefault="0001611D" w:rsidP="0081551B">
      <w:pPr>
        <w:spacing w:line="240" w:lineRule="auto"/>
        <w:jc w:val="left"/>
        <w:rPr>
          <w:color w:val="auto"/>
          <w:sz w:val="20"/>
          <w:lang w:eastAsia="ru-RU"/>
        </w:rPr>
      </w:pPr>
      <w:r w:rsidRPr="0001611D">
        <w:rPr>
          <w:b/>
          <w:bCs/>
          <w:lang w:val="en-GB"/>
        </w:rPr>
        <w:t xml:space="preserve">Fig. SI </w:t>
      </w:r>
      <w:r w:rsidR="00D617C8">
        <w:rPr>
          <w:b/>
          <w:bCs/>
          <w:lang w:val="en-GB"/>
        </w:rPr>
        <w:t>1</w:t>
      </w:r>
      <w:r w:rsidR="0081551B" w:rsidRPr="0001611D">
        <w:rPr>
          <w:rFonts w:ascii="Palatino Linotype" w:hAnsi="Palatino Linotype"/>
          <w:b/>
          <w:bCs/>
          <w:sz w:val="20"/>
          <w:lang w:eastAsia="ru-RU"/>
        </w:rPr>
        <w:t>.</w:t>
      </w:r>
      <w:r w:rsidR="0081551B">
        <w:rPr>
          <w:rFonts w:ascii="Palatino Linotype" w:hAnsi="Palatino Linotype"/>
          <w:sz w:val="20"/>
          <w:lang w:eastAsia="ru-RU"/>
        </w:rPr>
        <w:t xml:space="preserve"> The X-ray diffraction pattern of calcium orthophosphate precipitated at pH 9, temperature 20 °C and initial ratio Ca/P = 1.5.</w:t>
      </w:r>
      <w:r w:rsidR="0081551B">
        <w:rPr>
          <w:rFonts w:ascii="Palatino Linotype" w:hAnsi="Palatino Linotype"/>
          <w:color w:val="auto"/>
          <w:sz w:val="20"/>
          <w:lang w:eastAsia="ru-RU"/>
        </w:rPr>
        <w:t xml:space="preserve"> Aging conditions in mother solution: 24 hours at temperature 20 °C with initial heat treatment </w:t>
      </w:r>
      <w:r w:rsidR="00A06D44">
        <w:rPr>
          <w:rFonts w:ascii="Palatino Linotype" w:hAnsi="Palatino Linotype"/>
          <w:color w:val="auto"/>
          <w:sz w:val="20"/>
          <w:lang w:eastAsia="ru-RU"/>
        </w:rPr>
        <w:t>during 6</w:t>
      </w:r>
      <w:r w:rsidR="0081551B">
        <w:rPr>
          <w:rFonts w:ascii="Palatino Linotype" w:hAnsi="Palatino Linotype"/>
          <w:color w:val="auto"/>
          <w:sz w:val="20"/>
          <w:lang w:eastAsia="ru-RU"/>
        </w:rPr>
        <w:t xml:space="preserve"> hours at 250</w:t>
      </w:r>
      <w:r w:rsidR="0081551B">
        <w:rPr>
          <w:rFonts w:ascii="Palatino Linotype" w:hAnsi="Palatino Linotype"/>
          <w:color w:val="auto"/>
          <w:sz w:val="20"/>
          <w:vertAlign w:val="superscript"/>
          <w:lang w:eastAsia="ru-RU"/>
        </w:rPr>
        <w:t xml:space="preserve"> 0</w:t>
      </w:r>
      <w:r w:rsidR="0081551B">
        <w:rPr>
          <w:rFonts w:ascii="Palatino Linotype" w:hAnsi="Palatino Linotype"/>
          <w:color w:val="auto"/>
          <w:sz w:val="20"/>
          <w:lang w:val="ru-RU" w:eastAsia="ru-RU"/>
        </w:rPr>
        <w:t>С</w:t>
      </w:r>
      <w:r w:rsidR="0081551B">
        <w:rPr>
          <w:rFonts w:ascii="Palatino Linotype" w:hAnsi="Palatino Linotype"/>
          <w:color w:val="auto"/>
          <w:sz w:val="20"/>
          <w:lang w:eastAsia="ru-RU"/>
        </w:rPr>
        <w:t xml:space="preserve"> in a high-pressure reactor.</w:t>
      </w:r>
      <w:r w:rsidR="0081551B">
        <w:rPr>
          <w:rFonts w:ascii="Palatino Linotype" w:hAnsi="Palatino Linotype"/>
          <w:sz w:val="20"/>
          <w:lang w:eastAsia="ru-RU"/>
        </w:rPr>
        <w:t xml:space="preserve"> The figure shows dicalcium phosphate anhydrous</w:t>
      </w:r>
      <w:r w:rsidR="0081551B">
        <w:rPr>
          <w:rFonts w:ascii="Palatino Linotype" w:hAnsi="Palatino Linotype"/>
          <w:sz w:val="20"/>
          <w:vertAlign w:val="subscript"/>
          <w:lang w:eastAsia="ru-RU"/>
        </w:rPr>
        <w:t xml:space="preserve"> </w:t>
      </w:r>
      <w:r w:rsidR="0081551B">
        <w:rPr>
          <w:rFonts w:ascii="Palatino Linotype" w:hAnsi="Palatino Linotype"/>
          <w:sz w:val="20"/>
          <w:lang w:eastAsia="ru-RU"/>
        </w:rPr>
        <w:t xml:space="preserve">(PCPDFWIN No. 77-0128) with the blue lines and </w:t>
      </w:r>
      <w:r w:rsidR="0081551B">
        <w:rPr>
          <w:rStyle w:val="fontstyle01"/>
          <w:rFonts w:ascii="Palatino Linotype" w:hAnsi="Palatino Linotype"/>
          <w:sz w:val="20"/>
        </w:rPr>
        <w:t xml:space="preserve">hydroxyapatite </w:t>
      </w:r>
      <w:r w:rsidR="0081551B">
        <w:rPr>
          <w:rFonts w:ascii="Palatino Linotype" w:hAnsi="Palatino Linotype"/>
          <w:sz w:val="20"/>
          <w:lang w:eastAsia="ru-RU"/>
        </w:rPr>
        <w:t>(PCPDFWIN No. 74-0566) with the magenta lines.</w:t>
      </w:r>
    </w:p>
    <w:p w14:paraId="4E7BFCBA" w14:textId="3B0AA411" w:rsidR="0081551B" w:rsidRDefault="0081551B" w:rsidP="0081551B">
      <w:pPr>
        <w:jc w:val="center"/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4F72C22F" wp14:editId="33B17CB9">
            <wp:extent cx="5019675" cy="35528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B579F" w14:textId="6B914FC4" w:rsidR="0081551B" w:rsidRDefault="0001611D" w:rsidP="0081551B">
      <w:pPr>
        <w:spacing w:line="240" w:lineRule="auto"/>
        <w:jc w:val="left"/>
        <w:rPr>
          <w:color w:val="auto"/>
          <w:sz w:val="20"/>
          <w:lang w:eastAsia="ru-RU"/>
        </w:rPr>
      </w:pPr>
      <w:r w:rsidRPr="0001611D">
        <w:rPr>
          <w:b/>
          <w:bCs/>
          <w:lang w:val="en-GB"/>
        </w:rPr>
        <w:t xml:space="preserve">Fig. SI </w:t>
      </w:r>
      <w:r w:rsidR="00D617C8">
        <w:rPr>
          <w:b/>
          <w:bCs/>
          <w:lang w:val="en-GB"/>
        </w:rPr>
        <w:t>2</w:t>
      </w:r>
      <w:r w:rsidRPr="0001611D">
        <w:rPr>
          <w:rFonts w:ascii="Palatino Linotype" w:hAnsi="Palatino Linotype"/>
          <w:b/>
          <w:bCs/>
          <w:sz w:val="20"/>
          <w:lang w:eastAsia="ru-RU"/>
        </w:rPr>
        <w:t>.</w:t>
      </w:r>
      <w:r>
        <w:rPr>
          <w:rFonts w:ascii="Palatino Linotype" w:hAnsi="Palatino Linotype"/>
          <w:b/>
          <w:bCs/>
          <w:sz w:val="20"/>
          <w:lang w:eastAsia="ru-RU"/>
        </w:rPr>
        <w:t xml:space="preserve"> </w:t>
      </w:r>
      <w:r w:rsidR="0081551B">
        <w:rPr>
          <w:rFonts w:ascii="Palatino Linotype" w:hAnsi="Palatino Linotype"/>
          <w:sz w:val="20"/>
          <w:lang w:eastAsia="ru-RU"/>
        </w:rPr>
        <w:t>The X-ray diffraction pattern of calcium orthophosphate precipitated at pH 10, temperature 20 °C and initial ratio Ca/P = 1.5.</w:t>
      </w:r>
      <w:r w:rsidR="0081551B">
        <w:rPr>
          <w:rFonts w:ascii="Palatino Linotype" w:hAnsi="Palatino Linotype"/>
          <w:color w:val="auto"/>
          <w:sz w:val="20"/>
          <w:lang w:eastAsia="ru-RU"/>
        </w:rPr>
        <w:t xml:space="preserve"> Aging conditions in mother solution: 24 hours at temperature 20 °C with initial heat treatment </w:t>
      </w:r>
      <w:r w:rsidR="00A06D44">
        <w:rPr>
          <w:rFonts w:ascii="Palatino Linotype" w:hAnsi="Palatino Linotype"/>
          <w:color w:val="auto"/>
          <w:sz w:val="20"/>
          <w:lang w:eastAsia="ru-RU"/>
        </w:rPr>
        <w:t>during 6</w:t>
      </w:r>
      <w:r w:rsidR="0081551B">
        <w:rPr>
          <w:rFonts w:ascii="Palatino Linotype" w:hAnsi="Palatino Linotype"/>
          <w:color w:val="auto"/>
          <w:sz w:val="20"/>
          <w:lang w:eastAsia="ru-RU"/>
        </w:rPr>
        <w:t xml:space="preserve"> hours at 250</w:t>
      </w:r>
      <w:r w:rsidR="0081551B">
        <w:rPr>
          <w:rFonts w:ascii="Palatino Linotype" w:hAnsi="Palatino Linotype"/>
          <w:color w:val="auto"/>
          <w:sz w:val="20"/>
          <w:vertAlign w:val="superscript"/>
          <w:lang w:eastAsia="ru-RU"/>
        </w:rPr>
        <w:t xml:space="preserve"> 0</w:t>
      </w:r>
      <w:r w:rsidR="0081551B">
        <w:rPr>
          <w:rFonts w:ascii="Palatino Linotype" w:hAnsi="Palatino Linotype"/>
          <w:color w:val="auto"/>
          <w:sz w:val="20"/>
          <w:lang w:val="ru-RU" w:eastAsia="ru-RU"/>
        </w:rPr>
        <w:t>С</w:t>
      </w:r>
      <w:r w:rsidR="0081551B">
        <w:rPr>
          <w:rFonts w:ascii="Palatino Linotype" w:hAnsi="Palatino Linotype"/>
          <w:color w:val="auto"/>
          <w:sz w:val="20"/>
          <w:lang w:eastAsia="ru-RU"/>
        </w:rPr>
        <w:t xml:space="preserve"> in a high-pressure reactor.</w:t>
      </w:r>
      <w:r w:rsidR="0081551B">
        <w:rPr>
          <w:rFonts w:ascii="Palatino Linotype" w:hAnsi="Palatino Linotype"/>
          <w:sz w:val="20"/>
          <w:lang w:eastAsia="ru-RU"/>
        </w:rPr>
        <w:t xml:space="preserve"> The figure shows dicalcium phosphate anhydrous</w:t>
      </w:r>
      <w:r w:rsidR="0081551B">
        <w:rPr>
          <w:rFonts w:ascii="Palatino Linotype" w:hAnsi="Palatino Linotype"/>
          <w:sz w:val="20"/>
          <w:vertAlign w:val="subscript"/>
          <w:lang w:eastAsia="ru-RU"/>
        </w:rPr>
        <w:t xml:space="preserve"> </w:t>
      </w:r>
      <w:r w:rsidR="0081551B">
        <w:rPr>
          <w:rFonts w:ascii="Palatino Linotype" w:hAnsi="Palatino Linotype"/>
          <w:sz w:val="20"/>
          <w:lang w:eastAsia="ru-RU"/>
        </w:rPr>
        <w:t xml:space="preserve">(PCPDFWIN No. 77-0128) with the blue lines and </w:t>
      </w:r>
      <w:r w:rsidR="0081551B">
        <w:rPr>
          <w:rStyle w:val="fontstyle01"/>
          <w:rFonts w:ascii="Palatino Linotype" w:hAnsi="Palatino Linotype"/>
          <w:sz w:val="20"/>
        </w:rPr>
        <w:t xml:space="preserve">hydroxyapatite </w:t>
      </w:r>
      <w:r w:rsidR="0081551B">
        <w:rPr>
          <w:rFonts w:ascii="Palatino Linotype" w:hAnsi="Palatino Linotype"/>
          <w:sz w:val="20"/>
          <w:lang w:eastAsia="ru-RU"/>
        </w:rPr>
        <w:t>(PCPDFWIN No. 74-0566) with the magenta lines.</w:t>
      </w:r>
    </w:p>
    <w:p w14:paraId="337D1F64" w14:textId="6FF12467" w:rsidR="0081551B" w:rsidRDefault="0081551B" w:rsidP="0081551B">
      <w:pPr>
        <w:jc w:val="center"/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0090770B" wp14:editId="7F796A54">
            <wp:extent cx="5086350" cy="3600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8A989" w14:textId="77777777" w:rsidR="00D617C8" w:rsidRDefault="0001611D" w:rsidP="0081551B">
      <w:pPr>
        <w:spacing w:line="240" w:lineRule="auto"/>
        <w:jc w:val="left"/>
        <w:rPr>
          <w:rFonts w:ascii="Palatino Linotype" w:hAnsi="Palatino Linotype"/>
          <w:sz w:val="20"/>
          <w:lang w:eastAsia="ru-RU"/>
        </w:rPr>
      </w:pPr>
      <w:r w:rsidRPr="0001611D">
        <w:rPr>
          <w:b/>
          <w:bCs/>
          <w:lang w:val="en-GB"/>
        </w:rPr>
        <w:t xml:space="preserve">Fig. SI </w:t>
      </w:r>
      <w:r w:rsidR="00D617C8">
        <w:rPr>
          <w:b/>
          <w:bCs/>
          <w:lang w:val="en-GB"/>
        </w:rPr>
        <w:t>3</w:t>
      </w:r>
      <w:r w:rsidRPr="0001611D">
        <w:rPr>
          <w:rFonts w:ascii="Palatino Linotype" w:hAnsi="Palatino Linotype"/>
          <w:b/>
          <w:bCs/>
          <w:sz w:val="20"/>
          <w:lang w:eastAsia="ru-RU"/>
        </w:rPr>
        <w:t>.</w:t>
      </w:r>
      <w:r>
        <w:rPr>
          <w:rFonts w:ascii="Palatino Linotype" w:hAnsi="Palatino Linotype"/>
          <w:b/>
          <w:bCs/>
          <w:sz w:val="20"/>
          <w:lang w:eastAsia="ru-RU"/>
        </w:rPr>
        <w:t xml:space="preserve"> </w:t>
      </w:r>
      <w:r w:rsidR="0081551B">
        <w:rPr>
          <w:rFonts w:ascii="Palatino Linotype" w:hAnsi="Palatino Linotype"/>
          <w:sz w:val="20"/>
          <w:lang w:eastAsia="ru-RU"/>
        </w:rPr>
        <w:t xml:space="preserve">The X-ray diffraction pattern of calcium orthophosphate precipitated at pH 11, temperature 20 °C and initial ratio Ca/P = 0.5. </w:t>
      </w:r>
      <w:r w:rsidR="0081551B">
        <w:rPr>
          <w:rFonts w:ascii="Palatino Linotype" w:hAnsi="Palatino Linotype"/>
          <w:color w:val="auto"/>
          <w:sz w:val="20"/>
          <w:lang w:eastAsia="ru-RU"/>
        </w:rPr>
        <w:t>Aging conditions in mother solution: 24 hours at temperature 20 °C.</w:t>
      </w:r>
      <w:r w:rsidR="0081551B">
        <w:rPr>
          <w:rFonts w:ascii="Palatino Linotype" w:hAnsi="Palatino Linotype"/>
          <w:sz w:val="20"/>
          <w:lang w:eastAsia="ru-RU"/>
        </w:rPr>
        <w:t xml:space="preserve"> The figure shows dicalcium phosphate anhydrous</w:t>
      </w:r>
      <w:r w:rsidR="0081551B">
        <w:rPr>
          <w:rFonts w:ascii="Palatino Linotype" w:hAnsi="Palatino Linotype"/>
          <w:sz w:val="20"/>
          <w:vertAlign w:val="subscript"/>
          <w:lang w:eastAsia="ru-RU"/>
        </w:rPr>
        <w:t xml:space="preserve"> </w:t>
      </w:r>
      <w:r w:rsidR="0081551B">
        <w:rPr>
          <w:rFonts w:ascii="Palatino Linotype" w:hAnsi="Palatino Linotype"/>
          <w:sz w:val="20"/>
          <w:lang w:eastAsia="ru-RU"/>
        </w:rPr>
        <w:t xml:space="preserve">(PCPDFWIN No. 77-0128) with the blue lines and </w:t>
      </w:r>
      <w:r w:rsidR="0081551B">
        <w:rPr>
          <w:rStyle w:val="fontstyle01"/>
          <w:rFonts w:ascii="Palatino Linotype" w:hAnsi="Palatino Linotype"/>
          <w:sz w:val="20"/>
        </w:rPr>
        <w:t xml:space="preserve">hydroxyapatite </w:t>
      </w:r>
      <w:r w:rsidR="0081551B">
        <w:rPr>
          <w:rFonts w:ascii="Palatino Linotype" w:hAnsi="Palatino Linotype"/>
          <w:sz w:val="20"/>
          <w:lang w:eastAsia="ru-RU"/>
        </w:rPr>
        <w:t xml:space="preserve">(PCPDFWIN No. 74-0566) with </w:t>
      </w:r>
    </w:p>
    <w:p w14:paraId="622A14BF" w14:textId="273ECC19" w:rsidR="0081551B" w:rsidRDefault="0081551B" w:rsidP="0081551B">
      <w:pPr>
        <w:spacing w:line="240" w:lineRule="auto"/>
        <w:jc w:val="left"/>
        <w:rPr>
          <w:color w:val="auto"/>
          <w:sz w:val="20"/>
          <w:lang w:eastAsia="ru-RU"/>
        </w:rPr>
      </w:pPr>
      <w:r>
        <w:rPr>
          <w:rFonts w:ascii="Palatino Linotype" w:hAnsi="Palatino Linotype"/>
          <w:sz w:val="20"/>
          <w:lang w:eastAsia="ru-RU"/>
        </w:rPr>
        <w:t>the magenta lines.</w:t>
      </w:r>
    </w:p>
    <w:p w14:paraId="08A1F6CB" w14:textId="77777777" w:rsidR="00D617C8" w:rsidRDefault="00D617C8" w:rsidP="0081551B">
      <w:pPr>
        <w:rPr>
          <w:rFonts w:ascii="Palatino Linotype" w:hAnsi="Palatino Linotype"/>
          <w:sz w:val="20"/>
          <w:lang w:eastAsia="ru-RU"/>
        </w:rPr>
      </w:pPr>
    </w:p>
    <w:p w14:paraId="55F5A9E8" w14:textId="5C8E3202" w:rsidR="00121D2B" w:rsidRDefault="00121D2B" w:rsidP="00121D2B">
      <w:pPr>
        <w:jc w:val="center"/>
      </w:pPr>
      <w:r>
        <w:rPr>
          <w:noProof/>
        </w:rPr>
        <w:drawing>
          <wp:inline distT="0" distB="0" distL="0" distR="0" wp14:anchorId="02FA4354" wp14:editId="5AADE745">
            <wp:extent cx="4061460" cy="287401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4128F" w14:textId="5CBA0303" w:rsidR="00121D2B" w:rsidRPr="00A93044" w:rsidRDefault="00121D2B" w:rsidP="00121D2B">
      <w:pPr>
        <w:spacing w:line="360" w:lineRule="auto"/>
        <w:rPr>
          <w:b/>
        </w:rPr>
      </w:pPr>
      <w:r w:rsidRPr="0001611D">
        <w:rPr>
          <w:b/>
          <w:bCs/>
          <w:lang w:val="en-GB"/>
        </w:rPr>
        <w:t xml:space="preserve">Fig. SI </w:t>
      </w:r>
      <w:r w:rsidR="001B4D94">
        <w:rPr>
          <w:b/>
          <w:bCs/>
          <w:lang w:val="en-GB"/>
        </w:rPr>
        <w:t>4</w:t>
      </w:r>
      <w:bookmarkStart w:id="2" w:name="_GoBack"/>
      <w:bookmarkEnd w:id="2"/>
      <w:r w:rsidRPr="0001611D">
        <w:rPr>
          <w:rFonts w:ascii="Palatino Linotype" w:hAnsi="Palatino Linotype"/>
          <w:b/>
          <w:bCs/>
          <w:sz w:val="20"/>
          <w:lang w:eastAsia="ru-RU"/>
        </w:rPr>
        <w:t>.</w:t>
      </w:r>
      <w:r>
        <w:rPr>
          <w:rFonts w:ascii="Palatino Linotype" w:hAnsi="Palatino Linotype"/>
          <w:b/>
          <w:bCs/>
          <w:sz w:val="20"/>
          <w:lang w:eastAsia="ru-RU"/>
        </w:rPr>
        <w:t xml:space="preserve"> </w:t>
      </w:r>
      <w:r w:rsidRPr="005B2281">
        <w:t xml:space="preserve"> </w:t>
      </w:r>
      <w:r w:rsidRPr="005B2281">
        <w:rPr>
          <w:lang w:val="en-GB"/>
        </w:rPr>
        <w:t xml:space="preserve">Red curve is diffractogram of pure </w:t>
      </w:r>
      <w:r w:rsidRPr="005B2281">
        <w:t>HA maturated at 50</w:t>
      </w:r>
      <w:r w:rsidRPr="005B2281">
        <w:rPr>
          <w:lang w:val="en-GB"/>
        </w:rPr>
        <w:sym w:font="Symbol" w:char="F0B0"/>
      </w:r>
      <w:r w:rsidRPr="005B2281">
        <w:rPr>
          <w:lang w:val="en-GB"/>
        </w:rPr>
        <w:t>С</w:t>
      </w:r>
      <w:r w:rsidRPr="005B2281">
        <w:t xml:space="preserve">. Grey bars show the </w:t>
      </w:r>
      <w:r w:rsidRPr="005B2281">
        <w:rPr>
          <w:lang w:val="en-GB"/>
        </w:rPr>
        <w:t>results of the calculation of activation energies for this sample.</w:t>
      </w:r>
    </w:p>
    <w:p w14:paraId="461CA7F5" w14:textId="77777777" w:rsidR="007870AA" w:rsidRDefault="007870AA"/>
    <w:sectPr w:rsidR="007870AA" w:rsidSect="0081551B">
      <w:pgSz w:w="12240" w:h="15840"/>
      <w:pgMar w:top="810" w:right="630" w:bottom="36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xyvmjAdvP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51B"/>
    <w:rsid w:val="0001611D"/>
    <w:rsid w:val="00100318"/>
    <w:rsid w:val="00121D2B"/>
    <w:rsid w:val="00130626"/>
    <w:rsid w:val="001B4D94"/>
    <w:rsid w:val="00344F50"/>
    <w:rsid w:val="003901D1"/>
    <w:rsid w:val="004D38B2"/>
    <w:rsid w:val="00514B1D"/>
    <w:rsid w:val="007870AA"/>
    <w:rsid w:val="0081551B"/>
    <w:rsid w:val="00927202"/>
    <w:rsid w:val="009E0C70"/>
    <w:rsid w:val="00A06D44"/>
    <w:rsid w:val="00BB15D9"/>
    <w:rsid w:val="00D448D8"/>
    <w:rsid w:val="00D6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46F7E"/>
  <w15:chartTrackingRefBased/>
  <w15:docId w15:val="{4844F982-FD9A-4662-A482-FB53917F3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551B"/>
    <w:pPr>
      <w:spacing w:after="0" w:line="340" w:lineRule="atLeast"/>
      <w:jc w:val="both"/>
    </w:pPr>
    <w:rPr>
      <w:rFonts w:ascii="Times New Roman" w:eastAsia="Calibri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rsid w:val="0081551B"/>
    <w:rPr>
      <w:rFonts w:ascii="YxyvmjAdvPTimes" w:hAnsi="YxyvmjAdvPTimes" w:hint="default"/>
      <w:color w:val="000000"/>
      <w:sz w:val="18"/>
    </w:rPr>
  </w:style>
  <w:style w:type="paragraph" w:customStyle="1" w:styleId="BBAuthorName">
    <w:name w:val="BB_Author_Name"/>
    <w:basedOn w:val="Normal"/>
    <w:next w:val="BCAuthorAddress"/>
    <w:rsid w:val="00344F50"/>
    <w:pPr>
      <w:spacing w:after="240" w:line="480" w:lineRule="auto"/>
      <w:jc w:val="center"/>
    </w:pPr>
    <w:rPr>
      <w:rFonts w:ascii="Times" w:eastAsia="Times New Roman" w:hAnsi="Times"/>
      <w:i/>
      <w:color w:val="auto"/>
      <w:lang w:eastAsia="en-US"/>
    </w:rPr>
  </w:style>
  <w:style w:type="paragraph" w:customStyle="1" w:styleId="BCAuthorAddress">
    <w:name w:val="BC_Author_Address"/>
    <w:basedOn w:val="Normal"/>
    <w:next w:val="Normal"/>
    <w:rsid w:val="00344F50"/>
    <w:pPr>
      <w:spacing w:after="240" w:line="480" w:lineRule="auto"/>
      <w:jc w:val="center"/>
    </w:pPr>
    <w:rPr>
      <w:rFonts w:ascii="Times" w:eastAsia="Times New Roman" w:hAnsi="Times"/>
      <w:color w:val="auto"/>
      <w:lang w:eastAsia="en-US"/>
    </w:rPr>
  </w:style>
  <w:style w:type="character" w:styleId="Hyperlink">
    <w:name w:val="Hyperlink"/>
    <w:rsid w:val="000161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7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mailto:n_nikolenko@ukr.ne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Sakhno, Yuriy</dc:creator>
  <cp:keywords/>
  <dc:description/>
  <cp:lastModifiedBy>Yuriy Sakhno</cp:lastModifiedBy>
  <cp:revision>11</cp:revision>
  <dcterms:created xsi:type="dcterms:W3CDTF">2021-03-03T17:53:00Z</dcterms:created>
  <dcterms:modified xsi:type="dcterms:W3CDTF">2021-05-10T15:01:00Z</dcterms:modified>
</cp:coreProperties>
</file>