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154C" w:rsidRDefault="0032154C" w:rsidP="0032154C">
      <w:pPr>
        <w:pStyle w:val="NMTThesisCaptionTable"/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</w:pPr>
      <w:bookmarkStart w:id="0" w:name="_Toc55824063"/>
      <w:r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  <w:t>Supplemental Information:</w:t>
      </w:r>
    </w:p>
    <w:p w:rsidR="0032154C" w:rsidRDefault="0032154C" w:rsidP="0032154C">
      <w:pPr>
        <w:pStyle w:val="NMTThesisCaptionTable"/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</w:pPr>
      <w:r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  <w:t xml:space="preserve"> </w:t>
      </w:r>
    </w:p>
    <w:p w:rsidR="0032154C" w:rsidRDefault="0032154C" w:rsidP="0032154C">
      <w:pPr>
        <w:pStyle w:val="NMTThesisCaptionTable"/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</w:pPr>
      <w:r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  <w:t>Tables:</w:t>
      </w:r>
    </w:p>
    <w:p w:rsidR="0032154C" w:rsidRDefault="0032154C" w:rsidP="0032154C">
      <w:pPr>
        <w:pStyle w:val="NMTThesisCaptionTable"/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</w:pPr>
      <w:r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  <w:t>Table S.1.</w:t>
      </w:r>
    </w:p>
    <w:p w:rsidR="0032154C" w:rsidRDefault="0032154C" w:rsidP="0032154C">
      <w:pPr>
        <w:pStyle w:val="NMTThesisCaptionTable"/>
        <w:spacing w:after="240"/>
        <w:rPr>
          <w:rFonts w:asciiTheme="majorBidi" w:hAnsiTheme="majorBidi" w:cstheme="majorBidi"/>
          <w:color w:val="000000" w:themeColor="text1"/>
          <w:sz w:val="20"/>
          <w:szCs w:val="20"/>
        </w:rPr>
      </w:pPr>
      <w:r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 Correlation table for underground coal mines in the U.S., 1986-2018 (# of Observations = 29,707).</w:t>
      </w:r>
      <w:bookmarkEnd w:id="0"/>
    </w:p>
    <w:tbl>
      <w:tblPr>
        <w:tblStyle w:val="TableGrid1"/>
        <w:tblW w:w="5172" w:type="pct"/>
        <w:tblInd w:w="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7"/>
        <w:gridCol w:w="1244"/>
        <w:gridCol w:w="1244"/>
        <w:gridCol w:w="753"/>
        <w:gridCol w:w="756"/>
        <w:gridCol w:w="1000"/>
        <w:gridCol w:w="756"/>
        <w:gridCol w:w="756"/>
        <w:gridCol w:w="756"/>
        <w:gridCol w:w="756"/>
        <w:gridCol w:w="756"/>
        <w:gridCol w:w="756"/>
        <w:gridCol w:w="756"/>
        <w:gridCol w:w="756"/>
        <w:gridCol w:w="1024"/>
        <w:gridCol w:w="920"/>
      </w:tblGrid>
      <w:tr w:rsidR="0032154C" w:rsidTr="0032154C">
        <w:trPr>
          <w:trHeight w:val="464"/>
        </w:trPr>
        <w:tc>
          <w:tcPr>
            <w:tcW w:w="1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Row</w:t>
            </w:r>
          </w:p>
        </w:tc>
        <w:tc>
          <w:tcPr>
            <w:tcW w:w="46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Categories</w:t>
            </w:r>
          </w:p>
        </w:tc>
        <w:tc>
          <w:tcPr>
            <w:tcW w:w="46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Variable</w:t>
            </w:r>
          </w:p>
        </w:tc>
        <w:tc>
          <w:tcPr>
            <w:tcW w:w="2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Number of CWP</w:t>
            </w:r>
          </w:p>
        </w:tc>
        <w:tc>
          <w:tcPr>
            <w:tcW w:w="28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CWP rate</w:t>
            </w:r>
          </w:p>
        </w:tc>
        <w:tc>
          <w:tcPr>
            <w:tcW w:w="3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Appalachia</w:t>
            </w:r>
          </w:p>
        </w:tc>
        <w:tc>
          <w:tcPr>
            <w:tcW w:w="28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Interior</w:t>
            </w:r>
          </w:p>
        </w:tc>
        <w:tc>
          <w:tcPr>
            <w:tcW w:w="28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Western</w:t>
            </w:r>
          </w:p>
        </w:tc>
        <w:tc>
          <w:tcPr>
            <w:tcW w:w="28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Small</w:t>
            </w:r>
          </w:p>
        </w:tc>
        <w:tc>
          <w:tcPr>
            <w:tcW w:w="28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Medium</w:t>
            </w:r>
          </w:p>
        </w:tc>
        <w:tc>
          <w:tcPr>
            <w:tcW w:w="28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Large</w:t>
            </w:r>
          </w:p>
        </w:tc>
        <w:tc>
          <w:tcPr>
            <w:tcW w:w="28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Thin seam</w:t>
            </w:r>
          </w:p>
        </w:tc>
        <w:tc>
          <w:tcPr>
            <w:tcW w:w="28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Medium seam</w:t>
            </w:r>
          </w:p>
        </w:tc>
        <w:tc>
          <w:tcPr>
            <w:tcW w:w="28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Thick seam</w:t>
            </w:r>
          </w:p>
        </w:tc>
        <w:tc>
          <w:tcPr>
            <w:tcW w:w="38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Bituminous</w:t>
            </w:r>
          </w:p>
        </w:tc>
        <w:tc>
          <w:tcPr>
            <w:tcW w:w="3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Anthracite</w:t>
            </w:r>
          </w:p>
        </w:tc>
      </w:tr>
      <w:tr w:rsidR="0032154C" w:rsidTr="0032154C">
        <w:trPr>
          <w:trHeight w:val="394"/>
        </w:trPr>
        <w:tc>
          <w:tcPr>
            <w:tcW w:w="155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64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 xml:space="preserve">CWP number </w:t>
            </w:r>
          </w:p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and rate</w:t>
            </w:r>
          </w:p>
        </w:tc>
        <w:tc>
          <w:tcPr>
            <w:tcW w:w="46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Number of CWP</w:t>
            </w:r>
          </w:p>
        </w:tc>
        <w:tc>
          <w:tcPr>
            <w:tcW w:w="281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1.00</w:t>
            </w:r>
          </w:p>
        </w:tc>
        <w:tc>
          <w:tcPr>
            <w:tcW w:w="28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37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8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8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8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8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8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8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8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8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38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343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</w:tr>
      <w:tr w:rsidR="0032154C" w:rsidTr="0032154C">
        <w:trPr>
          <w:trHeight w:val="509"/>
        </w:trPr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CWP rate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0.05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1.00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</w:tr>
      <w:tr w:rsidR="0032154C" w:rsidTr="0032154C">
        <w:trPr>
          <w:trHeight w:val="499"/>
        </w:trPr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464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Geographic location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 xml:space="preserve">Appalachia 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-0.01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0.00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1.00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</w:tr>
      <w:tr w:rsidR="0032154C" w:rsidTr="0032154C">
        <w:trPr>
          <w:trHeight w:val="394"/>
        </w:trPr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 xml:space="preserve">Interior 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0.03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0.00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-0.70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1.00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</w:tr>
      <w:tr w:rsidR="0032154C" w:rsidTr="0032154C">
        <w:trPr>
          <w:trHeight w:val="394"/>
        </w:trPr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 xml:space="preserve">Western 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-0.02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0.00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-0.69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-0.03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1.00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</w:tr>
      <w:tr w:rsidR="0032154C" w:rsidTr="0032154C">
        <w:trPr>
          <w:trHeight w:val="422"/>
        </w:trPr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464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Mine size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 xml:space="preserve">Small 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-0.17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0.01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0.29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-0.24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-0.16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1.00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</w:tr>
      <w:tr w:rsidR="0032154C" w:rsidTr="0032154C">
        <w:trPr>
          <w:trHeight w:val="394"/>
        </w:trPr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 xml:space="preserve">Medium 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0.02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0.00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-0.05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0.02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0.05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-0.61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1.00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</w:tr>
      <w:tr w:rsidR="0032154C" w:rsidTr="0032154C">
        <w:trPr>
          <w:trHeight w:val="394"/>
        </w:trPr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 xml:space="preserve">Large 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0.19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0.00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-0.31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0.28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0.16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-0.72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-0.12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1.00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</w:tr>
      <w:tr w:rsidR="0032154C" w:rsidTr="0032154C">
        <w:trPr>
          <w:trHeight w:val="602"/>
        </w:trPr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464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Seam thickness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Thin seam (≤40”)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-0.06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-0.01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0.15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-0.10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-0.10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0.26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-0.13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-0.21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1.00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</w:tr>
      <w:tr w:rsidR="0032154C" w:rsidTr="0032154C">
        <w:trPr>
          <w:trHeight w:val="602"/>
        </w:trPr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highlight w:val="yellow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Medium seam (&gt;40, ≤75”)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0.01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0.01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0.12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-0.02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-0.15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-0.05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0.08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-0.01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-0.73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1.00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</w:tr>
      <w:tr w:rsidR="0032154C" w:rsidTr="0032154C">
        <w:trPr>
          <w:trHeight w:val="488"/>
        </w:trPr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Thick seam (&gt;75”)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0.05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0.00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-0.36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0.16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0.35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-0.27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0.05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0.29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-0.25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-0.48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1.00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</w:tr>
      <w:tr w:rsidR="0032154C" w:rsidTr="0032154C">
        <w:trPr>
          <w:trHeight w:val="509"/>
        </w:trPr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464" w:type="pct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Coal rank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 xml:space="preserve">Bituminous 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0.02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0.00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-0.05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0.04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0.04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-0.11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0.06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0.08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0.07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-0.02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-0.06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1.00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</w:tr>
      <w:tr w:rsidR="0032154C" w:rsidTr="0032154C">
        <w:trPr>
          <w:trHeight w:val="394"/>
        </w:trPr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 xml:space="preserve">Anthracite 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-0.02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0.00***</w:t>
            </w:r>
          </w:p>
        </w:tc>
        <w:tc>
          <w:tcPr>
            <w:tcW w:w="37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0.05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-0.04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-0.04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0.11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-0.06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-0.08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-0.07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0.02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0.06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-1.00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34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1.00</w:t>
            </w:r>
          </w:p>
        </w:tc>
      </w:tr>
      <w:tr w:rsidR="0032154C" w:rsidTr="0032154C">
        <w:trPr>
          <w:trHeight w:val="394"/>
        </w:trPr>
        <w:tc>
          <w:tcPr>
            <w:tcW w:w="1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Row</w:t>
            </w:r>
          </w:p>
        </w:tc>
        <w:tc>
          <w:tcPr>
            <w:tcW w:w="46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Categories</w:t>
            </w:r>
          </w:p>
        </w:tc>
        <w:tc>
          <w:tcPr>
            <w:tcW w:w="46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Variable</w:t>
            </w:r>
          </w:p>
        </w:tc>
        <w:tc>
          <w:tcPr>
            <w:tcW w:w="2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Number of CWP</w:t>
            </w:r>
          </w:p>
        </w:tc>
        <w:tc>
          <w:tcPr>
            <w:tcW w:w="28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CWP rate</w:t>
            </w:r>
          </w:p>
        </w:tc>
        <w:tc>
          <w:tcPr>
            <w:tcW w:w="3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Appalachia</w:t>
            </w:r>
          </w:p>
        </w:tc>
        <w:tc>
          <w:tcPr>
            <w:tcW w:w="28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Interior</w:t>
            </w:r>
          </w:p>
        </w:tc>
        <w:tc>
          <w:tcPr>
            <w:tcW w:w="28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Western</w:t>
            </w:r>
          </w:p>
        </w:tc>
        <w:tc>
          <w:tcPr>
            <w:tcW w:w="28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Small</w:t>
            </w:r>
          </w:p>
        </w:tc>
        <w:tc>
          <w:tcPr>
            <w:tcW w:w="28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Medium</w:t>
            </w:r>
          </w:p>
        </w:tc>
        <w:tc>
          <w:tcPr>
            <w:tcW w:w="28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Large</w:t>
            </w:r>
          </w:p>
        </w:tc>
        <w:tc>
          <w:tcPr>
            <w:tcW w:w="28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Thin seam</w:t>
            </w:r>
          </w:p>
        </w:tc>
        <w:tc>
          <w:tcPr>
            <w:tcW w:w="28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Medium seam</w:t>
            </w:r>
          </w:p>
        </w:tc>
        <w:tc>
          <w:tcPr>
            <w:tcW w:w="28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Thick seam</w:t>
            </w:r>
          </w:p>
        </w:tc>
        <w:tc>
          <w:tcPr>
            <w:tcW w:w="38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Bituminous</w:t>
            </w:r>
          </w:p>
        </w:tc>
        <w:tc>
          <w:tcPr>
            <w:tcW w:w="3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Anthracite</w:t>
            </w:r>
          </w:p>
        </w:tc>
      </w:tr>
    </w:tbl>
    <w:p w:rsidR="0032154C" w:rsidRDefault="0032154C" w:rsidP="0032154C">
      <w:pPr>
        <w:spacing w:line="240" w:lineRule="auto"/>
        <w:rPr>
          <w:rFonts w:asciiTheme="majorBidi" w:eastAsia="Times New Roman" w:hAnsiTheme="majorBidi" w:cstheme="majorBidi"/>
          <w:color w:val="000000" w:themeColor="text1"/>
          <w:sz w:val="20"/>
          <w:szCs w:val="20"/>
        </w:rPr>
      </w:pPr>
      <w:r>
        <w:rPr>
          <w:rFonts w:asciiTheme="majorBidi" w:eastAsia="Times New Roman" w:hAnsiTheme="majorBidi" w:cstheme="majorBidi"/>
          <w:color w:val="000000" w:themeColor="text1"/>
          <w:sz w:val="20"/>
          <w:szCs w:val="20"/>
          <w:vertAlign w:val="superscript"/>
        </w:rPr>
        <w:t>1</w:t>
      </w:r>
      <w:r>
        <w:rPr>
          <w:rFonts w:asciiTheme="majorBidi" w:eastAsia="Times New Roman" w:hAnsiTheme="majorBidi" w:cstheme="majorBidi"/>
          <w:i/>
          <w:iCs/>
          <w:color w:val="000000" w:themeColor="text1"/>
          <w:sz w:val="20"/>
          <w:szCs w:val="20"/>
        </w:rPr>
        <w:t xml:space="preserve">p </w:t>
      </w:r>
      <w:r>
        <w:rPr>
          <w:rFonts w:asciiTheme="majorBidi" w:eastAsia="Times New Roman" w:hAnsiTheme="majorBidi" w:cstheme="majorBidi"/>
          <w:color w:val="000000" w:themeColor="text1"/>
          <w:sz w:val="20"/>
          <w:szCs w:val="20"/>
        </w:rPr>
        <w:t xml:space="preserve">&lt; 0.01, </w:t>
      </w:r>
      <w:r>
        <w:rPr>
          <w:rFonts w:asciiTheme="majorBidi" w:eastAsia="Times New Roman" w:hAnsiTheme="majorBidi" w:cstheme="majorBidi"/>
          <w:color w:val="000000" w:themeColor="text1"/>
          <w:sz w:val="20"/>
          <w:szCs w:val="20"/>
          <w:vertAlign w:val="superscript"/>
        </w:rPr>
        <w:t>2</w:t>
      </w:r>
      <w:r>
        <w:rPr>
          <w:rFonts w:asciiTheme="majorBidi" w:eastAsia="Times New Roman" w:hAnsiTheme="majorBidi" w:cstheme="majorBidi"/>
          <w:i/>
          <w:iCs/>
          <w:color w:val="000000" w:themeColor="text1"/>
          <w:sz w:val="20"/>
          <w:szCs w:val="20"/>
        </w:rPr>
        <w:t xml:space="preserve">p </w:t>
      </w:r>
      <w:r>
        <w:rPr>
          <w:rFonts w:asciiTheme="majorBidi" w:eastAsia="Times New Roman" w:hAnsiTheme="majorBidi" w:cstheme="majorBidi"/>
          <w:color w:val="000000" w:themeColor="text1"/>
          <w:sz w:val="20"/>
          <w:szCs w:val="20"/>
        </w:rPr>
        <w:t xml:space="preserve">&lt; 0.05, </w:t>
      </w:r>
      <w:r>
        <w:rPr>
          <w:rFonts w:asciiTheme="majorBidi" w:eastAsia="Times New Roman" w:hAnsiTheme="majorBidi" w:cstheme="majorBidi"/>
          <w:color w:val="000000" w:themeColor="text1"/>
          <w:sz w:val="20"/>
          <w:szCs w:val="20"/>
          <w:vertAlign w:val="superscript"/>
        </w:rPr>
        <w:t>3</w:t>
      </w:r>
      <w:r>
        <w:rPr>
          <w:rFonts w:asciiTheme="majorBidi" w:eastAsia="Times New Roman" w:hAnsiTheme="majorBidi" w:cstheme="majorBidi"/>
          <w:i/>
          <w:iCs/>
          <w:color w:val="000000" w:themeColor="text1"/>
          <w:sz w:val="20"/>
          <w:szCs w:val="20"/>
        </w:rPr>
        <w:t xml:space="preserve">p </w:t>
      </w:r>
      <w:r>
        <w:rPr>
          <w:rFonts w:asciiTheme="majorBidi" w:eastAsia="Times New Roman" w:hAnsiTheme="majorBidi" w:cstheme="majorBidi"/>
          <w:color w:val="000000" w:themeColor="text1"/>
          <w:sz w:val="20"/>
          <w:szCs w:val="20"/>
        </w:rPr>
        <w:t xml:space="preserve">&lt; 0.1, The numbers without superscripts are not significant at </w:t>
      </w:r>
      <w:r>
        <w:rPr>
          <w:rFonts w:asciiTheme="majorBidi" w:eastAsia="Times New Roman" w:hAnsiTheme="majorBidi" w:cstheme="majorBidi"/>
          <w:i/>
          <w:iCs/>
          <w:color w:val="000000" w:themeColor="text1"/>
          <w:sz w:val="20"/>
          <w:szCs w:val="20"/>
        </w:rPr>
        <w:t xml:space="preserve">p </w:t>
      </w:r>
      <w:r>
        <w:rPr>
          <w:rFonts w:asciiTheme="majorBidi" w:eastAsia="Times New Roman" w:hAnsiTheme="majorBidi" w:cstheme="majorBidi"/>
          <w:color w:val="000000" w:themeColor="text1"/>
          <w:sz w:val="20"/>
          <w:szCs w:val="20"/>
        </w:rPr>
        <w:t>&lt; 0.1.</w:t>
      </w:r>
    </w:p>
    <w:p w:rsidR="0032154C" w:rsidRDefault="0032154C" w:rsidP="0032154C">
      <w:pPr>
        <w:pStyle w:val="NMTThesisCaptionTable"/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</w:pPr>
      <w:bookmarkStart w:id="1" w:name="_Toc55824064"/>
      <w:r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  <w:lastRenderedPageBreak/>
        <w:t>Table S.2.</w:t>
      </w:r>
    </w:p>
    <w:p w:rsidR="0032154C" w:rsidRDefault="0032154C" w:rsidP="0032154C">
      <w:pPr>
        <w:pStyle w:val="NMTThesisCaptionTable"/>
        <w:spacing w:after="240"/>
        <w:rPr>
          <w:rFonts w:asciiTheme="majorBidi" w:eastAsia="Calibri" w:hAnsiTheme="majorBidi" w:cstheme="majorBidi"/>
          <w:color w:val="000000" w:themeColor="text1"/>
          <w:sz w:val="22"/>
          <w:szCs w:val="20"/>
        </w:rPr>
      </w:pPr>
      <w:r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 Correlation table (star means different significant level) for surface coal mines in the U.S., 1986-2018 (# of Observations = 32,643).</w:t>
      </w:r>
      <w:bookmarkEnd w:id="1"/>
    </w:p>
    <w:tbl>
      <w:tblPr>
        <w:tblStyle w:val="TableGrid1"/>
        <w:tblW w:w="5257" w:type="pct"/>
        <w:jc w:val="center"/>
        <w:tblInd w:w="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2"/>
        <w:gridCol w:w="1230"/>
        <w:gridCol w:w="1227"/>
        <w:gridCol w:w="745"/>
        <w:gridCol w:w="745"/>
        <w:gridCol w:w="987"/>
        <w:gridCol w:w="23"/>
        <w:gridCol w:w="720"/>
        <w:gridCol w:w="191"/>
        <w:gridCol w:w="551"/>
        <w:gridCol w:w="257"/>
        <w:gridCol w:w="486"/>
        <w:gridCol w:w="238"/>
        <w:gridCol w:w="505"/>
        <w:gridCol w:w="306"/>
        <w:gridCol w:w="438"/>
        <w:gridCol w:w="310"/>
        <w:gridCol w:w="435"/>
        <w:gridCol w:w="304"/>
        <w:gridCol w:w="440"/>
        <w:gridCol w:w="291"/>
        <w:gridCol w:w="454"/>
        <w:gridCol w:w="274"/>
        <w:gridCol w:w="738"/>
        <w:gridCol w:w="301"/>
        <w:gridCol w:w="607"/>
        <w:gridCol w:w="321"/>
      </w:tblGrid>
      <w:tr w:rsidR="0032154C" w:rsidTr="0032154C">
        <w:trPr>
          <w:trHeight w:val="511"/>
          <w:jc w:val="center"/>
        </w:trPr>
        <w:tc>
          <w:tcPr>
            <w:tcW w:w="18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Row</w:t>
            </w:r>
          </w:p>
        </w:tc>
        <w:tc>
          <w:tcPr>
            <w:tcW w:w="4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Categories</w:t>
            </w:r>
          </w:p>
        </w:tc>
        <w:tc>
          <w:tcPr>
            <w:tcW w:w="4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Variable</w:t>
            </w:r>
          </w:p>
        </w:tc>
        <w:tc>
          <w:tcPr>
            <w:tcW w:w="27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Number of CWP</w:t>
            </w:r>
          </w:p>
        </w:tc>
        <w:tc>
          <w:tcPr>
            <w:tcW w:w="27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CWP rate</w:t>
            </w:r>
          </w:p>
        </w:tc>
        <w:tc>
          <w:tcPr>
            <w:tcW w:w="37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Appalachia</w:t>
            </w:r>
          </w:p>
        </w:tc>
        <w:tc>
          <w:tcPr>
            <w:tcW w:w="33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Interior</w:t>
            </w:r>
          </w:p>
        </w:tc>
        <w:tc>
          <w:tcPr>
            <w:tcW w:w="29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Western</w:t>
            </w:r>
          </w:p>
        </w:tc>
        <w:tc>
          <w:tcPr>
            <w:tcW w:w="26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Small</w:t>
            </w:r>
          </w:p>
        </w:tc>
        <w:tc>
          <w:tcPr>
            <w:tcW w:w="2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Medium</w:t>
            </w:r>
          </w:p>
        </w:tc>
        <w:tc>
          <w:tcPr>
            <w:tcW w:w="27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Large</w:t>
            </w:r>
          </w:p>
        </w:tc>
        <w:tc>
          <w:tcPr>
            <w:tcW w:w="27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Thin seam</w:t>
            </w:r>
          </w:p>
        </w:tc>
        <w:tc>
          <w:tcPr>
            <w:tcW w:w="26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Medium seam</w:t>
            </w:r>
          </w:p>
        </w:tc>
        <w:tc>
          <w:tcPr>
            <w:tcW w:w="26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Thick seam</w:t>
            </w:r>
          </w:p>
        </w:tc>
        <w:tc>
          <w:tcPr>
            <w:tcW w:w="38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Bituminous</w:t>
            </w:r>
          </w:p>
        </w:tc>
        <w:tc>
          <w:tcPr>
            <w:tcW w:w="34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Anthracite</w:t>
            </w:r>
          </w:p>
        </w:tc>
      </w:tr>
      <w:tr w:rsidR="0032154C" w:rsidTr="0032154C">
        <w:trPr>
          <w:trHeight w:val="399"/>
          <w:jc w:val="center"/>
        </w:trPr>
        <w:tc>
          <w:tcPr>
            <w:tcW w:w="185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42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 xml:space="preserve">CWP number </w:t>
            </w:r>
          </w:p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and rate</w:t>
            </w:r>
          </w:p>
        </w:tc>
        <w:tc>
          <w:tcPr>
            <w:tcW w:w="44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Number of CWP</w:t>
            </w:r>
          </w:p>
        </w:tc>
        <w:tc>
          <w:tcPr>
            <w:tcW w:w="27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1.00</w:t>
            </w:r>
          </w:p>
        </w:tc>
        <w:tc>
          <w:tcPr>
            <w:tcW w:w="27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372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336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98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67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99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75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72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69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68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382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345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</w:tr>
      <w:tr w:rsidR="0032154C" w:rsidTr="0032154C">
        <w:trPr>
          <w:trHeight w:val="591"/>
          <w:jc w:val="center"/>
        </w:trPr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CWP rate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0.03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1.00</w:t>
            </w:r>
          </w:p>
        </w:tc>
        <w:tc>
          <w:tcPr>
            <w:tcW w:w="37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33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9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67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9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7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7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6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6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38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345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</w:tr>
      <w:tr w:rsidR="0032154C" w:rsidTr="0032154C">
        <w:trPr>
          <w:trHeight w:val="399"/>
          <w:jc w:val="center"/>
        </w:trPr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442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Geographic location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 xml:space="preserve">Appalachia 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0.01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0.00</w:t>
            </w:r>
          </w:p>
        </w:tc>
        <w:tc>
          <w:tcPr>
            <w:tcW w:w="37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bidi="fa-IR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bidi="fa-IR"/>
              </w:rPr>
              <w:t>1.00</w:t>
            </w:r>
          </w:p>
        </w:tc>
        <w:tc>
          <w:tcPr>
            <w:tcW w:w="33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 w:hint="cs"/>
                <w:color w:val="000000" w:themeColor="text1"/>
                <w:sz w:val="20"/>
                <w:szCs w:val="20"/>
                <w:rtl/>
              </w:rPr>
            </w:pPr>
          </w:p>
        </w:tc>
        <w:tc>
          <w:tcPr>
            <w:tcW w:w="29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67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9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7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7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6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6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38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345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</w:tr>
      <w:tr w:rsidR="0032154C" w:rsidTr="0032154C">
        <w:trPr>
          <w:trHeight w:val="399"/>
          <w:jc w:val="center"/>
        </w:trPr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 xml:space="preserve">Interior 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-0.01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0.00</w:t>
            </w:r>
          </w:p>
        </w:tc>
        <w:tc>
          <w:tcPr>
            <w:tcW w:w="37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-0.78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33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1.00</w:t>
            </w:r>
          </w:p>
        </w:tc>
        <w:tc>
          <w:tcPr>
            <w:tcW w:w="29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67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9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7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7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6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6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38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345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</w:tr>
      <w:tr w:rsidR="0032154C" w:rsidTr="0032154C">
        <w:trPr>
          <w:trHeight w:val="399"/>
          <w:jc w:val="center"/>
        </w:trPr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 xml:space="preserve">Western 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-0.01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0.00</w:t>
            </w:r>
          </w:p>
        </w:tc>
        <w:tc>
          <w:tcPr>
            <w:tcW w:w="37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-0.57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33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-0.07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29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1.00</w:t>
            </w:r>
          </w:p>
        </w:tc>
        <w:tc>
          <w:tcPr>
            <w:tcW w:w="267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9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7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7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6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6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38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345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</w:tr>
      <w:tr w:rsidR="0032154C" w:rsidTr="0032154C">
        <w:trPr>
          <w:trHeight w:val="399"/>
          <w:jc w:val="center"/>
        </w:trPr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442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Mine size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Small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-0.09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0.00</w:t>
            </w:r>
          </w:p>
        </w:tc>
        <w:tc>
          <w:tcPr>
            <w:tcW w:w="37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0.40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33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-0.19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29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-0.39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267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1.00</w:t>
            </w:r>
          </w:p>
        </w:tc>
        <w:tc>
          <w:tcPr>
            <w:tcW w:w="29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7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7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6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6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38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345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</w:tr>
      <w:tr w:rsidR="0032154C" w:rsidTr="0032154C">
        <w:trPr>
          <w:trHeight w:val="379"/>
          <w:jc w:val="center"/>
        </w:trPr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Medium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0.03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0.00</w:t>
            </w:r>
          </w:p>
        </w:tc>
        <w:tc>
          <w:tcPr>
            <w:tcW w:w="37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-0.09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33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0.08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29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0.05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267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-0.68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29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1.00</w:t>
            </w:r>
          </w:p>
        </w:tc>
        <w:tc>
          <w:tcPr>
            <w:tcW w:w="27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7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6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6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38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345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</w:tr>
      <w:tr w:rsidR="0032154C" w:rsidTr="0032154C">
        <w:trPr>
          <w:trHeight w:val="371"/>
          <w:jc w:val="center"/>
        </w:trPr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Large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0.10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0.00</w:t>
            </w:r>
          </w:p>
        </w:tc>
        <w:tc>
          <w:tcPr>
            <w:tcW w:w="37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-0.44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33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0.19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29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0.46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267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-0.67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29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-0.08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27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1.00</w:t>
            </w:r>
          </w:p>
        </w:tc>
        <w:tc>
          <w:tcPr>
            <w:tcW w:w="27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6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6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38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345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</w:tr>
      <w:tr w:rsidR="0032154C" w:rsidTr="0032154C">
        <w:trPr>
          <w:trHeight w:val="606"/>
          <w:jc w:val="center"/>
        </w:trPr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442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Seam thickness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Thin seam (≤40”)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-0.04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0.00</w:t>
            </w:r>
          </w:p>
        </w:tc>
        <w:tc>
          <w:tcPr>
            <w:tcW w:w="37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0.12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33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-0.01</w:t>
            </w:r>
          </w:p>
        </w:tc>
        <w:tc>
          <w:tcPr>
            <w:tcW w:w="29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-0.19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267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0.20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29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-0.06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27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-0.20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27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1.00</w:t>
            </w:r>
          </w:p>
        </w:tc>
        <w:tc>
          <w:tcPr>
            <w:tcW w:w="26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6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38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345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</w:tr>
      <w:tr w:rsidR="0032154C" w:rsidTr="0032154C">
        <w:trPr>
          <w:trHeight w:val="591"/>
          <w:jc w:val="center"/>
        </w:trPr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Medium seam (&gt;40, ≤75”)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0.02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0.01</w:t>
            </w:r>
          </w:p>
        </w:tc>
        <w:tc>
          <w:tcPr>
            <w:tcW w:w="37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0.08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33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0.01</w:t>
            </w:r>
          </w:p>
        </w:tc>
        <w:tc>
          <w:tcPr>
            <w:tcW w:w="29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-0.14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267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-0.02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29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0.03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27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-0.1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27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-0.74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26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1.00</w:t>
            </w:r>
          </w:p>
        </w:tc>
        <w:tc>
          <w:tcPr>
            <w:tcW w:w="26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38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345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</w:tr>
      <w:tr w:rsidR="0032154C" w:rsidTr="0032154C">
        <w:trPr>
          <w:trHeight w:val="591"/>
          <w:jc w:val="center"/>
        </w:trPr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Thick seam (&gt;75”)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0.04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0.00</w:t>
            </w:r>
          </w:p>
        </w:tc>
        <w:tc>
          <w:tcPr>
            <w:tcW w:w="37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-0.28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33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-0.00</w:t>
            </w:r>
          </w:p>
        </w:tc>
        <w:tc>
          <w:tcPr>
            <w:tcW w:w="29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0.45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267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-0.25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29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0.04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27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0.30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27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-0.41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26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-0.32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26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1.00</w:t>
            </w:r>
          </w:p>
        </w:tc>
        <w:tc>
          <w:tcPr>
            <w:tcW w:w="38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345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</w:tr>
      <w:tr w:rsidR="0032154C" w:rsidTr="0032154C">
        <w:trPr>
          <w:trHeight w:val="399"/>
          <w:jc w:val="center"/>
        </w:trPr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442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Coal rank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 xml:space="preserve">Bituminous 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-0.01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0.00</w:t>
            </w:r>
          </w:p>
        </w:tc>
        <w:tc>
          <w:tcPr>
            <w:tcW w:w="37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-0.11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33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0.08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29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0.06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267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-0.09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29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0.06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27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0.07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27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0.20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26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0.02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26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-0.03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38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1.00</w:t>
            </w:r>
          </w:p>
        </w:tc>
        <w:tc>
          <w:tcPr>
            <w:tcW w:w="345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</w:tr>
      <w:tr w:rsidR="0032154C" w:rsidTr="0032154C">
        <w:trPr>
          <w:trHeight w:val="399"/>
          <w:jc w:val="center"/>
        </w:trPr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Anthracite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0.01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0.00</w:t>
            </w:r>
          </w:p>
        </w:tc>
        <w:tc>
          <w:tcPr>
            <w:tcW w:w="37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0.11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33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-0.08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29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-0.06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267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0.09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29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-0.06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27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-0.07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27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-0.20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26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-0.02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26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0.03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38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-1.00</w:t>
            </w:r>
          </w:p>
        </w:tc>
        <w:tc>
          <w:tcPr>
            <w:tcW w:w="34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1.00</w:t>
            </w:r>
          </w:p>
        </w:tc>
      </w:tr>
      <w:tr w:rsidR="0032154C" w:rsidTr="0032154C">
        <w:trPr>
          <w:gridAfter w:val="1"/>
          <w:wAfter w:w="137" w:type="pct"/>
          <w:trHeight w:val="478"/>
          <w:jc w:val="center"/>
        </w:trPr>
        <w:tc>
          <w:tcPr>
            <w:tcW w:w="15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Row</w:t>
            </w:r>
          </w:p>
        </w:tc>
        <w:tc>
          <w:tcPr>
            <w:tcW w:w="45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Categories</w:t>
            </w:r>
          </w:p>
        </w:tc>
        <w:tc>
          <w:tcPr>
            <w:tcW w:w="45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Variable</w:t>
            </w:r>
          </w:p>
        </w:tc>
        <w:tc>
          <w:tcPr>
            <w:tcW w:w="27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Number of CWP</w:t>
            </w:r>
          </w:p>
        </w:tc>
        <w:tc>
          <w:tcPr>
            <w:tcW w:w="27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CWP rate</w:t>
            </w:r>
          </w:p>
        </w:tc>
        <w:tc>
          <w:tcPr>
            <w:tcW w:w="3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Appalachia</w:t>
            </w:r>
          </w:p>
        </w:tc>
        <w:tc>
          <w:tcPr>
            <w:tcW w:w="2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Interior</w:t>
            </w:r>
          </w:p>
        </w:tc>
        <w:tc>
          <w:tcPr>
            <w:tcW w:w="2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Western</w:t>
            </w:r>
          </w:p>
        </w:tc>
        <w:tc>
          <w:tcPr>
            <w:tcW w:w="2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Small</w:t>
            </w:r>
          </w:p>
        </w:tc>
        <w:tc>
          <w:tcPr>
            <w:tcW w:w="2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Medium</w:t>
            </w:r>
          </w:p>
        </w:tc>
        <w:tc>
          <w:tcPr>
            <w:tcW w:w="2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Large</w:t>
            </w:r>
          </w:p>
        </w:tc>
        <w:tc>
          <w:tcPr>
            <w:tcW w:w="2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Thin seam</w:t>
            </w:r>
          </w:p>
        </w:tc>
        <w:tc>
          <w:tcPr>
            <w:tcW w:w="2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Medium seam</w:t>
            </w:r>
          </w:p>
        </w:tc>
        <w:tc>
          <w:tcPr>
            <w:tcW w:w="2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Thick seam</w:t>
            </w:r>
          </w:p>
        </w:tc>
        <w:tc>
          <w:tcPr>
            <w:tcW w:w="37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Bituminous</w:t>
            </w:r>
          </w:p>
        </w:tc>
        <w:tc>
          <w:tcPr>
            <w:tcW w:w="33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2154C" w:rsidRDefault="0032154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Anthracite</w:t>
            </w:r>
          </w:p>
        </w:tc>
      </w:tr>
    </w:tbl>
    <w:p w:rsidR="0032154C" w:rsidRDefault="0032154C" w:rsidP="0032154C">
      <w:pPr>
        <w:spacing w:line="240" w:lineRule="auto"/>
        <w:ind w:left="-270"/>
        <w:rPr>
          <w:rFonts w:asciiTheme="majorBidi" w:eastAsia="Times New Roman" w:hAnsiTheme="majorBidi" w:cstheme="majorBidi"/>
          <w:color w:val="000000" w:themeColor="text1"/>
          <w:sz w:val="20"/>
          <w:szCs w:val="20"/>
        </w:rPr>
      </w:pPr>
      <w:r>
        <w:rPr>
          <w:rFonts w:asciiTheme="majorBidi" w:eastAsia="Times New Roman" w:hAnsiTheme="majorBidi" w:cstheme="majorBidi"/>
          <w:color w:val="000000" w:themeColor="text1"/>
          <w:sz w:val="20"/>
          <w:szCs w:val="20"/>
          <w:vertAlign w:val="superscript"/>
        </w:rPr>
        <w:t>1</w:t>
      </w:r>
      <w:r>
        <w:rPr>
          <w:rFonts w:asciiTheme="majorBidi" w:eastAsia="Times New Roman" w:hAnsiTheme="majorBidi" w:cstheme="majorBidi"/>
          <w:i/>
          <w:iCs/>
          <w:color w:val="000000" w:themeColor="text1"/>
          <w:sz w:val="20"/>
          <w:szCs w:val="20"/>
        </w:rPr>
        <w:t xml:space="preserve">p </w:t>
      </w:r>
      <w:r>
        <w:rPr>
          <w:rFonts w:asciiTheme="majorBidi" w:eastAsia="Times New Roman" w:hAnsiTheme="majorBidi" w:cstheme="majorBidi"/>
          <w:color w:val="000000" w:themeColor="text1"/>
          <w:sz w:val="20"/>
          <w:szCs w:val="20"/>
        </w:rPr>
        <w:t xml:space="preserve">&lt; 0.01, </w:t>
      </w:r>
      <w:r>
        <w:rPr>
          <w:rFonts w:asciiTheme="majorBidi" w:eastAsia="Times New Roman" w:hAnsiTheme="majorBidi" w:cstheme="majorBidi"/>
          <w:color w:val="000000" w:themeColor="text1"/>
          <w:sz w:val="20"/>
          <w:szCs w:val="20"/>
          <w:vertAlign w:val="superscript"/>
        </w:rPr>
        <w:t>2</w:t>
      </w:r>
      <w:r>
        <w:rPr>
          <w:rFonts w:asciiTheme="majorBidi" w:eastAsia="Times New Roman" w:hAnsiTheme="majorBidi" w:cstheme="majorBidi"/>
          <w:i/>
          <w:iCs/>
          <w:color w:val="000000" w:themeColor="text1"/>
          <w:sz w:val="20"/>
          <w:szCs w:val="20"/>
        </w:rPr>
        <w:t xml:space="preserve">p </w:t>
      </w:r>
      <w:r>
        <w:rPr>
          <w:rFonts w:asciiTheme="majorBidi" w:eastAsia="Times New Roman" w:hAnsiTheme="majorBidi" w:cstheme="majorBidi"/>
          <w:color w:val="000000" w:themeColor="text1"/>
          <w:sz w:val="20"/>
          <w:szCs w:val="20"/>
        </w:rPr>
        <w:t xml:space="preserve">&lt; 0.05, </w:t>
      </w:r>
      <w:r>
        <w:rPr>
          <w:rFonts w:asciiTheme="majorBidi" w:eastAsia="Times New Roman" w:hAnsiTheme="majorBidi" w:cstheme="majorBidi"/>
          <w:color w:val="000000" w:themeColor="text1"/>
          <w:sz w:val="20"/>
          <w:szCs w:val="20"/>
          <w:vertAlign w:val="superscript"/>
        </w:rPr>
        <w:t>3</w:t>
      </w:r>
      <w:r>
        <w:rPr>
          <w:rFonts w:asciiTheme="majorBidi" w:eastAsia="Times New Roman" w:hAnsiTheme="majorBidi" w:cstheme="majorBidi"/>
          <w:i/>
          <w:iCs/>
          <w:color w:val="000000" w:themeColor="text1"/>
          <w:sz w:val="20"/>
          <w:szCs w:val="20"/>
        </w:rPr>
        <w:t xml:space="preserve">p </w:t>
      </w:r>
      <w:r>
        <w:rPr>
          <w:rFonts w:asciiTheme="majorBidi" w:eastAsia="Times New Roman" w:hAnsiTheme="majorBidi" w:cstheme="majorBidi"/>
          <w:color w:val="000000" w:themeColor="text1"/>
          <w:sz w:val="20"/>
          <w:szCs w:val="20"/>
        </w:rPr>
        <w:t xml:space="preserve">&lt; 0.1, The numbers without superscripts are not significant at </w:t>
      </w:r>
      <w:r>
        <w:rPr>
          <w:rFonts w:asciiTheme="majorBidi" w:eastAsia="Times New Roman" w:hAnsiTheme="majorBidi" w:cstheme="majorBidi"/>
          <w:i/>
          <w:iCs/>
          <w:color w:val="000000" w:themeColor="text1"/>
          <w:sz w:val="20"/>
          <w:szCs w:val="20"/>
        </w:rPr>
        <w:t xml:space="preserve">p </w:t>
      </w:r>
      <w:r>
        <w:rPr>
          <w:rFonts w:asciiTheme="majorBidi" w:eastAsia="Times New Roman" w:hAnsiTheme="majorBidi" w:cstheme="majorBidi"/>
          <w:color w:val="000000" w:themeColor="text1"/>
          <w:sz w:val="20"/>
          <w:szCs w:val="20"/>
        </w:rPr>
        <w:t>&lt; 0.1.</w:t>
      </w:r>
    </w:p>
    <w:p w:rsidR="0032154C" w:rsidRDefault="0032154C" w:rsidP="0032154C">
      <w:pPr>
        <w:spacing w:after="0" w:line="240" w:lineRule="auto"/>
        <w:rPr>
          <w:rFonts w:asciiTheme="majorBidi" w:eastAsia="Times New Roman" w:hAnsiTheme="majorBidi" w:cstheme="majorBidi"/>
          <w:color w:val="000000" w:themeColor="text1"/>
          <w:sz w:val="20"/>
          <w:szCs w:val="20"/>
        </w:rPr>
        <w:sectPr w:rsidR="0032154C">
          <w:pgSz w:w="15840" w:h="12240" w:orient="landscape"/>
          <w:pgMar w:top="1440" w:right="1440" w:bottom="1440" w:left="1440" w:header="720" w:footer="720" w:gutter="0"/>
          <w:cols w:space="720"/>
        </w:sectPr>
      </w:pPr>
    </w:p>
    <w:p w:rsidR="0032154C" w:rsidRDefault="0032154C" w:rsidP="0032154C">
      <w:pPr>
        <w:spacing w:line="240" w:lineRule="auto"/>
        <w:ind w:left="-270"/>
        <w:rPr>
          <w:rFonts w:asciiTheme="majorBidi" w:eastAsia="Times New Roman" w:hAnsiTheme="majorBidi" w:cstheme="majorBidi"/>
          <w:color w:val="000000" w:themeColor="text1"/>
          <w:sz w:val="20"/>
          <w:szCs w:val="20"/>
        </w:rPr>
      </w:pPr>
    </w:p>
    <w:p w:rsidR="0032154C" w:rsidRDefault="0032154C" w:rsidP="0032154C">
      <w:pPr>
        <w:pStyle w:val="NMTThesisCaptionTable"/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</w:pPr>
      <w:bookmarkStart w:id="2" w:name="_Toc55824066"/>
      <w:r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  <w:t>Table S3</w:t>
      </w:r>
    </w:p>
    <w:p w:rsidR="0032154C" w:rsidRDefault="0032154C" w:rsidP="0032154C">
      <w:pPr>
        <w:pStyle w:val="NMTThesisCaptionTable"/>
        <w:rPr>
          <w:rFonts w:asciiTheme="majorBidi" w:hAnsiTheme="majorBidi" w:cstheme="majorBidi"/>
          <w:color w:val="000000" w:themeColor="text1"/>
          <w:sz w:val="20"/>
          <w:szCs w:val="20"/>
        </w:rPr>
      </w:pPr>
      <w:r>
        <w:rPr>
          <w:rFonts w:asciiTheme="majorBidi" w:eastAsia="Times New Roman" w:hAnsiTheme="majorBidi" w:cstheme="majorBidi"/>
          <w:color w:val="000000" w:themeColor="text1"/>
          <w:sz w:val="20"/>
          <w:szCs w:val="20"/>
        </w:rPr>
        <w:t>VIF test</w:t>
      </w:r>
      <w:bookmarkEnd w:id="2"/>
      <w:r>
        <w:rPr>
          <w:rFonts w:asciiTheme="majorBidi" w:eastAsia="Times New Roman" w:hAnsiTheme="majorBidi" w:cstheme="majorBidi"/>
          <w:color w:val="000000" w:themeColor="text1"/>
          <w:sz w:val="20"/>
          <w:szCs w:val="20"/>
        </w:rPr>
        <w:t xml:space="preserve"> results for the reference points of each independent variable</w:t>
      </w:r>
    </w:p>
    <w:tbl>
      <w:tblPr>
        <w:tblW w:w="4982" w:type="pct"/>
        <w:jc w:val="center"/>
        <w:tblBorders>
          <w:top w:val="single" w:sz="4" w:space="0" w:color="auto"/>
          <w:bottom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33"/>
        <w:gridCol w:w="3093"/>
      </w:tblGrid>
      <w:tr w:rsidR="0032154C" w:rsidTr="0032154C">
        <w:trPr>
          <w:trHeight w:val="315"/>
          <w:jc w:val="center"/>
        </w:trPr>
        <w:tc>
          <w:tcPr>
            <w:tcW w:w="33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32154C" w:rsidRDefault="0032154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Variable</w:t>
            </w:r>
          </w:p>
        </w:tc>
        <w:tc>
          <w:tcPr>
            <w:tcW w:w="16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32154C" w:rsidRDefault="0032154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VIF</w:t>
            </w:r>
          </w:p>
        </w:tc>
      </w:tr>
      <w:tr w:rsidR="0032154C" w:rsidTr="0032154C">
        <w:trPr>
          <w:trHeight w:val="315"/>
          <w:jc w:val="center"/>
        </w:trPr>
        <w:tc>
          <w:tcPr>
            <w:tcW w:w="33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32154C" w:rsidRDefault="0032154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Medium size</w:t>
            </w:r>
          </w:p>
        </w:tc>
        <w:tc>
          <w:tcPr>
            <w:tcW w:w="16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32154C" w:rsidRDefault="0032154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1.65</w:t>
            </w:r>
          </w:p>
        </w:tc>
      </w:tr>
      <w:tr w:rsidR="0032154C" w:rsidTr="0032154C">
        <w:trPr>
          <w:trHeight w:val="315"/>
          <w:jc w:val="center"/>
        </w:trPr>
        <w:tc>
          <w:tcPr>
            <w:tcW w:w="33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32154C" w:rsidRDefault="0032154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Large size</w:t>
            </w:r>
          </w:p>
        </w:tc>
        <w:tc>
          <w:tcPr>
            <w:tcW w:w="16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32154C" w:rsidRDefault="0032154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1.26</w:t>
            </w:r>
          </w:p>
        </w:tc>
      </w:tr>
      <w:tr w:rsidR="0032154C" w:rsidTr="0032154C">
        <w:trPr>
          <w:trHeight w:val="315"/>
          <w:jc w:val="center"/>
        </w:trPr>
        <w:tc>
          <w:tcPr>
            <w:tcW w:w="33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32154C" w:rsidRDefault="0032154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Appalachia region</w:t>
            </w:r>
          </w:p>
        </w:tc>
        <w:tc>
          <w:tcPr>
            <w:tcW w:w="16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32154C" w:rsidRDefault="0032154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2.29</w:t>
            </w:r>
          </w:p>
        </w:tc>
      </w:tr>
      <w:tr w:rsidR="0032154C" w:rsidTr="0032154C">
        <w:trPr>
          <w:trHeight w:val="315"/>
          <w:jc w:val="center"/>
        </w:trPr>
        <w:tc>
          <w:tcPr>
            <w:tcW w:w="33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32154C" w:rsidRDefault="0032154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Interior region</w:t>
            </w:r>
          </w:p>
        </w:tc>
        <w:tc>
          <w:tcPr>
            <w:tcW w:w="16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32154C" w:rsidRDefault="0032154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2.03</w:t>
            </w:r>
          </w:p>
        </w:tc>
      </w:tr>
      <w:tr w:rsidR="0032154C" w:rsidTr="0032154C">
        <w:trPr>
          <w:trHeight w:val="315"/>
          <w:jc w:val="center"/>
        </w:trPr>
        <w:tc>
          <w:tcPr>
            <w:tcW w:w="33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32154C" w:rsidRDefault="0032154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Seam height ≤40</w:t>
            </w:r>
          </w:p>
        </w:tc>
        <w:tc>
          <w:tcPr>
            <w:tcW w:w="16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32154C" w:rsidRDefault="0032154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2.80</w:t>
            </w:r>
          </w:p>
        </w:tc>
      </w:tr>
      <w:tr w:rsidR="0032154C" w:rsidTr="0032154C">
        <w:trPr>
          <w:trHeight w:val="315"/>
          <w:jc w:val="center"/>
        </w:trPr>
        <w:tc>
          <w:tcPr>
            <w:tcW w:w="33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32154C" w:rsidRDefault="003215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Seam height &gt;40 and ≤75</w:t>
            </w:r>
          </w:p>
        </w:tc>
        <w:tc>
          <w:tcPr>
            <w:tcW w:w="16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32154C" w:rsidRDefault="0032154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2.63</w:t>
            </w:r>
          </w:p>
        </w:tc>
      </w:tr>
    </w:tbl>
    <w:p w:rsidR="00FF72D2" w:rsidRDefault="00FF72D2" w:rsidP="0032154C"/>
    <w:p w:rsidR="0032154C" w:rsidRDefault="0032154C" w:rsidP="0032154C"/>
    <w:p w:rsidR="0032154C" w:rsidRDefault="0032154C" w:rsidP="0032154C">
      <w:pPr>
        <w:autoSpaceDE w:val="0"/>
        <w:autoSpaceDN w:val="0"/>
        <w:adjustRightInd w:val="0"/>
        <w:spacing w:before="240" w:after="0" w:line="240" w:lineRule="auto"/>
        <w:rPr>
          <w:rFonts w:asciiTheme="majorBidi" w:eastAsia="Calibri" w:hAnsiTheme="majorBidi" w:cstheme="majorBidi"/>
          <w:b/>
          <w:bCs/>
          <w:color w:val="000000" w:themeColor="text1"/>
          <w:sz w:val="20"/>
          <w:szCs w:val="20"/>
        </w:rPr>
      </w:pPr>
      <w:r>
        <w:rPr>
          <w:rFonts w:asciiTheme="majorBidi" w:eastAsia="Calibri" w:hAnsiTheme="majorBidi" w:cstheme="majorBidi"/>
          <w:b/>
          <w:bCs/>
          <w:color w:val="000000" w:themeColor="text1"/>
          <w:sz w:val="20"/>
          <w:szCs w:val="20"/>
        </w:rPr>
        <w:t xml:space="preserve">Figures: </w:t>
      </w:r>
    </w:p>
    <w:p w:rsidR="0032154C" w:rsidRDefault="0032154C" w:rsidP="0032154C">
      <w:pPr>
        <w:pStyle w:val="NMTThesisCaptionTable"/>
        <w:ind w:left="0" w:firstLine="0"/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</w:pPr>
    </w:p>
    <w:p w:rsidR="0032154C" w:rsidRDefault="0032154C" w:rsidP="0032154C">
      <w:pPr>
        <w:pStyle w:val="NMTThesisCaptionTable"/>
        <w:ind w:left="0" w:firstLine="0"/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</w:pPr>
    </w:p>
    <w:p w:rsidR="0032154C" w:rsidRDefault="0032154C" w:rsidP="0032154C">
      <w:pPr>
        <w:spacing w:after="0" w:line="240" w:lineRule="auto"/>
        <w:ind w:firstLine="360"/>
        <w:jc w:val="center"/>
        <w:rPr>
          <w:rFonts w:asciiTheme="majorBidi" w:hAnsiTheme="majorBidi" w:cstheme="majorBidi"/>
          <w:color w:val="000000" w:themeColor="text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1096010</wp:posOffset>
                </wp:positionH>
                <wp:positionV relativeFrom="paragraph">
                  <wp:posOffset>1636395</wp:posOffset>
                </wp:positionV>
                <wp:extent cx="285115" cy="265430"/>
                <wp:effectExtent l="0" t="0" r="635" b="127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115" cy="26479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32154C" w:rsidRDefault="0032154C" w:rsidP="0032154C">
                            <w:pPr>
                              <w:pStyle w:val="NMTThesisCaptionFigure"/>
                              <w:rPr>
                                <w:rFonts w:asciiTheme="majorBidi" w:hAnsiTheme="majorBidi" w:cstheme="majorBidi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20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a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Fig. 2.</w:t>
                            </w:r>
                            <w:r>
                              <w:rPr>
                                <w:rFonts w:asciiTheme="majorBidi" w:hAnsiTheme="majorBidi" w:cstheme="majorBidi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Number of CWP cases per subunit in Unites states coal mines during 1986-2018 (total number of CWP is 7337)</w:t>
                            </w:r>
                          </w:p>
                          <w:p w:rsidR="0032154C" w:rsidRDefault="0032154C" w:rsidP="0032154C">
                            <w:pPr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20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left:0;text-align:left;margin-left:86.3pt;margin-top:128.85pt;width:22.45pt;height:20.9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qST6OQIAAG8EAAAOAAAAZHJzL2Uyb0RvYy54bWysVE2P2jAQvVfqf7B8LyEI9gMRVpQVVSW0&#10;uxJUezaOTSw5Htc2JPTXd+wElt32VPVi5uNl7PdmhtlDW2tyFM4rMAXNB0NKhOFQKrMv6I/t6ssd&#10;JT4wUzINRhT0JDx9mH/+NGvsVIygAl0KR7CI8dPGFrQKwU6zzPNK1MwPwAqDSQmuZgFdt89Kxxqs&#10;XutsNBzeZA240jrgwnuMPnZJOk/1pRQ8PEvpRSC6oPi2kE6Xzl08s/mMTfeO2Urx/hnsH15RM2Xw&#10;0kupRxYYOTj1R6lacQceZBhwqDOQUnGROCCbfPiBzaZiViQuKI63F5n8/yvLn44vjqiyoNgow2ps&#10;0Va0gXyFltxFdRrrpwjaWISFFsPY5XPcYzCSbqWr4y/SIZhHnU8XbWMxjsHR3STPJ5RwTI1uxrf3&#10;k1gle/vYOh++CahJNArqsHVJUXZc+9BBz5B4lwetypXSOjlxXMRSO3Jk2OjdPj0Ri79DaROxBuJX&#10;XcEYySLDjkm0Qrtre9o7KE/I2kE3Nd7ylcK3rZkPL8zhmCBRHP3wjIfU0BQUeouSCtyvv8UjHruH&#10;WUoaHLuC+p8H5gQl+rvBvt7n43Gc0+SMJ7cjdNx1ZnedMYd6CUg4xyWzPJkRH/TZlA7qV9yQRbwV&#10;U8xwvLug4WwuQ7cMuGFcLBYJhJNpWVibjeWxdBQtKr9tX5mzfXsC9vUJzgPKph+61GE7uReHAFKl&#10;FkaBO1V73XGq0xD0GxjX5tpPqLf/iflvAAAA//8DAFBLAwQUAAYACAAAACEAB0VaYN8AAAALAQAA&#10;DwAAAGRycy9kb3ducmV2LnhtbEyPwU7DMAyG70i8Q2QkbixZpS5baToBEhcuaGPinDZe061JqiZb&#10;C0+POcHNv/zp9+dyO7ueXXGMXfAKlgsBDH0TTOdbBYeP14c1sJi0N7oPHhV8YYRtdXtT6sKEye/w&#10;uk8toxIfC63ApjQUnMfGotNxEQb0tDuG0elEcWy5GfVE5a7nmRAr7nTn6YLVA75YbM77i1Pw2Z7w&#10;uXsbv8U7F9N5HXaHWlql7u/mp0dgCef0B8OvPqlDRU51uHgTWU9ZZitCFWS5lMCIyJYyB1bTsNnk&#10;wKuS//+h+gEAAP//AwBQSwECLQAUAAYACAAAACEAtoM4kv4AAADhAQAAEwAAAAAAAAAAAAAAAAAA&#10;AAAAW0NvbnRlbnRfVHlwZXNdLnhtbFBLAQItABQABgAIAAAAIQA4/SH/1gAAAJQBAAALAAAAAAAA&#10;AAAAAAAAAC8BAABfcmVscy8ucmVsc1BLAQItABQABgAIAAAAIQANqST6OQIAAG8EAAAOAAAAAAAA&#10;AAAAAAAAAC4CAABkcnMvZTJvRG9jLnhtbFBLAQItABQABgAIAAAAIQAHRVpg3wAAAAsBAAAPAAAA&#10;AAAAAAAAAAAAAJMEAABkcnMvZG93bnJldi54bWxQSwUGAAAAAAQABADzAAAAnwUAAAAA&#10;" fillcolor="white [3212]" stroked="f">
                <v:textbox>
                  <w:txbxContent>
                    <w:p w:rsidR="0032154C" w:rsidRDefault="0032154C" w:rsidP="0032154C">
                      <w:pPr>
                        <w:pStyle w:val="NMTThesisCaptionFigure"/>
                        <w:rPr>
                          <w:rFonts w:asciiTheme="majorBidi" w:hAnsiTheme="majorBidi" w:cstheme="majorBidi"/>
                          <w:color w:val="000000" w:themeColor="text1"/>
                          <w:sz w:val="20"/>
                          <w:szCs w:val="20"/>
                        </w:rPr>
                      </w:pPr>
                      <w:r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20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a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 xml:space="preserve"> Fig. 2.</w:t>
                      </w:r>
                      <w:r>
                        <w:rPr>
                          <w:rFonts w:asciiTheme="majorBidi" w:hAnsiTheme="majorBidi" w:cstheme="majorBidi"/>
                          <w:color w:val="000000" w:themeColor="text1"/>
                          <w:sz w:val="20"/>
                          <w:szCs w:val="20"/>
                        </w:rPr>
                        <w:t xml:space="preserve"> Number of CWP cases per subunit in Unites states coal mines during 1986-2018 (total number of CWP is 7337)</w:t>
                      </w:r>
                    </w:p>
                    <w:p w:rsidR="0032154C" w:rsidRDefault="0032154C" w:rsidP="0032154C">
                      <w:pPr>
                        <w:spacing w:line="240" w:lineRule="auto"/>
                        <w:jc w:val="center"/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20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Theme="majorBidi" w:hAnsiTheme="majorBidi" w:cstheme="majorBidi"/>
          <w:noProof/>
          <w:color w:val="000000" w:themeColor="text1"/>
        </w:rPr>
        <w:drawing>
          <wp:inline distT="0" distB="0" distL="0" distR="0">
            <wp:extent cx="4118610" cy="209613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8610" cy="2096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154C" w:rsidRDefault="0032154C" w:rsidP="0032154C">
      <w:pPr>
        <w:spacing w:after="0" w:line="240" w:lineRule="auto"/>
        <w:ind w:firstLine="360"/>
        <w:jc w:val="center"/>
        <w:rPr>
          <w:rFonts w:asciiTheme="majorBidi" w:hAnsiTheme="majorBidi" w:cstheme="majorBidi"/>
          <w:noProof/>
          <w:color w:val="000000" w:themeColor="text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margin">
                  <wp:posOffset>1087120</wp:posOffset>
                </wp:positionH>
                <wp:positionV relativeFrom="paragraph">
                  <wp:posOffset>1480820</wp:posOffset>
                </wp:positionV>
                <wp:extent cx="285115" cy="265430"/>
                <wp:effectExtent l="0" t="0" r="635" b="127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115" cy="26479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32154C" w:rsidRDefault="0032154C" w:rsidP="0032154C">
                            <w:pPr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20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20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" o:spid="_x0000_s1027" type="#_x0000_t202" style="position:absolute;left:0;text-align:left;margin-left:85.6pt;margin-top:116.6pt;width:22.45pt;height:20.9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bT+vOwIAAHYEAAAOAAAAZHJzL2Uyb0RvYy54bWysVE1vGjEQvVfqf7B8L8siIMmKJaJEVJWi&#10;JBJUORuvl7Vke1zbsEt/fcdeICTtqerFzMfbsd+bGWb3nVbkIJyXYEqaD4aUCMOhkmZX0h+b1Zdb&#10;SnxgpmIKjCjpUXh6P//8adbaQoygAVUJR7CI8UVrS9qEYIss87wRmvkBWGEwWYPTLKDrdlnlWIvV&#10;tcpGw+E0a8FV1gEX3mP0oU/Seapf14KH57r2IhBVUnxbSKdL5zae2XzGip1jtpH89Az2D6/QTBq8&#10;9FLqgQVG9k7+UUpL7sBDHQYcdAZ1LblIHJBNPvzAZt0wKxIXFMfbi0z+/5XlT4cXR2RV0iklhmls&#10;0UZ0gXyFjkyjOq31BYLWFmGhwzB2+Rz3GIyku9rp+It0COZR5+NF21iMY3B0O8nzCSUcU6Pp+OZu&#10;Eqtkbx9b58M3AZpEo6QOW5cUZYdHH3roGRLv8qBktZJKJSeOi1gqRw4MG73dpSdi8XcoZSLWQPyq&#10;LxgjWWTYM4lW6LZd0uPCcgvVEck76IfHW76S+MRH5sMLczgtyBc3IDzjUStoSwoni5IG3K+/xSMe&#10;m4hZSlqcvpL6n3vmBCXqu8H23uXjcRzX5IwnNyN03HVme50xe70E5J3jrlmezIgP6mzWDvQrLsoi&#10;3oopZjjeXdJwNpeh3wlcNC4WiwTCAbUsPJq15bF01C42YNO9MmdPXQrY3ic4zykrPjSrx/aqL/YB&#10;apk6GXXuVT3Jj8OdZuG0iHF7rv2Eevu7mP8GAAD//wMAUEsDBBQABgAIAAAAIQBIInFt3gAAAAsB&#10;AAAPAAAAZHJzL2Rvd25yZXYueG1sTI/BTsMwEETvSPyDtZW4UTupaKoQpwIkLlxQS8XZiZc4bWxH&#10;ttsEvp7lRG8z2qfZmWo724FdMMTeOwnZUgBD13rdu07C4eP1fgMsJuW0GrxDCd8YYVvf3lSq1H5y&#10;O7zsU8coxMVSSTApjSXnsTVoVVz6ER3dvnywKpENHddBTRRuB54LseZW9Y4+GDXii8H2tD9bCZ/d&#10;EZ/7t/Aj3rmYThu/OzSFkfJuMT89Aks4p38Y/upTdaipU+PPTkc2kC+ynFAJ+WpFgog8W2fAGhLF&#10;gwBeV/x6Q/0LAAD//wMAUEsBAi0AFAAGAAgAAAAhALaDOJL+AAAA4QEAABMAAAAAAAAAAAAAAAAA&#10;AAAAAFtDb250ZW50X1R5cGVzXS54bWxQSwECLQAUAAYACAAAACEAOP0h/9YAAACUAQAACwAAAAAA&#10;AAAAAAAAAAAvAQAAX3JlbHMvLnJlbHNQSwECLQAUAAYACAAAACEA4G0/rzsCAAB2BAAADgAAAAAA&#10;AAAAAAAAAAAuAgAAZHJzL2Uyb0RvYy54bWxQSwECLQAUAAYACAAAACEASCJxbd4AAAALAQAADwAA&#10;AAAAAAAAAAAAAACVBAAAZHJzL2Rvd25yZXYueG1sUEsFBgAAAAAEAAQA8wAAAKAFAAAAAA==&#10;" fillcolor="white [3212]" stroked="f">
                <v:textbox>
                  <w:txbxContent>
                    <w:p w:rsidR="0032154C" w:rsidRDefault="0032154C" w:rsidP="0032154C">
                      <w:pPr>
                        <w:spacing w:line="240" w:lineRule="auto"/>
                        <w:jc w:val="center"/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20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20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b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Theme="majorBidi" w:hAnsiTheme="majorBidi" w:cstheme="majorBidi"/>
          <w:noProof/>
          <w:color w:val="000000" w:themeColor="text1"/>
        </w:rPr>
        <w:drawing>
          <wp:inline distT="0" distB="0" distL="0" distR="0">
            <wp:extent cx="4086225" cy="1844675"/>
            <wp:effectExtent l="0" t="0" r="9525" b="317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0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6225" cy="1844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ajorBidi" w:hAnsiTheme="majorBidi" w:cstheme="majorBidi"/>
          <w:noProof/>
          <w:color w:val="000000" w:themeColor="text1"/>
        </w:rPr>
        <w:t xml:space="preserve">    </w:t>
      </w:r>
    </w:p>
    <w:p w:rsidR="0032154C" w:rsidRDefault="0032154C" w:rsidP="0032154C">
      <w:pPr>
        <w:spacing w:after="0" w:line="240" w:lineRule="auto"/>
        <w:ind w:firstLine="360"/>
        <w:jc w:val="center"/>
        <w:rPr>
          <w:rFonts w:asciiTheme="majorBidi" w:hAnsiTheme="majorBidi" w:cstheme="majorBidi"/>
          <w:color w:val="000000" w:themeColor="text1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1027430</wp:posOffset>
                </wp:positionH>
                <wp:positionV relativeFrom="paragraph">
                  <wp:posOffset>1398270</wp:posOffset>
                </wp:positionV>
                <wp:extent cx="285115" cy="265430"/>
                <wp:effectExtent l="0" t="0" r="0" b="1270"/>
                <wp:wrapNone/>
                <wp:docPr id="269" name="Text Box 2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115" cy="2647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32154C" w:rsidRDefault="0032154C" w:rsidP="0032154C">
                            <w:pPr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20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20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69" o:spid="_x0000_s1028" type="#_x0000_t202" style="position:absolute;left:0;text-align:left;margin-left:80.9pt;margin-top:110.1pt;width:22.45pt;height:20.9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wqZQKQIAAFIEAAAOAAAAZHJzL2Uyb0RvYy54bWysVFFv2jAQfp+0/2D5fYREQEtEqFgrpkmo&#10;rQRTn41jk0ixz7MNCfv1Ozukpd2epr2Y893x+e6777K461RDTsK6GnRB09GYEqE5lLU+FPTHbv3l&#10;lhLnmS5ZA1oU9CwcvVt+/rRoTS4yqKAphSUIol3emoJW3ps8SRyvhGJuBEZoDEqwinm82kNSWtYi&#10;umqSbDyeJS3Y0ljgwjn0PvRBuoz4Ugrun6R0wpOmoFibj6eN5z6cyXLB8oNlpqr5pQz2D1UoVmt8&#10;9BXqgXlGjrb+A0rV3IID6UccVAJS1lzEHrCbdPyhm23FjIi9IDnOvNLk/h8sfzw9W1KXBc1mc0o0&#10;Uzikneg8+QodCT5kqDUux8StwVTfYQAnPfgdOkPjnbQq/GJLBOPI9fmV3wDH0ZndTtN0SgnHUDab&#10;3MynASV5+7Oxzn8ToEgwCmpxfJFVdto436cOKeEtDeu6aeIIG/3OgZjBk4TK+wqD5bt91/c6VL+H&#10;8oxNWeiF4Qxf1/j0hjn/zCwqAftAdfsnPGQDbUHhYlFSgf31N3/IxwFhlJIWlVVQ9/PIrKCk+a5x&#10;dPN0MglSjJfJ9CbDi72O7K8j+qjuAcWb4h4ZHs2Q75vBlBbUCy7BKryKIaY5vl1QP5j3vtc7LhEX&#10;q1VMQvEZ5jd6a3iADtwFYnfdC7Pmwr7HsT3CoEGWfxhCn9uzvjp6kHWcUOC5Z/VCPwo3zviyZGEz&#10;ru8x6+1TsPwNAAD//wMAUEsDBBQABgAIAAAAIQCm1AWG3gAAAAsBAAAPAAAAZHJzL2Rvd25yZXYu&#10;eG1sTI/BTsMwEETvSPyDtUjcqF0L0pLGqRCIK4gWKnFz420SNV5HsduEv2c50duMZjT7tlhPvhNn&#10;HGIbyMB8pkAgVcG1VBv43L7eLUHEZMnZLhAa+MEI6/L6qrC5CyN94HmTasEjFHNroEmpz6WMVYPe&#10;xlnokTg7hMHbxHaopRvsyOO+k1qpTHrbEl9obI/PDVbHzckb+Ho7fO/u1Xv94h/6MUxKkn+Uxtze&#10;TE8rEAmn9F+GP3xGh5KZ9uFELoqOfTZn9GRAa6VBcEOrbAFizyLTCmRZyMsfyl8AAAD//wMAUEsB&#10;Ai0AFAAGAAgAAAAhALaDOJL+AAAA4QEAABMAAAAAAAAAAAAAAAAAAAAAAFtDb250ZW50X1R5cGVz&#10;XS54bWxQSwECLQAUAAYACAAAACEAOP0h/9YAAACUAQAACwAAAAAAAAAAAAAAAAAvAQAAX3JlbHMv&#10;LnJlbHNQSwECLQAUAAYACAAAACEAHsKmUCkCAABSBAAADgAAAAAAAAAAAAAAAAAuAgAAZHJzL2Uy&#10;b0RvYy54bWxQSwECLQAUAAYACAAAACEAptQFht4AAAALAQAADwAAAAAAAAAAAAAAAACDBAAAZHJz&#10;L2Rvd25yZXYueG1sUEsFBgAAAAAEAAQA8wAAAI4FAAAAAA==&#10;" filled="f" stroked="f">
                <v:textbox>
                  <w:txbxContent>
                    <w:p w:rsidR="0032154C" w:rsidRDefault="0032154C" w:rsidP="0032154C">
                      <w:pPr>
                        <w:spacing w:line="240" w:lineRule="auto"/>
                        <w:jc w:val="center"/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20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20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ajorBidi" w:hAnsiTheme="majorBidi" w:cstheme="majorBidi"/>
          <w:noProof/>
          <w:color w:val="000000" w:themeColor="text1"/>
        </w:rPr>
        <w:drawing>
          <wp:inline distT="0" distB="0" distL="0" distR="0">
            <wp:extent cx="4118610" cy="1844675"/>
            <wp:effectExtent l="0" t="0" r="0" b="31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8610" cy="1844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154C" w:rsidRPr="0032154C" w:rsidRDefault="0032154C" w:rsidP="0032154C">
      <w:bookmarkStart w:id="3" w:name="_Toc55824089"/>
      <w:bookmarkStart w:id="4" w:name="_Toc55824090"/>
      <w:r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  <w:t>Fig. S1.</w:t>
      </w:r>
      <w:r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 Percentage of coal mines by coal seam thickness (a)</w:t>
      </w:r>
      <w:bookmarkEnd w:id="3"/>
      <w:r>
        <w:rPr>
          <w:rFonts w:asciiTheme="majorBidi" w:hAnsiTheme="majorBidi" w:cstheme="majorBidi"/>
          <w:color w:val="000000" w:themeColor="text1"/>
          <w:sz w:val="20"/>
          <w:szCs w:val="20"/>
        </w:rPr>
        <w:t>, and percentage of underground (b) and surface (c) coal mines by coal seam thickness and mine size in the U.S. during 1986-2018.</w:t>
      </w:r>
      <w:bookmarkStart w:id="5" w:name="_GoBack"/>
      <w:bookmarkEnd w:id="4"/>
      <w:bookmarkEnd w:id="5"/>
    </w:p>
    <w:sectPr w:rsidR="0032154C" w:rsidRPr="0032154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197BF5"/>
    <w:multiLevelType w:val="hybridMultilevel"/>
    <w:tmpl w:val="69F66ED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CA70010"/>
    <w:multiLevelType w:val="hybridMultilevel"/>
    <w:tmpl w:val="3CD07B1E"/>
    <w:lvl w:ilvl="0" w:tplc="E1C6F57E">
      <w:start w:val="1"/>
      <w:numFmt w:val="decimal"/>
      <w:lvlText w:val="[%1]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154C"/>
    <w:rsid w:val="0032154C"/>
    <w:rsid w:val="00FF7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26EB55"/>
  <w15:chartTrackingRefBased/>
  <w15:docId w15:val="{3668EBE0-7600-4A57-A724-E8ACB574B7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2154C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32154C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32154C"/>
    <w:pPr>
      <w:ind w:left="720"/>
      <w:contextualSpacing/>
    </w:pPr>
  </w:style>
  <w:style w:type="paragraph" w:customStyle="1" w:styleId="NMTThesisCaptionTable">
    <w:name w:val="NMT_Thesis_Caption_Table"/>
    <w:basedOn w:val="Normal"/>
    <w:qFormat/>
    <w:locked/>
    <w:rsid w:val="0032154C"/>
    <w:pPr>
      <w:keepNext/>
      <w:spacing w:after="0" w:line="240" w:lineRule="auto"/>
      <w:ind w:left="1080" w:hanging="1080"/>
    </w:pPr>
    <w:rPr>
      <w:rFonts w:ascii="Times New Roman" w:eastAsiaTheme="minorEastAsia" w:hAnsi="Times New Roman"/>
      <w:sz w:val="24"/>
    </w:rPr>
  </w:style>
  <w:style w:type="table" w:customStyle="1" w:styleId="TableGrid1">
    <w:name w:val="Table Grid1"/>
    <w:basedOn w:val="TableNormal"/>
    <w:uiPriority w:val="39"/>
    <w:rsid w:val="0032154C"/>
    <w:pPr>
      <w:spacing w:after="0" w:line="240" w:lineRule="auto"/>
    </w:pPr>
    <w:rPr>
      <w:rFonts w:eastAsia="Calibri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MTThesisCaptionFigure">
    <w:name w:val="NMT_Thesis_Caption_Figure"/>
    <w:basedOn w:val="Normal"/>
    <w:qFormat/>
    <w:locked/>
    <w:rsid w:val="0032154C"/>
    <w:pPr>
      <w:spacing w:after="0" w:line="240" w:lineRule="auto"/>
      <w:ind w:left="1080" w:hanging="1080"/>
      <w:jc w:val="center"/>
    </w:pPr>
    <w:rPr>
      <w:rFonts w:ascii="Times New Roman" w:eastAsiaTheme="minorEastAsia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348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89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19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503</Words>
  <Characters>2871</Characters>
  <Application>Microsoft Office Word</Application>
  <DocSecurity>0</DocSecurity>
  <Lines>23</Lines>
  <Paragraphs>6</Paragraphs>
  <ScaleCrop>false</ScaleCrop>
  <Company>Springer Nature IT</Company>
  <LinksUpToDate>false</LinksUpToDate>
  <CharactersWithSpaces>3368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Siddharth Kamble</dc:creator>
  <cp:keywords/>
  <dc:description/>
  <cp:lastModifiedBy>Siddharth Kamble</cp:lastModifiedBy>
  <cp:revision>1</cp:revision>
  <dcterms:created xsi:type="dcterms:W3CDTF">2021-05-12T07:39:00Z</dcterms:created>
  <dcterms:modified xsi:type="dcterms:W3CDTF">2021-05-12T07:42:00Z</dcterms:modified>
</cp:coreProperties>
</file>