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C949B" w14:textId="77777777" w:rsidR="008F591A" w:rsidRPr="008F591A" w:rsidRDefault="008F591A" w:rsidP="008F591A">
      <w:pPr>
        <w:numPr>
          <w:ilvl w:val="0"/>
          <w:numId w:val="1"/>
        </w:numPr>
        <w:spacing w:after="0" w:line="480" w:lineRule="auto"/>
        <w:contextualSpacing/>
        <w:rPr>
          <w:rFonts w:ascii="Times New Roman" w:eastAsia="Calibri" w:hAnsi="Times New Roman" w:cs="Times New Roman"/>
          <w:color w:val="000000"/>
        </w:rPr>
      </w:pPr>
      <w:r w:rsidRPr="008F591A">
        <w:rPr>
          <w:rFonts w:ascii="Times New Roman" w:eastAsia="Calibri" w:hAnsi="Times New Roman" w:cs="Times New Roman"/>
          <w:color w:val="000000"/>
        </w:rPr>
        <w:t>Methods and question</w:t>
      </w:r>
    </w:p>
    <w:p w14:paraId="7B8DD3E0" w14:textId="77777777" w:rsidR="008F591A" w:rsidRPr="008F591A" w:rsidRDefault="008F591A" w:rsidP="008F591A">
      <w:pPr>
        <w:spacing w:after="0" w:line="480" w:lineRule="auto"/>
        <w:ind w:left="360"/>
        <w:rPr>
          <w:rFonts w:ascii="Times New Roman" w:eastAsia="Calibri" w:hAnsi="Times New Roman" w:cs="Times New Roman"/>
          <w:color w:val="000000"/>
        </w:rPr>
      </w:pPr>
    </w:p>
    <w:p w14:paraId="0B0622DA"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r w:rsidRPr="008F591A">
        <w:rPr>
          <w:rFonts w:ascii="Times New Roman" w:eastAsia="Calibri" w:hAnsi="Times New Roman" w:cs="Times New Roman"/>
          <w:i/>
          <w:iCs/>
          <w:color w:val="000000"/>
        </w:rPr>
        <w:t>Administrative Data: Sewage Backups</w:t>
      </w:r>
    </w:p>
    <w:p w14:paraId="0573BD05"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442728A8"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The primary data for this study </w:t>
      </w:r>
      <w:proofErr w:type="gramStart"/>
      <w:r w:rsidRPr="008F591A">
        <w:rPr>
          <w:rFonts w:ascii="Times New Roman" w:eastAsia="Calibri" w:hAnsi="Times New Roman" w:cs="Times New Roman"/>
          <w:color w:val="000000"/>
        </w:rPr>
        <w:t>come</w:t>
      </w:r>
      <w:proofErr w:type="gramEnd"/>
      <w:r w:rsidRPr="008F591A">
        <w:rPr>
          <w:rFonts w:ascii="Times New Roman" w:eastAsia="Calibri" w:hAnsi="Times New Roman" w:cs="Times New Roman"/>
          <w:color w:val="000000"/>
        </w:rPr>
        <w:t xml:space="preserve"> from public records provided by the City of Syracuse on their open data portal (data.syr.gov). The data </w:t>
      </w:r>
      <w:proofErr w:type="gramStart"/>
      <w:r w:rsidRPr="008F591A">
        <w:rPr>
          <w:rFonts w:ascii="Times New Roman" w:eastAsia="Calibri" w:hAnsi="Times New Roman" w:cs="Times New Roman"/>
          <w:color w:val="000000"/>
        </w:rPr>
        <w:t>draw</w:t>
      </w:r>
      <w:proofErr w:type="gramEnd"/>
      <w:r w:rsidRPr="008F591A">
        <w:rPr>
          <w:rFonts w:ascii="Times New Roman" w:eastAsia="Calibri" w:hAnsi="Times New Roman" w:cs="Times New Roman"/>
          <w:color w:val="000000"/>
        </w:rPr>
        <w:t xml:space="preserve"> from public records of all city service requests placed either online or over the phone for the years 2017-2019 and 2021. From July 2019 through July 2021, the City of Syracuse public data record of service requests </w:t>
      </w:r>
      <w:proofErr w:type="gramStart"/>
      <w:r w:rsidRPr="008F591A">
        <w:rPr>
          <w:rFonts w:ascii="Times New Roman" w:eastAsia="Calibri" w:hAnsi="Times New Roman" w:cs="Times New Roman"/>
          <w:color w:val="000000"/>
        </w:rPr>
        <w:t>are</w:t>
      </w:r>
      <w:proofErr w:type="gramEnd"/>
      <w:r w:rsidRPr="008F591A">
        <w:rPr>
          <w:rFonts w:ascii="Times New Roman" w:eastAsia="Calibri" w:hAnsi="Times New Roman" w:cs="Times New Roman"/>
          <w:color w:val="000000"/>
        </w:rPr>
        <w:t xml:space="preserve"> not available because the city was in the process of changing database systems, which was delayed due to the COVID-19 pandemic. Therefore, there is no data available for 2020 and only half of the years 2019 and 2021. </w:t>
      </w:r>
    </w:p>
    <w:p w14:paraId="2D4F8595"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5EC462B8"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The database includes information on any service request that was received by the City of Syracuse either through its online service request system (previously called CityLine, now called SeeClickFix) or through the city phone service request line. Residents and/or business owners can either call or report any problem or concern that needs city attention, beginning by selecting the general category of service (see Figure 1). The same categories are provided as prompts on the phone service line. The records also include city-provided data such as to which agency the request was assigned, the response provided, and the date the request was closed. </w:t>
      </w:r>
    </w:p>
    <w:p w14:paraId="2F0C1286"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7D2F64CF"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&lt;figure 1 here&gt;</w:t>
      </w:r>
    </w:p>
    <w:p w14:paraId="1E3B5A01"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Figure 1: Online Request Form, City of Syracuse</w:t>
      </w:r>
    </w:p>
    <w:p w14:paraId="65F89521"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0C7DF8BF"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57BC5E20"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Data cleaning began by first filtering the data to include any report categorized as “sewer related concerns”, assigned to the water and sewage department, or including the words “sewer” or “sewage” in the description. Second stage filtering then limited the events to those that included the description or category “sewer backup” or “sewage”, dropping cases such as reports of clogged catch basins, street flooding, missing manhole covers, etc. This ultimately resulted in a dataset of 11,665 reports of sewer backups. Each report includes the full address of the issue, the description provided by the resident/business owner, the source of the report (online, mobile, phone), and the city response data. </w:t>
      </w:r>
    </w:p>
    <w:p w14:paraId="7073C7F1"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24CA4BFC" w14:textId="77777777" w:rsidR="008F591A" w:rsidRPr="008F591A" w:rsidRDefault="008F591A" w:rsidP="008F591A">
      <w:pPr>
        <w:spacing w:after="0" w:line="480" w:lineRule="auto"/>
        <w:rPr>
          <w:rFonts w:ascii="Times New Roman" w:eastAsia="Calibri" w:hAnsi="Times New Roman" w:cs="Times New Roman"/>
          <w:i/>
          <w:iCs/>
          <w:color w:val="000000"/>
        </w:rPr>
      </w:pPr>
      <w:r w:rsidRPr="008F591A">
        <w:rPr>
          <w:rFonts w:ascii="Times New Roman" w:eastAsia="Calibri" w:hAnsi="Times New Roman" w:cs="Times New Roman"/>
          <w:i/>
          <w:iCs/>
          <w:color w:val="000000"/>
        </w:rPr>
        <w:t>A Note on the Dependent Variable: Squeaky Wheel Bias</w:t>
      </w:r>
    </w:p>
    <w:p w14:paraId="7FD1B785" w14:textId="77777777" w:rsidR="008F591A" w:rsidRPr="008F591A" w:rsidRDefault="008F591A" w:rsidP="008F591A">
      <w:pPr>
        <w:spacing w:after="0" w:line="480" w:lineRule="auto"/>
        <w:rPr>
          <w:rFonts w:ascii="Times New Roman" w:eastAsia="Calibri" w:hAnsi="Times New Roman" w:cs="Times New Roman"/>
          <w:color w:val="000000"/>
        </w:rPr>
      </w:pPr>
    </w:p>
    <w:p w14:paraId="2B7A5344"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It is important to note that the dependent variable in our analysis is the number of sewage backups that were </w:t>
      </w:r>
      <w:r w:rsidRPr="008F591A">
        <w:rPr>
          <w:rFonts w:ascii="Times New Roman" w:eastAsia="Calibri" w:hAnsi="Times New Roman" w:cs="Times New Roman"/>
          <w:i/>
          <w:iCs/>
          <w:color w:val="000000"/>
        </w:rPr>
        <w:t>reported</w:t>
      </w:r>
      <w:r w:rsidRPr="008F591A">
        <w:rPr>
          <w:rFonts w:ascii="Times New Roman" w:eastAsia="Calibri" w:hAnsi="Times New Roman" w:cs="Times New Roman"/>
          <w:color w:val="000000"/>
        </w:rPr>
        <w:t xml:space="preserve"> to the City of Syracuse. This likely represents an underestimate of the actual number of sewage backups and may not be consistently valid for all resident populations as some groups of residents are more or less likely to contact the city about a backup. So called “squeaky wheel bias” describes the pattern through which some residents are more likely to contact the city about problems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{"citationID":"trdPnytX","properties":{"formattedCitation":"(Deitz, Lobben, and Alferez 2021; Faber and Kalbfeld 2019; Kontokosta and Hong 2021; Wogan 2016)","plainCitation":"(Deitz, Lobben, and Alferez 2021; Faber and Kalbfeld 2019; Kontokosta and Hong 2021; Wogan 2016)","noteIndex":0},"citationItems":[{"id":12149,"uris":["http://zotero.org/users/181796/items/ZW46BST8"],"itemData":{"id":12149,"type":"article-journal","abstract":"Data about the accessibility of United States municipalities is infrastructure in the smart city. What is counted and how, reflects the sociotechnical imaginary (norms and values) of a time or place. In this paper we focus on features identified by people with disabilities as promoting or hindering safe pedestrian travel. We use a regionally stratified sample of 178 cities across the United States. The municipalities were scored on two factors: their open data practices (or lack thereof), and the degree to which they cataloged the environmental features that persons with disabilities deemed critical for safe movement through urban spaces. In contradiction to the dominating narrative of too much data and not enough analyses, we find that when it comes to data points that might be useful to persons with disabilities, data are lacking. This data gap has consequences both politically and materially?on one hand data could help enforce compliance with the Americans with Disabilities Act, on the other they would allow for safe route planning. We find that reading these data formats and collection patterns from the perspective of critical disability studies?particularly those whose work disrupts notions of ?normal? ?helps answer questions about potential benefits and harms of data practices. This lens has the potential to promote analysis that is as disruptive to injustices as it is practical.","container-title":"Big Data &amp; Society","DOI":"10.1177/20539517211047735","ISSN":"2053-9517","issue":"2","language":"en","note":"publisher: SAGE Publications Ltd","page":"20539517211047735","source":"SAGE Journals","title":"Squeaky wheels: Missing data, disability,  and power in the smart city","title-short":"Squeaky wheels","volume":"8","author":[{"family":"Deitz","given":"Shiloh"},{"family":"Lobben","given":"Amy"},{"family":"Alferez","given":"Arielle"}],"issued":{"date-parts":[["2021",7,1]]}}},{"id":12958,"uris":["http://zotero.org/users/181796/items/PPYNK6TS"],"itemData":{"id":12958,"type":"article-journal","abstract":"Reports of citizen complaints of police misconduct often note that officers are rarely disciplined for alleged misconduct. The perception of little officer accountability contributes to widespread distrust of law enforcement in communities of color. This project investigates how race and segregation shape the outcomes of allegations made against the Chicago Police Department (CPD) between 2011 and 2014. We find that complaints by black and Latino citizens and against white officers are less likely to be sustained. We show neighborhood context interacts with complainant characteristics: Incidents alleged by white citizens in high–crime and predominantly black neighborhoods are more likely to be sustained. These findings provide context for understanding tensions between communities of color and the CPD. These results are consistent with theories that individual and institutional actors prioritize white victimhood and reflect the neighborhood effects literature stressing the interaction between individual and contextual factors in shaping outcomes.","container-title":"City &amp; Community","DOI":"10.1111/cico.12388","ISSN":"1535-6841","issue":"3","language":"en","note":"publisher: SAGE Publications","page":"1028-1067","source":"SAGE Journals","title":"Complaining While Black: Racial Disparities in the Adjudication of Complaints against the Police","title-short":"Complaining While Black","volume":"18","author":[{"family":"Faber","given":"Jacob William"},{"family":"Kalbfeld","given":"Jessica Rose"}],"issued":{"date-parts":[["2019",9,1]]}}},{"id":12153,"uris":["http://zotero.org/users/181796/items/SH653UA7"],"itemData":{"id":12153,"type":"article-journal","abstract":"Governance and decision-making in “smart” cities increasingly rely on resident-reported data and data-driven methods to improve the efficiency of city operations and planning. However, the issue of bias in these data and the fairness of outcomes in smart cities has received relatively limited attention. This is a troubling and significant omission, as social equity should be a critical aspect of smart cities and needs to be addressed and accounted for in the use of new technologies and data tools. This paper examines bias in resident-reported data by analyzing socio-spatial disparities in ‘311’ complaint behavior in Kansas City, Missouri. We utilize data from detailed 311 reports and a comprehensive resident satisfaction survey, and spatially join these data with code enforcement violations, neighborhood characteristics, and street condition assessments. We introduce a model to identify disparities in resident-government interactions and classify under- and over-reporting neighborhoods based on complaint behavior. Despite greater objective and subjective need, low-income and minority neighborhoods are less likely to report street condition or “nuisance” issues, while prioritizing more serious problems. Our findings form the basis for acknowledging and accounting for data bias in self-reported data, and contribute to the more equitable delivery of city services through bias-aware data-driven processes.","container-title":"Sustainable Cities and Society","DOI":"10.1016/j.scs.2020.102503","ISSN":"2210-6707","journalAbbreviation":"Sustainable Cities and Society","language":"en","page":"102503","source":"ScienceDirect","title":"Bias in smart city governance: How socio-spatial disparities in 311 complaint behavior impact the fairness of data-driven decisions","title-short":"Bias in smart city governance","volume":"64","author":[{"family":"Kontokosta","given":"Constantine E."},{"family":"Hong","given":"Boyeong"}],"issued":{"date-parts":[["2021",1,1]]}}},{"id":12956,"uris":["http://zotero.org/users/181796/items/BINEHFEC"],"itemData":{"id":12956,"type":"webpage","abstract":"Discrimination doesn't always appear in the most obvious places. Many government policies and practices are seemingly unbiased and uncontroversial but actually disproportionately harm minorities.","container-title":"Governing","language":"en","note":"section: Archive","title":"How Cities Are Ending Unintentional Racial Discrimination","URL":"https://www.governing.com/archive/gov-racial-equity-center-social-inclusion.html","author":[{"family":"Wogan","given":"J.B."}],"accessed":{"date-parts":[["2023",10,6]]},"issued":{"date-parts":[["2016",8,10]]}}}],"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(Deitz, Lobben, and Alferez 2021; Faber and Kalbfeld 2019; Kontokosta and Hong 2021; Wogan 2016)</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and that bureaucrats and others may be more likely to respond to already privileged residents, as well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{"citationID":"5RSTLhen","properties":{"formattedCitation":"(Besley and Burgess 2002; Butler 2014; Epstein, Bode, and Connolly 2023)","plainCitation":"(Besley and Burgess 2002; Butler 2014; Epstein, Bode, and Connolly 2023)","noteIndex":0},"citationItems":[{"id":12947,"uris":["http://zotero.org/users/181796/items/ETSCFS6A"],"itemData":{"id":12947,"type":"article-journal","abstract":"The determinants of government responsiveness to its citizens are a key issue in political economy. Here, we develop a model based on the solution of political agency problems. Having a more informed and politically active electorate strengthens incentives for governments to be responsive. This suggests that there is a role for both democratic institutions and mass media in ensuring that the preferences of citizens are reflected in policy. The ideas behind the model are tested on panel data from India. We show that state governments are more responsive to falls in food production and crop flood damage via public food distribution and calamity relief expenditure where newspaper circulation is higher and electoral accountability greater.","container-title":"The Quarterly Journal of Economics","DOI":"10.1162/003355302320935061","ISSN":"0033-5533","issue":"4","journalAbbreviation":"The Quarterly Journal of Economics","page":"1415-1451","source":"Silverchair","title":"The Political Economy of Government Responsiveness: Theory and Evidence from India*","title-short":"The Political Economy of Government Responsiveness","volume":"117","author":[{"family":"Besley","given":"Timothy"},{"family":"Burgess","given":"Robin"}],"issued":{"date-parts":[["2002",11,1]]}}},{"id":12948,"uris":["http://zotero.org/users/181796/items/I3WU5S4M"],"itemData":{"id":12948,"type":"book","abstract":"Political inequality is a major issue in American politics, with racial minorities and low-income voters receiving less favorable representation. Scholars argue that this political inequality stems largely from differences in political participation and that if all citizens participated equally we would achieve political equality. Daniel M. Butler shows that this common view is incorrect. He uses innovative field and survey experiments involving public officials to show that a significant amount of bias in representation traces its roots to the information, opinions, and attitudes that politicians bring to office and suggests that even if all voters participated equally, there would still be significant levels of bias in American politics because of differences in elite participation. Butler's work provides a new theoretical basis for understanding inequality in American politics and insights into what institutional changes can be used to fix the problem.","ISBN":"978-1-139-99352-4","language":"en","note":"Google-Books-ID: yjL6AwAAQBAJ","number-of-pages":"161","publisher":"Cambridge University Press","source":"Google Books","title":"Representing the Advantaged: How Politicians Reinforce Inequality","title-short":"Representing the Advantaged","author":[{"family":"Butler","given":"Daniel M."}],"issued":{"date-parts":[["2014",7,14]]}}},{"id":12946,"uris":["http://zotero.org/users/181796/items/LCSXLXG3"],"itemData":{"id":12946,"type":"article-journal","abstract":"Citizens often attempt to interact with government through online modes of communication such as email and social media. Using an audit study, we examine when and how American municipalities with populations of over 50,000 respond to online requests for information. We develop baselines for municipal responsiveness, including the average rate, time, and quality of responses, and examine whether these response attributes vary based on the mode of communication or the tone of the request. Overall, municipalities responded to 54% of email requests and 38% of Twitter requests. A majority of responses were received on the same business day. Responses are slightly faster on Twitter, but of higher quality on email. Governments are more likely to respond to frustrated constituents on email, but respond faster to frustrated queries on Twitter, though with lower quality responses. These findings contribute to our understanding of local government responsiveness and have significant implications for democratic accountability and resident compliance with and the effectiveness of local government policies. Furthermore, our scholarly understanding of local government communications with residents, and particularly the promise of social media as a tool of two-way communication, may be underdeveloped.","container-title":"New Media &amp; Society","DOI":"10.1177/14614448211031249","ISSN":"1461-4448","issue":"11","language":"en","note":"publisher: SAGE Publications","page":"3002-3027","source":"SAGE Journals","title":"Do squeaky wheels get the grease? Understanding when and how municipalities respond to online requests","title-short":"Do squeaky wheels get the grease?","volume":"25","author":[{"family":"Epstein","given":"Ben"},{"family":"Bode","given":"Leticia"},{"family":"Connolly","given":"Jennifer M"}],"issued":{"date-parts":[["2023",11,1]]}}}],"schema":"https://github.com/citation-style-language/schema/raw/master/csl-citation.json"}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(Besley and Burgess 2002; Butler 2014; Epstein, Bode, and Connolly 2023)</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Examinations of government data has consistently shown disparities in who contacts cities to file complaints of infrastructure and service problems, with white residents, homeowners, able-bodied residents, and wealthier residents much more likely to file a </w:t>
      </w:r>
      <w:r w:rsidRPr="008F591A">
        <w:rPr>
          <w:rFonts w:ascii="Times New Roman" w:eastAsia="Calibri" w:hAnsi="Times New Roman" w:cs="Times New Roman"/>
          <w:color w:val="000000"/>
        </w:rPr>
        <w:lastRenderedPageBreak/>
        <w:t xml:space="preserve">complaint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{"citationID":"NLSYefcp","properties":{"formattedCitation":"(Dietz, Ostrom, and Stern 2003; Faber and Kalbfeld 2019; Kontokosta and Hong 2021; Wogan 2016)","plainCitation":"(Dietz, Ostrom, and Stern 2003; Faber and Kalbfeld 2019; Kontokosta and Hong 2021; Wogan 2016)","noteIndex":0},"citationItems":[{"id":2106,"uris":["http://zotero.org/users/181796/items/7AUKPCVC"],"itemData":{"id":2106,"type":"article-journal","container-title":"Science","page":"1907-1912","title":"The Struggle to Govern the Commons","volume":"302","author":[{"family":"Dietz","given":"Thomas"},{"family":"Ostrom","given":"Elinor"},{"family":"Stern","given":"Paul C."}],"issued":{"date-parts":[["2003"]]}}},{"id":12958,"uris":["http://zotero.org/users/181796/items/PPYNK6TS"],"itemData":{"id":12958,"type":"article-journal","abstract":"Reports of citizen complaints of police misconduct often note that officers are rarely disciplined for alleged misconduct. The perception of little officer accountability contributes to widespread distrust of law enforcement in communities of color. This project investigates how race and segregation shape the outcomes of allegations made against the Chicago Police Department (CPD) between 2011 and 2014. We find that complaints by black and Latino citizens and against white officers are less likely to be sustained. We show neighborhood context interacts with complainant characteristics: Incidents alleged by white citizens in high–crime and predominantly black neighborhoods are more likely to be sustained. These findings provide context for understanding tensions between communities of color and the CPD. These results are consistent with theories that individual and institutional actors prioritize white victimhood and reflect the neighborhood effects literature stressing the interaction between individual and contextual factors in shaping outcomes.","container-title":"City &amp; Community","DOI":"10.1111/cico.12388","ISSN":"1535-6841","issue":"3","language":"en","note":"publisher: SAGE Publications","page":"1028-1067","source":"SAGE Journals","title":"Complaining While Black: Racial Disparities in the Adjudication of Complaints against the Police","title-short":"Complaining While Black","volume":"18","author":[{"family":"Faber","given":"Jacob William"},{"family":"Kalbfeld","given":"Jessica Rose"}],"issued":{"date-parts":[["2019",9,1]]}}},{"id":12153,"uris":["http://zotero.org/users/181796/items/SH653UA7"],"itemData":{"id":12153,"type":"article-journal","abstract":"Governance and decision-making in “smart” cities increasingly rely on resident-reported data and data-driven methods to improve the efficiency of city operations and planning. However, the issue of bias in these data and the fairness of outcomes in smart cities has received relatively limited attention. This is a troubling and significant omission, as social equity should be a critical aspect of smart cities and needs to be addressed and accounted for in the use of new technologies and data tools. This paper examines bias in resident-reported data by analyzing socio-spatial disparities in ‘311’ complaint behavior in Kansas City, Missouri. We utilize data from detailed 311 reports and a comprehensive resident satisfaction survey, and spatially join these data with code enforcement violations, neighborhood characteristics, and street condition assessments. We introduce a model to identify disparities in resident-government interactions and classify under- and over-reporting neighborhoods based on complaint behavior. Despite greater objective and subjective need, low-income and minority neighborhoods are less likely to report street condition or “nuisance” issues, while prioritizing more serious problems. Our findings form the basis for acknowledging and accounting for data bias in self-reported data, and contribute to the more equitable delivery of city services through bias-aware data-driven processes.","container-title":"Sustainable Cities and Society","DOI":"10.1016/j.scs.2020.102503","ISSN":"2210-6707","journalAbbreviation":"Sustainable Cities and Society","language":"en","page":"102503","source":"ScienceDirect","title":"Bias in smart city governance: How socio-spatial disparities in 311 complaint behavior impact the fairness of data-driven decisions","title-short":"Bias in smart city governance","volume":"64","author":[{"family":"Kontokosta","given":"Constantine E."},{"family":"Hong","given":"Boyeong"}],"issued":{"date-parts":[["2021",1,1]]}}},{"id":12956,"uris":["http://zotero.org/users/181796/items/BINEHFEC"],"itemData":{"id":12956,"type":"webpage","abstract":"Discrimination doesn't always appear in the most obvious places. Many government policies and practices are seemingly unbiased and uncontroversial but actually disproportionately harm minorities.","container-title":"Governing","language":"en","note":"section: Archive","title":"How Cities Are Ending Unintentional Racial Discrimination","URL":"https://www.governing.com/archive/gov-racial-equity-center-social-inclusion.html","author":[{"family":"Wogan","given":"J.B."}],"accessed":{"date-parts":[["2023",10,6]]},"issued":{"date-parts":[["2016",8,10]]}}}],"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(Dietz, Ostrom, and Stern 2003; Faber and Kalbfeld 2019; Kontokosta and Hong 2021; Wogan 2016)</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w:t>
      </w:r>
    </w:p>
    <w:p w14:paraId="0ED92B8D" w14:textId="77777777" w:rsidR="008F591A" w:rsidRPr="008F591A" w:rsidRDefault="008F591A" w:rsidP="008F591A">
      <w:pPr>
        <w:spacing w:after="0" w:line="480" w:lineRule="auto"/>
        <w:rPr>
          <w:rFonts w:ascii="Times New Roman" w:eastAsia="Calibri" w:hAnsi="Times New Roman" w:cs="Times New Roman"/>
          <w:color w:val="000000"/>
        </w:rPr>
      </w:pPr>
    </w:p>
    <w:p w14:paraId="3C687D84"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If squeaky wheel bias is present in our dependent variable, which it likely is, then comparisons between residents of color/disadvantaged residents and white residents/advantaged residents would tend to show either no difference in risk of exposure to sewage backups or a higher risk of exposure to sewage backups for white/advantaged residents. Any evidence of higher rates of sewage backup exposure for residents of color/disadvantaged residents, then, would be evidence that actual racial and economic disparities in sewage backup risk are likely larger than those already found. </w:t>
      </w:r>
    </w:p>
    <w:p w14:paraId="0FA3FAC3"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p>
    <w:p w14:paraId="20D7BB19"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r w:rsidRPr="008F591A">
        <w:rPr>
          <w:rFonts w:ascii="Times New Roman" w:eastAsia="Calibri" w:hAnsi="Times New Roman" w:cs="Times New Roman"/>
          <w:i/>
          <w:iCs/>
          <w:color w:val="000000"/>
        </w:rPr>
        <w:t>Census Tract Data</w:t>
      </w:r>
    </w:p>
    <w:p w14:paraId="0F3160A9"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7455FE2C"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The City of Syracuse contains fifty-five census tracts. Census tract data is derived from the 2020 Social Vulnerability Index (SVI) created by the Centers for Disease Control and Prevention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{"citationID":"EGytVkvn","properties":{"formattedCitation":"(Anon 2022b)","plainCitation":"(Anon 2022b)","noteIndex":0},"citationItems":[{"id":12166,"uris":["http://zotero.org/users/181796/items/IMBLGIK5"],"itemData":{"id":12166,"type":"webpage","language":"en-us","title":"CDC/ATSDR Social Vulnerability Index (SVI)","URL":"https://www.atsdr.cdc.gov/placeandhealth/svi/index.html","accessed":{"date-parts":[["2023",4,12]]},"issued":{"date-parts":[["2022",11,16]]}}}],"schema":"https://github.com/citation-style-language/schema/raw/master/csl-citation.json"}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(Anon 2022b)</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The SVI is a composite of data intended to represent the relative social vulnerability, or susceptibility, of a community to the effects of disasters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{"citationID":"ns8V2T6i","properties":{"formattedCitation":"(Tarling 2017)","plainCitation":"(Tarling 2017)","noteIndex":0},"citationItems":[{"id":12407,"uris":["http://zotero.org/groups/5076679/items/65GMZU94"],"itemData":{"id":12407,"type":"thesis","abstract":"As interest in social vulnerability to hazards grows, more indices are formulated for identifying and mapping population groups that may experience differential consequences from natural hazards. However, less attention has been given to the underlying choices researchers make when creating these indices. With the aim to contribute to understanding the issues surrounding social vulnerability indices, this research will analyze and compare two popular methods for social vulnerability mapping: CDC SVI and SoVI®, using San Francisco, California, U.S.A. as a case study. To do so, this research focuses on the impact of each model’s unique components: the type of social vulnerability each model exhibits and the overall usability of each model. Using Pearson correlation analysis to assess the association of age dependency variables, the two models, different geographic scales and statistical choices, it is clear that index variable selection has the biggest impact on index results. Geographic units within San Francisco that have the largest difference between the two models, when classified, are analyzed to understand what underlying variables the models use to represent social vulnerability to create different results. Results show that CDC SVI better represents a socioeconomic related social vulnerability, while SoVI® focuses on old age related social vulnerability. Furthermore, a SWOC analysis is employed to understand which model works best for an organization internally vis a vis ease of use and time and cost and externally, regarding the type of social vulnerability they intend to reduce. Findings suggest that for internal use, CDC SVI is easier to use, but for external use, the organization should consider the variables that compose each index to understand what kind of social vulnerability they aim to reduce. (Less)","event-place":"Sweden","publisher":"Lund University","publisher-place":"Sweden","source":"Semantic Scholar","title":"Comparative Analysis of Social Vulnerability Indices: CDC’s SVI and SoVI®","title-short":"Comparative Analysis of Social Vulnerability Indices","URL":"https://www.semanticscholar.org/paper/Comparative-Analysis-of-Social-Vulnerability-CDC%E2%80%99s-Tarling/fc4a69c33ab1a5ea2c2c2a505fa51e65abf5c22d","author":[{"family":"Tarling","given":"Hannah Andrea"}],"accessed":{"date-parts":[["2023",5,30]]},"issued":{"date-parts":[["2017"]]}}}],"schema":"https://github.com/citation-style-language/schema/raw/master/csl-citation.json"}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(Tarling 2017)</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Social vulnerability represents the relative difficulty a community would face in preventing and responding to disasters and includes a composite of variables such as the proportion of individuals living in poverty, those with a disability, those who are uninsured, etc. The CDC SVI SVI “indicates the relative vulnerability of every U.S. Census tract” and “ranks the tracts on 16 social factors”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{"citationID":"etMnX48x","properties":{"formattedCitation":"(Anon 2022a)","plainCitation":"(Anon 2022a)","noteIndex":0},"citationItems":[{"id":11973,"uris":["http://zotero.org/users/181796/items/JPWHD6G9"],"itemData":{"id":11973,"type":"webpage","language":"en-us","title":"CDC SVI Documentation 2020 | Place and Health | ATSDR","URL":"https://www.atsdr.cdc.gov/placeandhealth/svi/documentation/SVI_documentation_2020.html","accessed":{"date-parts":[["2023",1,27]]},"issued":{"date-parts":[["2022",10,28]]}}}],"schema":"https://github.com/citation-style-language/schema/raw/master/csl-citation.json"}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(Anon 2022a)</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For our study, we focus specifically on variables potentially related to housing and neighborhood inequality </w:t>
      </w:r>
      <w:proofErr w:type="gramStart"/>
      <w:r w:rsidRPr="008F591A">
        <w:rPr>
          <w:rFonts w:ascii="Times New Roman" w:eastAsia="Calibri" w:hAnsi="Times New Roman" w:cs="Times New Roman"/>
          <w:color w:val="000000"/>
        </w:rPr>
        <w:t>including:</w:t>
      </w:r>
      <w:proofErr w:type="gramEnd"/>
      <w:r w:rsidRPr="008F591A">
        <w:rPr>
          <w:rFonts w:ascii="Times New Roman" w:eastAsia="Calibri" w:hAnsi="Times New Roman" w:cs="Times New Roman"/>
          <w:color w:val="000000"/>
        </w:rPr>
        <w:t xml:space="preserve"> percentage minority, percentage Black, </w:t>
      </w:r>
      <w:r w:rsidRPr="008F591A">
        <w:rPr>
          <w:rFonts w:ascii="Times New Roman" w:eastAsia="Calibri" w:hAnsi="Times New Roman" w:cs="Times New Roman"/>
          <w:color w:val="000000"/>
        </w:rPr>
        <w:lastRenderedPageBreak/>
        <w:t>percentage who speak English “not well”, percentage living below 150% of the poverty line, percentage with a disability, percentage age 65 or older, percentage of households facing a housing burden</w:t>
      </w:r>
      <w:r w:rsidRPr="008F591A">
        <w:rPr>
          <w:rFonts w:ascii="Times New Roman" w:eastAsia="Calibri" w:hAnsi="Times New Roman" w:cs="Times New Roman"/>
          <w:vertAlign w:val="superscript"/>
        </w:rPr>
        <w:footnoteReference w:id="1"/>
      </w:r>
      <w:r w:rsidRPr="008F591A">
        <w:rPr>
          <w:rFonts w:ascii="Times New Roman" w:eastAsia="Calibri" w:hAnsi="Times New Roman" w:cs="Times New Roman"/>
          <w:color w:val="000000"/>
        </w:rPr>
        <w:t>, and percent of housing that is in buildings with ten or more units. We also examined several composite measures of Social Vulnerability including the sum of all SVI themes for the census tract, the percentile ranking of the census tract for all SVI themes, and the sum of all SVI “flags” or measures for which the CDC has determined the census tract is above a threshold of concern.</w:t>
      </w:r>
    </w:p>
    <w:p w14:paraId="2204C277"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2BA51909"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r w:rsidRPr="008F591A">
        <w:rPr>
          <w:rFonts w:ascii="Times New Roman" w:eastAsia="Calibri" w:hAnsi="Times New Roman" w:cs="Times New Roman"/>
          <w:i/>
          <w:iCs/>
          <w:color w:val="000000"/>
        </w:rPr>
        <w:t>Bivariate Analysis</w:t>
      </w:r>
    </w:p>
    <w:p w14:paraId="77BE44E2"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59659167"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We conducted bivariate analysis to compare census tracts to each other and identify relationships between the number of reported sewage backups in each census tract and key characteristics of census tracts. </w:t>
      </w:r>
    </w:p>
    <w:p w14:paraId="28880DA3" w14:textId="77777777" w:rsidR="008F591A" w:rsidRPr="008F591A" w:rsidRDefault="008F591A" w:rsidP="008F591A">
      <w:pPr>
        <w:spacing w:after="0" w:line="480" w:lineRule="auto"/>
        <w:rPr>
          <w:rFonts w:ascii="Times New Roman" w:eastAsia="Calibri" w:hAnsi="Times New Roman" w:cs="Times New Roman"/>
          <w:color w:val="000000"/>
        </w:rPr>
      </w:pPr>
    </w:p>
    <w:p w14:paraId="067FEB4D"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To test the bivariate relationships between census tract characteristics and reported sewage events, we examined the Pearson’s correlation coefficient, bivariate linear regression coefficient, and comparison of means (t-test). The groups for comparison of means were determined based on each variable’s distribution: majority minority (&gt;=50% of population is minority), majority Black (&gt;=50% of population is Black), &gt;=10% of the population who speak English "less than well", &gt;=20% of the civilian noninstitutionalized population with a disability, &gt;=20% of the population age 65 or older, &gt;=60% of the population below 150% of poverty line, &gt;=60% of </w:t>
      </w:r>
      <w:r w:rsidRPr="008F591A">
        <w:rPr>
          <w:rFonts w:ascii="Times New Roman" w:eastAsia="Calibri" w:hAnsi="Times New Roman" w:cs="Times New Roman"/>
          <w:color w:val="000000"/>
        </w:rPr>
        <w:lastRenderedPageBreak/>
        <w:t xml:space="preserve">occupied housing units are housing cost-burdened, and &gt;=50% of housing is in structures with 10 or more units. </w:t>
      </w:r>
    </w:p>
    <w:p w14:paraId="7472AE94" w14:textId="77777777" w:rsidR="008F591A" w:rsidRPr="008F591A" w:rsidRDefault="008F591A" w:rsidP="008F591A">
      <w:pPr>
        <w:spacing w:after="0" w:line="480" w:lineRule="auto"/>
        <w:rPr>
          <w:rFonts w:ascii="Times New Roman" w:eastAsia="Calibri" w:hAnsi="Times New Roman" w:cs="Times New Roman"/>
          <w:color w:val="000000"/>
        </w:rPr>
      </w:pPr>
    </w:p>
    <w:p w14:paraId="6EA05A26"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Statistical significance is defined as having a p-value of less than 0.05.</w:t>
      </w:r>
    </w:p>
    <w:p w14:paraId="18AF63B6"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1B90F2FE"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r w:rsidRPr="008F591A">
        <w:rPr>
          <w:rFonts w:ascii="Times New Roman" w:eastAsia="Calibri" w:hAnsi="Times New Roman" w:cs="Times New Roman"/>
          <w:i/>
          <w:iCs/>
          <w:color w:val="000000"/>
        </w:rPr>
        <w:t>Multivariate Analysis</w:t>
      </w:r>
    </w:p>
    <w:p w14:paraId="22C6C4C1"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3E76E8B8"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We conducted multivariate linear regression at the census tract level to further examine the relationship of key social measures of census tracts with sewage backup events, allowing for us to </w:t>
      </w:r>
      <w:proofErr w:type="gramStart"/>
      <w:r w:rsidRPr="008F591A">
        <w:rPr>
          <w:rFonts w:ascii="Times New Roman" w:eastAsia="Calibri" w:hAnsi="Times New Roman" w:cs="Times New Roman"/>
          <w:color w:val="000000"/>
        </w:rPr>
        <w:t>control for</w:t>
      </w:r>
      <w:proofErr w:type="gramEnd"/>
      <w:r w:rsidRPr="008F591A">
        <w:rPr>
          <w:rFonts w:ascii="Times New Roman" w:eastAsia="Calibri" w:hAnsi="Times New Roman" w:cs="Times New Roman"/>
          <w:color w:val="000000"/>
        </w:rPr>
        <w:t xml:space="preserve"> multiple characteristics simultaneously. </w:t>
      </w:r>
    </w:p>
    <w:p w14:paraId="72CAB50E" w14:textId="77777777" w:rsidR="008F591A" w:rsidRPr="008F591A" w:rsidRDefault="008F591A" w:rsidP="008F591A">
      <w:pPr>
        <w:spacing w:after="0" w:line="480" w:lineRule="auto"/>
        <w:rPr>
          <w:rFonts w:ascii="Times New Roman" w:eastAsia="Calibri" w:hAnsi="Times New Roman" w:cs="Times New Roman"/>
          <w:color w:val="000000"/>
        </w:rPr>
      </w:pPr>
    </w:p>
    <w:p w14:paraId="6590CE99"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First, we transformed the dependent variable (number of sewage backups) to ensure normality. Although the distribution of sewage backups by census tract does not exhibit statistically significant skewness or kurtosis, it is visibly right skewed, with a longer tail on the upper end of the distribution. To correct for this lack of normality, we conducted a square root transformation. The resulting dependent variable (square root of reported sewage backups) is normally distributed.</w:t>
      </w:r>
    </w:p>
    <w:p w14:paraId="7F52AECD"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2208EBE8"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We conducted three multivariate linear regression models, including the same census tract characteristics examined in bivariate analysis. We examined the Variance Inflation Factor (VIF) for each independent variable and excluded any variable with a VIF greater than 3.0. In model 1, we include the percentage minority and the percentage age 65 and over. In model 2, we include the percent Black and the percentage age 65 and </w:t>
      </w:r>
      <w:proofErr w:type="gramStart"/>
      <w:r w:rsidRPr="008F591A">
        <w:rPr>
          <w:rFonts w:ascii="Times New Roman" w:eastAsia="Calibri" w:hAnsi="Times New Roman" w:cs="Times New Roman"/>
          <w:color w:val="000000"/>
        </w:rPr>
        <w:t>over, but</w:t>
      </w:r>
      <w:proofErr w:type="gramEnd"/>
      <w:r w:rsidRPr="008F591A">
        <w:rPr>
          <w:rFonts w:ascii="Times New Roman" w:eastAsia="Calibri" w:hAnsi="Times New Roman" w:cs="Times New Roman"/>
          <w:color w:val="000000"/>
        </w:rPr>
        <w:t xml:space="preserve"> exclude the percent minority because </w:t>
      </w:r>
      <w:r w:rsidRPr="008F591A">
        <w:rPr>
          <w:rFonts w:ascii="Times New Roman" w:eastAsia="Calibri" w:hAnsi="Times New Roman" w:cs="Times New Roman"/>
          <w:color w:val="000000"/>
        </w:rPr>
        <w:lastRenderedPageBreak/>
        <w:t xml:space="preserve">of the high multicollinearity with percent Black. In model 3, we include the percentage of the population that is both Black and age 65 or older, but exclude percent minority, percent Black, and percent age 65 or older because of multicollinearity. </w:t>
      </w:r>
    </w:p>
    <w:p w14:paraId="4B4ED974"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2AF91D7F"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Statistical significance is defined as having a p-value of less than 0.05.</w:t>
      </w:r>
    </w:p>
    <w:p w14:paraId="31ED4942"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p>
    <w:p w14:paraId="772044B0" w14:textId="77777777" w:rsidR="008F591A" w:rsidRPr="008F591A" w:rsidRDefault="008F591A" w:rsidP="008F591A">
      <w:pPr>
        <w:tabs>
          <w:tab w:val="left" w:pos="7585"/>
        </w:tabs>
        <w:spacing w:after="0" w:line="480" w:lineRule="auto"/>
        <w:rPr>
          <w:rFonts w:ascii="Times New Roman" w:eastAsia="Calibri" w:hAnsi="Times New Roman" w:cs="Times New Roman"/>
          <w:i/>
          <w:iCs/>
          <w:color w:val="000000"/>
        </w:rPr>
      </w:pPr>
      <w:r w:rsidRPr="008F591A">
        <w:rPr>
          <w:rFonts w:ascii="Times New Roman" w:eastAsia="Calibri" w:hAnsi="Times New Roman" w:cs="Times New Roman"/>
          <w:i/>
          <w:iCs/>
          <w:color w:val="000000"/>
        </w:rPr>
        <w:t>Spatial Analysis</w:t>
      </w:r>
    </w:p>
    <w:p w14:paraId="2BF7FA5E" w14:textId="77777777" w:rsidR="008F591A" w:rsidRPr="008F591A" w:rsidRDefault="008F591A" w:rsidP="008F591A">
      <w:pPr>
        <w:tabs>
          <w:tab w:val="left" w:pos="7585"/>
        </w:tabs>
        <w:spacing w:after="0" w:line="480" w:lineRule="auto"/>
        <w:rPr>
          <w:rFonts w:ascii="Times New Roman" w:eastAsia="Calibri" w:hAnsi="Times New Roman" w:cs="Times New Roman"/>
          <w:color w:val="000000"/>
        </w:rPr>
      </w:pPr>
    </w:p>
    <w:p w14:paraId="634CA750"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t xml:space="preserve">We conducted spatial analysis on individual sewage backup events. To examine spatial patterns amongst reported sewage backups, we first examined the number of reported backups by census tract, created a heat map representing density of reported backups, and performed optimized hotspot analysis for all reported sewage backups. Optimized hotspot analysis identifies statistically significant hot and cold spots using Getis-Ord Gi* statistics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{"citationID":"5JASaFby","properties":{"formattedCitation":"(Anon n.d.-b)","plainCitation":"(Anon n.d.-b)","noteIndex":0},"citationItems":[{"id":12819,"uris":["http://zotero.org/users/181796/items/FFERQD73"],"itemData":{"id":12819,"type":"webpage","title":"Optimized Hot Spot Analysis (Spatial Statistics)—ArcGIS Pro | Documentation","URL":"https://pro.arcgis.com/en/pro-app/latest/tool-reference/spatial-statistics/optimized-hot-spot-analysis.htm","accessed":{"date-parts":[["2023",8,25]]}}}],"schema":"https://github.com/citation-style-language/schema/raw/master/csl-citation.json"}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(Anon n.d.-b)</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Essentially, this identifies areas in which cases are clustered (or not) at rates higher than if distribution were spatially random. Because our spatial area is relatively small and there is a very high density of cases, we had to utilize the option to “snap nearby incidents to create weighted points”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{"citationID":"qfGBGgwx","properties":{"formattedCitation":"(Anon n.d.-b)","plainCitation":"(Anon n.d.-b)","noteIndex":0},"citationItems":[{"id":12819,"uris":["http://zotero.org/users/181796/items/FFERQD73"],"itemData":{"id":12819,"type":"webpage","title":"Optimized Hot Spot Analysis (Spatial Statistics)—ArcGIS Pro | Documentation","URL":"https://pro.arcgis.com/en/pro-app/latest/tool-reference/spatial-statistics/optimized-hot-spot-analysis.htm","accessed":{"date-parts":[["2023",8,25]]}}}],"schema":"https://github.com/citation-style-language/schema/raw/master/csl-citation.json"}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(Anon n.d.-b)</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xml:space="preserve">. When this option is used, “a snap distance is computed and used to aggregate nearby incident points. Each aggregated point is given a count reflecting the number of incidents that were snapped together” </w:t>
      </w:r>
      <w:r w:rsidRPr="008F591A">
        <w:rPr>
          <w:rFonts w:ascii="Times New Roman" w:eastAsia="Calibri" w:hAnsi="Times New Roman" w:cs="Times New Roman"/>
          <w:color w:val="000000"/>
        </w:rPr>
        <w:fldChar w:fldCharType="begin"/>
      </w:r>
      <w:r w:rsidRPr="008F591A">
        <w:rPr>
          <w:rFonts w:ascii="Times New Roman" w:eastAsia="Calibri" w:hAnsi="Times New Roman" w:cs="Times New Roman"/>
          <w:color w:val="000000"/>
        </w:rPr>
        <w:instrText xml:space="preserve"> ADDIN ZOTERO_ITEM CSL_CITATION {"citationID":"0Hy5IKeI","properties":{"formattedCitation":"(Anon n.d.-b)","plainCitation":"(Anon n.d.-b)","noteIndex":0},"citationItems":[{"id":12819,"uris":["http://zotero.org/users/181796/items/FFERQD73"],"itemData":{"id":12819,"type":"webpage","title":"Optimized Hot Spot Analysis (Spatial Statistics)—ArcGIS Pro | Documentation","URL":"https://pro.arcgis.com/en/pro-app/latest/tool-reference/spatial-statistics/optimized-hot-spot-analysis.htm","accessed":{"date-parts":[["2023",8,25]]}}}],"schema":"https://github.com/citation-style-language/schema/raw/master/csl-citation.json"} </w:instrText>
      </w:r>
      <w:r w:rsidRPr="008F591A">
        <w:rPr>
          <w:rFonts w:ascii="Times New Roman" w:eastAsia="Calibri" w:hAnsi="Times New Roman" w:cs="Times New Roman"/>
          <w:color w:val="000000"/>
        </w:rPr>
        <w:fldChar w:fldCharType="separate"/>
      </w:r>
      <w:r w:rsidRPr="008F591A">
        <w:rPr>
          <w:rFonts w:ascii="Times New Roman" w:eastAsia="Calibri" w:hAnsi="Times New Roman" w:cs="Times New Roman"/>
          <w:noProof/>
          <w:color w:val="000000"/>
        </w:rPr>
        <w:t>(Anon n.d.-b)</w:t>
      </w:r>
      <w:r w:rsidRPr="008F591A">
        <w:rPr>
          <w:rFonts w:ascii="Times New Roman" w:eastAsia="Calibri" w:hAnsi="Times New Roman" w:cs="Times New Roman"/>
          <w:color w:val="000000"/>
        </w:rPr>
        <w:fldChar w:fldCharType="end"/>
      </w:r>
      <w:r w:rsidRPr="008F591A">
        <w:rPr>
          <w:rFonts w:ascii="Times New Roman" w:eastAsia="Calibri" w:hAnsi="Times New Roman" w:cs="Times New Roman"/>
          <w:color w:val="000000"/>
        </w:rPr>
        <w:t>. This option is appropriate when there are overlapping cases that occur at the same location or a very high density of cases in a small area.</w:t>
      </w:r>
    </w:p>
    <w:p w14:paraId="0EBB86A0" w14:textId="77777777" w:rsidR="008F591A" w:rsidRPr="008F591A" w:rsidRDefault="008F591A" w:rsidP="008F591A">
      <w:pPr>
        <w:spacing w:after="0" w:line="480" w:lineRule="auto"/>
        <w:rPr>
          <w:rFonts w:ascii="Times New Roman" w:eastAsia="Calibri" w:hAnsi="Times New Roman" w:cs="Times New Roman"/>
          <w:color w:val="000000"/>
        </w:rPr>
      </w:pPr>
    </w:p>
    <w:p w14:paraId="4B286471" w14:textId="77777777" w:rsidR="008F591A" w:rsidRPr="008F591A" w:rsidRDefault="008F591A" w:rsidP="008F591A">
      <w:pPr>
        <w:spacing w:after="0" w:line="480" w:lineRule="auto"/>
        <w:rPr>
          <w:rFonts w:ascii="Times New Roman" w:eastAsia="Calibri" w:hAnsi="Times New Roman" w:cs="Times New Roman"/>
          <w:color w:val="000000"/>
        </w:rPr>
      </w:pPr>
      <w:r w:rsidRPr="008F591A">
        <w:rPr>
          <w:rFonts w:ascii="Times New Roman" w:eastAsia="Calibri" w:hAnsi="Times New Roman" w:cs="Times New Roman"/>
          <w:color w:val="000000"/>
        </w:rPr>
        <w:lastRenderedPageBreak/>
        <w:t>Finally, to examine the cooccurrence of sewage backup hotspots and census tract characteristics, we mapped the optimized hotspot analysis simultaneously with census tract percentage Black, percentage 65 or older, and percentage both Black and 65 or older.</w:t>
      </w:r>
    </w:p>
    <w:p w14:paraId="67A2255B" w14:textId="77777777" w:rsidR="008F591A" w:rsidRPr="008F591A" w:rsidRDefault="008F591A" w:rsidP="008F591A">
      <w:pPr>
        <w:spacing w:after="0" w:line="480" w:lineRule="auto"/>
        <w:rPr>
          <w:rFonts w:ascii="Times New Roman" w:eastAsia="Calibri" w:hAnsi="Times New Roman" w:cs="Times New Roman"/>
          <w:color w:val="000000"/>
        </w:rPr>
      </w:pPr>
    </w:p>
    <w:p w14:paraId="5A22C665" w14:textId="77777777" w:rsidR="00A7255D" w:rsidRDefault="00A7255D"/>
    <w:sectPr w:rsidR="00A725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2E85B" w14:textId="77777777" w:rsidR="008F591A" w:rsidRDefault="008F591A" w:rsidP="008F591A">
      <w:pPr>
        <w:spacing w:after="0" w:line="240" w:lineRule="auto"/>
      </w:pPr>
      <w:r>
        <w:separator/>
      </w:r>
    </w:p>
  </w:endnote>
  <w:endnote w:type="continuationSeparator" w:id="0">
    <w:p w14:paraId="50E1A7F6" w14:textId="77777777" w:rsidR="008F591A" w:rsidRDefault="008F591A" w:rsidP="008F5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9B9D9" w14:textId="77777777" w:rsidR="008F591A" w:rsidRDefault="008F591A" w:rsidP="008F591A">
      <w:pPr>
        <w:spacing w:after="0" w:line="240" w:lineRule="auto"/>
      </w:pPr>
      <w:r>
        <w:separator/>
      </w:r>
    </w:p>
  </w:footnote>
  <w:footnote w:type="continuationSeparator" w:id="0">
    <w:p w14:paraId="59F15C14" w14:textId="77777777" w:rsidR="008F591A" w:rsidRDefault="008F591A" w:rsidP="008F591A">
      <w:pPr>
        <w:spacing w:after="0" w:line="240" w:lineRule="auto"/>
      </w:pPr>
      <w:r>
        <w:continuationSeparator/>
      </w:r>
    </w:p>
  </w:footnote>
  <w:footnote w:id="1">
    <w:p w14:paraId="527FF9E3" w14:textId="77777777" w:rsidR="008F591A" w:rsidRDefault="008F591A" w:rsidP="008F591A">
      <w:pPr>
        <w:pStyle w:val="FootnoteText"/>
      </w:pPr>
      <w:r w:rsidRPr="00322AC0">
        <w:rPr>
          <w:rStyle w:val="FootnoteReference"/>
        </w:rPr>
        <w:footnoteRef/>
      </w:r>
      <w:r>
        <w:t xml:space="preserve"> A housing burden is defined as </w:t>
      </w:r>
      <w:r>
        <w:rPr>
          <w:sz w:val="22"/>
          <w:szCs w:val="22"/>
        </w:rPr>
        <w:t>households that spend 30% or more of annual income on housing costs.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B05"/>
    <w:multiLevelType w:val="hybridMultilevel"/>
    <w:tmpl w:val="E9029C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07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1A"/>
    <w:rsid w:val="000F513D"/>
    <w:rsid w:val="008F591A"/>
    <w:rsid w:val="00A7255D"/>
    <w:rsid w:val="00C31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5990"/>
  <w15:chartTrackingRefBased/>
  <w15:docId w15:val="{09AA3525-4BCD-4D6D-AB64-50A9560B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91A"/>
    <w:rPr>
      <w:rFonts w:eastAsiaTheme="majorEastAsia" w:cstheme="majorBidi"/>
      <w:color w:val="272727" w:themeColor="text1" w:themeTint="D8"/>
    </w:rPr>
  </w:style>
  <w:style w:type="paragraph" w:styleId="Title">
    <w:name w:val="Title"/>
    <w:basedOn w:val="Normal"/>
    <w:next w:val="Normal"/>
    <w:link w:val="TitleChar"/>
    <w:uiPriority w:val="10"/>
    <w:qFormat/>
    <w:rsid w:val="008F5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91A"/>
    <w:pPr>
      <w:spacing w:before="160"/>
      <w:jc w:val="center"/>
    </w:pPr>
    <w:rPr>
      <w:i/>
      <w:iCs/>
      <w:color w:val="404040" w:themeColor="text1" w:themeTint="BF"/>
    </w:rPr>
  </w:style>
  <w:style w:type="character" w:customStyle="1" w:styleId="QuoteChar">
    <w:name w:val="Quote Char"/>
    <w:basedOn w:val="DefaultParagraphFont"/>
    <w:link w:val="Quote"/>
    <w:uiPriority w:val="29"/>
    <w:rsid w:val="008F591A"/>
    <w:rPr>
      <w:i/>
      <w:iCs/>
      <w:color w:val="404040" w:themeColor="text1" w:themeTint="BF"/>
    </w:rPr>
  </w:style>
  <w:style w:type="paragraph" w:styleId="ListParagraph">
    <w:name w:val="List Paragraph"/>
    <w:basedOn w:val="Normal"/>
    <w:uiPriority w:val="34"/>
    <w:qFormat/>
    <w:rsid w:val="008F591A"/>
    <w:pPr>
      <w:ind w:left="720"/>
      <w:contextualSpacing/>
    </w:pPr>
  </w:style>
  <w:style w:type="character" w:styleId="IntenseEmphasis">
    <w:name w:val="Intense Emphasis"/>
    <w:basedOn w:val="DefaultParagraphFont"/>
    <w:uiPriority w:val="21"/>
    <w:qFormat/>
    <w:rsid w:val="008F591A"/>
    <w:rPr>
      <w:i/>
      <w:iCs/>
      <w:color w:val="0F4761" w:themeColor="accent1" w:themeShade="BF"/>
    </w:rPr>
  </w:style>
  <w:style w:type="paragraph" w:styleId="IntenseQuote">
    <w:name w:val="Intense Quote"/>
    <w:basedOn w:val="Normal"/>
    <w:next w:val="Normal"/>
    <w:link w:val="IntenseQuoteChar"/>
    <w:uiPriority w:val="30"/>
    <w:qFormat/>
    <w:rsid w:val="008F5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91A"/>
    <w:rPr>
      <w:i/>
      <w:iCs/>
      <w:color w:val="0F4761" w:themeColor="accent1" w:themeShade="BF"/>
    </w:rPr>
  </w:style>
  <w:style w:type="character" w:styleId="IntenseReference">
    <w:name w:val="Intense Reference"/>
    <w:basedOn w:val="DefaultParagraphFont"/>
    <w:uiPriority w:val="32"/>
    <w:qFormat/>
    <w:rsid w:val="008F591A"/>
    <w:rPr>
      <w:b/>
      <w:bCs/>
      <w:smallCaps/>
      <w:color w:val="0F4761" w:themeColor="accent1" w:themeShade="BF"/>
      <w:spacing w:val="5"/>
    </w:rPr>
  </w:style>
  <w:style w:type="paragraph" w:styleId="FootnoteText">
    <w:name w:val="footnote text"/>
    <w:basedOn w:val="Normal"/>
    <w:link w:val="FootnoteTextChar"/>
    <w:uiPriority w:val="99"/>
    <w:semiHidden/>
    <w:unhideWhenUsed/>
    <w:rsid w:val="008F59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591A"/>
    <w:rPr>
      <w:sz w:val="20"/>
      <w:szCs w:val="20"/>
    </w:rPr>
  </w:style>
  <w:style w:type="character" w:styleId="FootnoteReference">
    <w:name w:val="footnote reference"/>
    <w:basedOn w:val="DefaultParagraphFont"/>
    <w:uiPriority w:val="99"/>
    <w:semiHidden/>
    <w:unhideWhenUsed/>
    <w:rsid w:val="008F59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4893</Words>
  <Characters>27895</Characters>
  <Application>Microsoft Office Word</Application>
  <DocSecurity>0</DocSecurity>
  <Lines>232</Lines>
  <Paragraphs>65</Paragraphs>
  <ScaleCrop>false</ScaleCrop>
  <Company/>
  <LinksUpToDate>false</LinksUpToDate>
  <CharactersWithSpaces>32723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Schewe</dc:creator>
  <cp:keywords/>
  <dc:description/>
  <cp:lastModifiedBy>Becky Schewe</cp:lastModifiedBy>
  <cp:revision>1</cp:revision>
  <dcterms:created xsi:type="dcterms:W3CDTF">2024-08-18T15:26:00Z</dcterms:created>
  <dcterms:modified xsi:type="dcterms:W3CDTF">2024-08-18T15:26:00Z</dcterms:modified>
</cp:coreProperties>
</file>