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06EB" w14:textId="77777777" w:rsidR="00BF5A7A" w:rsidRPr="006A5B21" w:rsidRDefault="00BF5A7A" w:rsidP="002E4897">
      <w:pPr>
        <w:jc w:val="left"/>
        <w:rPr>
          <w:rFonts w:eastAsia="DengXian"/>
          <w:b/>
          <w:bCs/>
          <w:sz w:val="32"/>
          <w:szCs w:val="32"/>
        </w:rPr>
      </w:pPr>
      <w:r w:rsidRPr="006A5B21">
        <w:rPr>
          <w:rFonts w:eastAsia="DengXian"/>
          <w:b/>
          <w:bCs/>
          <w:sz w:val="32"/>
          <w:szCs w:val="32"/>
        </w:rPr>
        <w:t>Supplementary Notes</w:t>
      </w:r>
    </w:p>
    <w:tbl>
      <w:tblPr>
        <w:tblStyle w:val="a7"/>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10456"/>
      </w:tblGrid>
      <w:tr w:rsidR="00BF5A7A" w:rsidRPr="006A5B21" w14:paraId="5DD0AE57" w14:textId="77777777" w:rsidTr="005E454E">
        <w:tc>
          <w:tcPr>
            <w:tcW w:w="10456" w:type="dxa"/>
          </w:tcPr>
          <w:p w14:paraId="30F2631A" w14:textId="5A83D813" w:rsidR="00BF5A7A" w:rsidRPr="006A5B21" w:rsidRDefault="00B9268B" w:rsidP="00BF5A7A">
            <w:pPr>
              <w:widowControl/>
              <w:spacing w:before="100" w:beforeAutospacing="1" w:after="100" w:afterAutospacing="1" w:line="216" w:lineRule="auto"/>
              <w:jc w:val="left"/>
              <w:rPr>
                <w:rFonts w:eastAsia="宋体"/>
                <w:b/>
                <w:bCs/>
                <w:kern w:val="0"/>
                <w:sz w:val="32"/>
                <w:szCs w:val="32"/>
              </w:rPr>
            </w:pPr>
            <w:r w:rsidRPr="0067524A">
              <w:rPr>
                <w:rFonts w:eastAsia="宋体"/>
                <w:b/>
                <w:bCs/>
                <w:color w:val="FF0000"/>
                <w:kern w:val="0"/>
                <w:sz w:val="28"/>
                <w:szCs w:val="32"/>
              </w:rPr>
              <w:t xml:space="preserve">SDFA: A Standardized Decomposition Format and Toolkit for Efficient </w:t>
            </w:r>
            <w:r w:rsidR="00930D77" w:rsidRPr="0067524A">
              <w:rPr>
                <w:rFonts w:eastAsia="宋体"/>
                <w:b/>
                <w:bCs/>
                <w:color w:val="FF0000"/>
                <w:kern w:val="0"/>
                <w:sz w:val="28"/>
                <w:szCs w:val="32"/>
              </w:rPr>
              <w:t xml:space="preserve">Analysis </w:t>
            </w:r>
            <w:r w:rsidR="00930D77" w:rsidRPr="0067524A">
              <w:rPr>
                <w:rFonts w:eastAsia="宋体" w:hint="eastAsia"/>
                <w:b/>
                <w:bCs/>
                <w:color w:val="FF0000"/>
                <w:kern w:val="0"/>
                <w:sz w:val="28"/>
                <w:szCs w:val="32"/>
              </w:rPr>
              <w:t>of</w:t>
            </w:r>
            <w:r w:rsidR="00930D77" w:rsidRPr="0067524A">
              <w:rPr>
                <w:rFonts w:eastAsia="宋体"/>
                <w:b/>
                <w:bCs/>
                <w:color w:val="FF0000"/>
                <w:kern w:val="0"/>
                <w:sz w:val="28"/>
                <w:szCs w:val="32"/>
              </w:rPr>
              <w:t xml:space="preserve"> </w:t>
            </w:r>
            <w:r w:rsidRPr="0067524A">
              <w:rPr>
                <w:rFonts w:eastAsia="宋体"/>
                <w:b/>
                <w:bCs/>
                <w:color w:val="FF0000"/>
                <w:kern w:val="0"/>
                <w:sz w:val="28"/>
                <w:szCs w:val="32"/>
              </w:rPr>
              <w:t>Structural Variant</w:t>
            </w:r>
            <w:r w:rsidR="00930D77" w:rsidRPr="0067524A">
              <w:rPr>
                <w:rFonts w:eastAsia="宋体"/>
                <w:b/>
                <w:bCs/>
                <w:color w:val="FF0000"/>
                <w:kern w:val="0"/>
                <w:sz w:val="28"/>
                <w:szCs w:val="32"/>
              </w:rPr>
              <w:t>s</w:t>
            </w:r>
            <w:r w:rsidRPr="0067524A">
              <w:rPr>
                <w:rFonts w:eastAsia="宋体"/>
                <w:b/>
                <w:bCs/>
                <w:color w:val="FF0000"/>
                <w:kern w:val="0"/>
                <w:sz w:val="28"/>
                <w:szCs w:val="32"/>
              </w:rPr>
              <w:t xml:space="preserve"> in Large-scale Population Genomic</w:t>
            </w:r>
            <w:r w:rsidR="001473CD">
              <w:rPr>
                <w:rFonts w:eastAsia="宋体"/>
                <w:b/>
                <w:bCs/>
                <w:color w:val="FF0000"/>
                <w:kern w:val="0"/>
                <w:sz w:val="28"/>
                <w:szCs w:val="32"/>
              </w:rPr>
              <w:t xml:space="preserve"> Studies</w:t>
            </w:r>
          </w:p>
        </w:tc>
      </w:tr>
    </w:tbl>
    <w:p w14:paraId="29BD2DE7" w14:textId="1CBC05CA" w:rsidR="006230D1" w:rsidRPr="002F5056" w:rsidRDefault="006230D1" w:rsidP="006230D1">
      <w:pPr>
        <w:widowControl/>
        <w:spacing w:before="100" w:beforeAutospacing="1" w:after="100" w:afterAutospacing="1"/>
        <w:jc w:val="left"/>
        <w:rPr>
          <w:rFonts w:eastAsia="宋体"/>
          <w:b/>
          <w:bCs/>
          <w:kern w:val="0"/>
          <w:sz w:val="22"/>
          <w:szCs w:val="36"/>
          <w:vertAlign w:val="superscript"/>
        </w:rPr>
        <w:sectPr w:rsidR="006230D1" w:rsidRPr="002F5056" w:rsidSect="00677B6E">
          <w:pgSz w:w="11906" w:h="16838" w:code="9"/>
          <w:pgMar w:top="720" w:right="720" w:bottom="720" w:left="720" w:header="851" w:footer="992" w:gutter="0"/>
          <w:lnNumType w:countBy="1" w:restart="continuous"/>
          <w:cols w:space="425"/>
          <w:docGrid w:type="lines" w:linePitch="312"/>
        </w:sectPr>
      </w:pPr>
      <w:bookmarkStart w:id="0" w:name="_Hlk174319349"/>
    </w:p>
    <w:bookmarkEnd w:id="0"/>
    <w:p w14:paraId="369D433E" w14:textId="50C2124D" w:rsidR="00D23990" w:rsidRPr="00D555AA" w:rsidRDefault="00150405" w:rsidP="006213D5">
      <w:pPr>
        <w:pStyle w:val="3"/>
        <w:spacing w:after="312"/>
      </w:pPr>
      <w:r w:rsidRPr="00D555AA">
        <w:lastRenderedPageBreak/>
        <w:t>Supplementary Note 1.</w:t>
      </w:r>
      <w:r w:rsidR="009C5E04" w:rsidRPr="00D555AA">
        <w:t xml:space="preserve"> </w:t>
      </w:r>
      <w:r w:rsidR="007D4596" w:rsidRPr="00D555AA">
        <w:t xml:space="preserve">1100 VCF files of </w:t>
      </w:r>
      <w:r w:rsidRPr="00D555AA">
        <w:t xml:space="preserve">SV </w:t>
      </w:r>
      <w:r w:rsidR="003654F8" w:rsidRPr="00D555AA">
        <w:t xml:space="preserve">for </w:t>
      </w:r>
      <w:r w:rsidR="007D4596" w:rsidRPr="00D555AA">
        <w:t xml:space="preserve">extraction </w:t>
      </w:r>
      <w:r w:rsidRPr="00D555AA">
        <w:t>benchmark datasets</w:t>
      </w:r>
    </w:p>
    <w:p w14:paraId="305ED05F" w14:textId="77D5C66C" w:rsidR="005E52C3" w:rsidRDefault="00150405" w:rsidP="00320A14">
      <w:pPr>
        <w:rPr>
          <w:sz w:val="20"/>
          <w:szCs w:val="28"/>
        </w:rPr>
      </w:pPr>
      <w:r w:rsidRPr="000B0CA8">
        <w:rPr>
          <w:rFonts w:hint="eastAsia"/>
          <w:sz w:val="20"/>
          <w:szCs w:val="28"/>
        </w:rPr>
        <w:t>W</w:t>
      </w:r>
      <w:r w:rsidRPr="000B0CA8">
        <w:rPr>
          <w:sz w:val="20"/>
          <w:szCs w:val="28"/>
        </w:rPr>
        <w:t xml:space="preserve">e </w:t>
      </w:r>
      <w:r w:rsidR="00BF5A7A" w:rsidRPr="000B0CA8">
        <w:rPr>
          <w:sz w:val="20"/>
          <w:szCs w:val="28"/>
        </w:rPr>
        <w:t>initially</w:t>
      </w:r>
      <w:r w:rsidRPr="000B0CA8">
        <w:rPr>
          <w:sz w:val="20"/>
          <w:szCs w:val="28"/>
        </w:rPr>
        <w:t xml:space="preserve"> </w:t>
      </w:r>
      <w:r w:rsidR="00BF5A7A" w:rsidRPr="000B0CA8">
        <w:rPr>
          <w:sz w:val="20"/>
          <w:szCs w:val="28"/>
        </w:rPr>
        <w:t>collected</w:t>
      </w:r>
      <w:r w:rsidRPr="000B0CA8">
        <w:rPr>
          <w:sz w:val="20"/>
          <w:szCs w:val="28"/>
        </w:rPr>
        <w:t xml:space="preserve"> </w:t>
      </w:r>
      <w:r w:rsidR="00257252" w:rsidRPr="000B0CA8">
        <w:rPr>
          <w:sz w:val="20"/>
          <w:szCs w:val="28"/>
        </w:rPr>
        <w:t>10 NCBI individual</w:t>
      </w:r>
      <w:r w:rsidR="00B63348" w:rsidRPr="000B0CA8">
        <w:rPr>
          <w:sz w:val="20"/>
          <w:szCs w:val="28"/>
        </w:rPr>
        <w:t>s</w:t>
      </w:r>
      <w:r w:rsidR="00FF16D9" w:rsidRPr="000B0CA8">
        <w:rPr>
          <w:sz w:val="20"/>
          <w:szCs w:val="28"/>
        </w:rPr>
        <w:t>: HG002 family pedigree data</w:t>
      </w:r>
      <w:r w:rsidR="00D95572" w:rsidRPr="000B0CA8">
        <w:rPr>
          <w:sz w:val="20"/>
          <w:szCs w:val="28"/>
        </w:rPr>
        <w:fldChar w:fldCharType="begin"/>
      </w:r>
      <w:r w:rsidR="00D95572" w:rsidRPr="000B0CA8">
        <w:rPr>
          <w:sz w:val="20"/>
          <w:szCs w:val="28"/>
        </w:rPr>
        <w:instrText xml:space="preserve"> ADDIN ZOTERO_ITEM CSL_CITATION {"citationID":"u3bfg1SS","properties":{"formattedCitation":"\\super 1\\nosupersub{}","plainCitation":"1","noteIndex":0},"citationItems":[{"id":233,"uris":["http://zotero.org/users/local/isDXystY/items/NFKPT8PB"],"itemData":{"id":233,"type":"article-journal","abstract":"De novo assembly of a human genome using nanopore long-read sequences has been reported, but it used more than 150,000 CPU hours and weeks of wall-clock time. To enable rapid human genome assembly, we present Shasta, a de novo long-read assembler, and polishing algorithms named MarginPolish and HELEN. Using a single PromethION nanopore sequencer and our toolkit, we assembled 11 highly contiguous human genomes de novo in 9 d. We achieved roughly 63× coverage, 42-kb read N50 values and 6.5× coverage in reads &gt;100 kb using three flow cells per sample. Shasta produced a complete haploid human genome assembly in under 6 h on a single commercial compute node. MarginPolish and HELEN polished haploid assemblies to more than 99.9% identity (Phred quality score QV = 30) with nanopore reads alone. Addition of proximity-ligation sequencing enabled near chromosome-level scaffolds for all 11 genomes. We compare our assembly performance to existing methods for diploid, haploid and trio-binned human samples and report superior accuracy and speed.","container-title":"Nature Biotechnology","DOI":"10.1038/s41587-020-0503-6","ISSN":"1546-1696","issue":"9","journalAbbreviation":"Nat Biotechnol","language":"eng","note":"PMID: 32686750\nPMCID: PMC7483855","page":"1044-1053","source":"PubMed","title":"Nanopore sequencing and the Shasta toolkit enable efficient de novo assembly of eleven human genomes","volume":"38","author":[{"family":"Shafin","given":"Kishwar"},{"family":"Pesout","given":"Trevor"},{"family":"Lorig-Roach","given":"Ryan"},{"family":"Haukness","given":"Marina"},{"family":"Olsen","given":"Hugh E."},{"family":"Bosworth","given":"Colleen"},{"family":"Armstrong","given":"Joel"},{"family":"Tigyi","given":"Kristof"},{"family":"Maurer","given":"Nicholas"},{"family":"Koren","given":"Sergey"},{"family":"Sedlazeck","given":"Fritz J."},{"family":"Marschall","given":"Tobias"},{"family":"Mayes","given":"Simon"},{"family":"Costa","given":"Vania"},{"family":"Zook","given":"Justin M."},{"family":"Liu","given":"Kelvin J."},{"family":"Kilburn","given":"Duncan"},{"family":"Sorensen","given":"Melanie"},{"family":"Munson","given":"Katy M."},{"family":"Vollger","given":"Mitchell R."},{"family":"Monlong","given":"Jean"},{"family":"Garrison","given":"Erik"},{"family":"Eichler","given":"Evan E."},{"family":"Salama","given":"Sofie"},{"family":"Haussler","given":"David"},{"family":"Green","given":"Richard E."},{"family":"Akeson","given":"Mark"},{"family":"Phillippy","given":"Adam"},{"family":"Miga","given":"Karen H."},{"family":"Carnevali","given":"Paolo"},{"family":"Jain","given":"Miten"},{"family":"Paten","given":"Benedict"}],"issued":{"date-parts":[["2020",9]]}}}],"schema":"https://github.com/citation-style-language/schema/raw/master/csl-citation.json"}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1</w:t>
      </w:r>
      <w:r w:rsidR="00D95572" w:rsidRPr="000B0CA8">
        <w:rPr>
          <w:sz w:val="20"/>
          <w:szCs w:val="28"/>
        </w:rPr>
        <w:fldChar w:fldCharType="end"/>
      </w:r>
      <w:r w:rsidR="00FF16D9" w:rsidRPr="000B0CA8">
        <w:rPr>
          <w:sz w:val="20"/>
          <w:szCs w:val="28"/>
        </w:rPr>
        <w:t xml:space="preserve"> (HG002 [son], HG003 [father], HG004 [mother]), the HG005 family pedigree data</w:t>
      </w:r>
      <w:r w:rsidR="00D95572" w:rsidRPr="000B0CA8">
        <w:rPr>
          <w:sz w:val="20"/>
          <w:szCs w:val="28"/>
        </w:rPr>
        <w:fldChar w:fldCharType="begin"/>
      </w:r>
      <w:r w:rsidR="00D95572" w:rsidRPr="000B0CA8">
        <w:rPr>
          <w:sz w:val="20"/>
          <w:szCs w:val="28"/>
        </w:rPr>
        <w:instrText xml:space="preserve"> ADDIN ZOTERO_ITEM CSL_CITATION {"citationID":"uXdzGODX","properties":{"formattedCitation":"\\super 1\\nosupersub{}","plainCitation":"1","noteIndex":0},"citationItems":[{"id":233,"uris":["http://zotero.org/users/local/isDXystY/items/NFKPT8PB"],"itemData":{"id":233,"type":"article-journal","abstract":"De novo assembly of a human genome using nanopore long-read sequences has been reported, but it used more than 150,000 CPU hours and weeks of wall-clock time. To enable rapid human genome assembly, we present Shasta, a de novo long-read assembler, and polishing algorithms named MarginPolish and HELEN. Using a single PromethION nanopore sequencer and our toolkit, we assembled 11 highly contiguous human genomes de novo in 9 d. We achieved roughly 63× coverage, 42-kb read N50 values and 6.5× coverage in reads &gt;100 kb using three flow cells per sample. Shasta produced a complete haploid human genome assembly in under 6 h on a single commercial compute node. MarginPolish and HELEN polished haploid assemblies to more than 99.9% identity (Phred quality score QV = 30) with nanopore reads alone. Addition of proximity-ligation sequencing enabled near chromosome-level scaffolds for all 11 genomes. We compare our assembly performance to existing methods for diploid, haploid and trio-binned human samples and report superior accuracy and speed.","container-title":"Nature Biotechnology","DOI":"10.1038/s41587-020-0503-6","ISSN":"1546-1696","issue":"9","journalAbbreviation":"Nat Biotechnol","language":"eng","note":"PMID: 32686750\nPMCID: PMC7483855","page":"1044-1053","source":"PubMed","title":"Nanopore sequencing and the Shasta toolkit enable efficient de novo assembly of eleven human genomes","volume":"38","author":[{"family":"Shafin","given":"Kishwar"},{"family":"Pesout","given":"Trevor"},{"family":"Lorig-Roach","given":"Ryan"},{"family":"Haukness","given":"Marina"},{"family":"Olsen","given":"Hugh E."},{"family":"Bosworth","given":"Colleen"},{"family":"Armstrong","given":"Joel"},{"family":"Tigyi","given":"Kristof"},{"family":"Maurer","given":"Nicholas"},{"family":"Koren","given":"Sergey"},{"family":"Sedlazeck","given":"Fritz J."},{"family":"Marschall","given":"Tobias"},{"family":"Mayes","given":"Simon"},{"family":"Costa","given":"Vania"},{"family":"Zook","given":"Justin M."},{"family":"Liu","given":"Kelvin J."},{"family":"Kilburn","given":"Duncan"},{"family":"Sorensen","given":"Melanie"},{"family":"Munson","given":"Katy M."},{"family":"Vollger","given":"Mitchell R."},{"family":"Monlong","given":"Jean"},{"family":"Garrison","given":"Erik"},{"family":"Eichler","given":"Evan E."},{"family":"Salama","given":"Sofie"},{"family":"Haussler","given":"David"},{"family":"Green","given":"Richard E."},{"family":"Akeson","given":"Mark"},{"family":"Phillippy","given":"Adam"},{"family":"Miga","given":"Karen H."},{"family":"Carnevali","given":"Paolo"},{"family":"Jain","given":"Miten"},{"family":"Paten","given":"Benedict"}],"issued":{"date-parts":[["2020",9]]}}}],"schema":"https://github.com/citation-style-language/schema/raw/master/csl-citation.json"}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1</w:t>
      </w:r>
      <w:r w:rsidR="00D95572" w:rsidRPr="000B0CA8">
        <w:rPr>
          <w:sz w:val="20"/>
          <w:szCs w:val="28"/>
        </w:rPr>
        <w:fldChar w:fldCharType="end"/>
      </w:r>
      <w:r w:rsidR="00FF16D9" w:rsidRPr="000B0CA8">
        <w:rPr>
          <w:sz w:val="20"/>
          <w:szCs w:val="28"/>
        </w:rPr>
        <w:t xml:space="preserve"> (HG005 [son], HG006 [father], HG007 [mother]), the NA12878 subject</w:t>
      </w:r>
      <w:r w:rsidR="00D95572" w:rsidRPr="000B0CA8">
        <w:rPr>
          <w:sz w:val="20"/>
          <w:szCs w:val="28"/>
        </w:rPr>
        <w:fldChar w:fldCharType="begin"/>
      </w:r>
      <w:r w:rsidR="00D95572" w:rsidRPr="000B0CA8">
        <w:rPr>
          <w:sz w:val="20"/>
          <w:szCs w:val="28"/>
        </w:rPr>
        <w:instrText xml:space="preserve"> ADDIN ZOTERO_ITEM CSL_CITATION {"citationID":"URHbKSUh","properties":{"formattedCitation":"\\super 2\\uc0\\u8211{}5\\nosupersub{}","plainCitation":"2–5","noteIndex":0},"citationItems":[{"id":239,"uris":["http://zotero.org/users/local/isDXystY/items/NX99J56Y"],"itemData":{"id":239,"type":"article-journal","abstract":"Clinical adoption of human genome sequencing requires methods that output genotypes with known accuracy at millions or billions of positions across a genome. Because of substantial discordance among calls made by existing sequencing methods and algorithms, there is a need for a highly accurate set of genotypes across a genome that can be used as a benchmark. Here we present methods to make high-confidence, single-nucleotide polymorphism (SNP), indel and homozygous reference genotype calls for NA12878, the pilot genome for the Genome in a Bottle Consortium. We minimize bias toward any method by integrating and arbitrating between 14 data sets from five sequencing technologies, seven read mappers and three variant callers. We identify regions for which no confident genotype call could be made, and classify them into different categories based on reasons for uncertainty. Our genotype calls are publicly available on the Genome Comparison and Analytic Testing website to enable real-time benchmarking of any method.","container-title":"Nature Biotechnology","DOI":"10.1038/nbt.2835","ISSN":"1546-1696","issue":"3","journalAbbreviation":"Nat Biotechnol","language":"eng","note":"PMID: 24531798","page":"246-251","source":"PubMed","title":"Integrating human sequence data sets provides a resource of benchmark SNP and indel genotype calls","volume":"32","author":[{"family":"Zook","given":"Justin M."},{"family":"Chapman","given":"Brad"},{"family":"Wang","given":"Jason"},{"family":"Mittelman","given":"David"},{"family":"Hofmann","given":"Oliver"},{"family":"Hide","given":"Winston"},{"family":"Salit","given":"Marc"}],"issued":{"date-parts":[["2014",3]]}},"label":"page"},{"id":240,"uris":["http://zotero.org/users/local/isDXystY/items/YRZJUVF3"],"itemData":{"id":240,"type":"article-journal","abstract":"The Genome in a Bottle Consortium, hosted by the National Institute of Standards and Technology (NIST) is creating reference materials and data for human genome sequencing, as well as methods for genome comparison and benchmarking. Here, we describe a large, diverse set of sequencing data for seven human genomes; five are current or candidate NIST Reference Materials. The pilot genome, NA12878, has been released as NIST RM 8398. We also describe data from two Personal Genome Project trios, one of Ashkenazim Jewish ancestry and one of Chinese ancestry. The data come from 12 technologies: BioNano Genomics, Complete Genomics paired-end and LFR, Ion Proton exome, Oxford Nanopore, Pacific Biosciences, SOLiD, 10X Genomics GemCode WGS, and Illumina exome and WGS paired-end, mate-pair, and synthetic long reads. Cell lines, DNA, and data from these individuals are publicly available. Therefore, we expect these data to be useful for revealing novel information about the human genome and improving sequencing technologies, SNP, indel, and structural variant calling, and de novo assembly.","container-title":"Scientific Data","DOI":"10.1038/sdata.2016.25","ISSN":"2052-4463","journalAbbreviation":"Sci Data","language":"eng","note":"PMID: 27271295\nPMCID: PMC4896128","page":"160025","source":"PubMed","title":"Extensive sequencing of seven human genomes to characterize benchmark reference materials","volume":"3","author":[{"family":"Zook","given":"Justin M."},{"family":"Catoe","given":"David"},{"family":"McDaniel","given":"Jennifer"},{"family":"Vang","given":"Lindsay"},{"family":"Spies","given":"Noah"},{"family":"Sidow","given":"Arend"},{"family":"Weng","given":"Ziming"},{"family":"Liu","given":"Yuling"},{"family":"Mason","given":"Christopher E."},{"family":"Alexander","given":"Noah"},{"family":"Henaff","given":"Elizabeth"},{"family":"McIntyre","given":"Alexa B. R."},{"family":"Chandramohan","given":"Dhruva"},{"family":"Chen","given":"Feng"},{"family":"Jaeger","given":"Erich"},{"family":"Moshrefi","given":"Ali"},{"family":"Pham","given":"Khoa"},{"family":"Stedman","given":"William"},{"family":"Liang","given":"Tiffany"},{"family":"Saghbini","given":"Michael"},{"family":"Dzakula","given":"Zeljko"},{"family":"Hastie","given":"Alex"},{"family":"Cao","given":"Han"},{"family":"Deikus","given":"Gintaras"},{"family":"Schadt","given":"Eric"},{"family":"Sebra","given":"Robert"},{"family":"Bashir","given":"Ali"},{"family":"Truty","given":"Rebecca M."},{"family":"Chang","given":"Christopher C."},{"family":"Gulbahce","given":"Natali"},{"family":"Zhao","given":"Keyan"},{"family":"Ghosh","given":"Srinka"},{"family":"Hyland","given":"Fiona"},{"family":"Fu","given":"Yutao"},{"family":"Chaisson","given":"Mark"},{"family":"Xiao","given":"Chunlin"},{"family":"Trow","given":"Jonathan"},{"family":"Sherry","given":"Stephen T."},{"family":"Zaranek","given":"Alexander W."},{"family":"Ball","given":"Madeleine"},{"family":"Bobe","given":"Jason"},{"family":"Estep","given":"Preston"},{"family":"Church","given":"George M."},{"family":"Marks","given":"Patrick"},{"family":"Kyriazopoulou-Panagiotopoulou","given":"Sofia"},{"family":"Zheng","given":"Grace X. Y."},{"family":"Schnall-Levin","given":"Michael"},{"family":"Ordonez","given":"Heather S."},{"family":"Mudivarti","given":"Patrice A."},{"family":"Giorda","given":"Kristina"},{"family":"Sheng","given":"Ying"},{"family":"Rypdal","given":"Karoline Bjarnesdatter"},{"family":"Salit","given":"Marc"}],"issued":{"date-parts":[["2016",6,7]]}},"label":"page"},{"id":241,"uris":["http://zotero.org/users/local/isDXystY/items/7DK9IR5G"],"itemData":{"id":241,"type":"article-journal","abstract":"Benchmark small variant calls are required for developing, optimizing and assessing the performance of sequencing and bioinformatics methods. Here, as part of the Genome in a Bottle (GIAB) Consortium, we apply a reproducible, cloud-based pipeline to integrate multiple short- and linked-read sequencing datasets and provide benchmark calls for human genomes. We generate benchmark calls for one previously analyzed GIAB sample, as well as six genomes from the Personal Genome Project. These new genomes have broad, open consent, making this a 'first of its kind' resource that is available to the community for multiple downstream applications. We produce 17% more benchmark single nucleotide variations, 176% more indels and 12% larger benchmark regions than previously published GIAB benchmarks. We demonstrate that this benchmark reliably identifies errors in existing callsets and highlight challenges in interpreting performance metrics when using benchmarks that are not perfect or comprehensive. Finally, we identify strengths and weaknesses of callsets by stratifying performance according to variant type and genome context.","container-title":"Nature Biotechnology","DOI":"10.1038/s41587-019-0074-6","ISSN":"1546-1696","issue":"5","journalAbbreviation":"Nat Biotechnol","language":"eng","note":"PMID: 30936564\nPMCID: PMC6500473","page":"561-566","source":"PubMed","title":"An open resource for accurately benchmarking small variant and reference calls","volume":"37","author":[{"family":"Zook","given":"Justin M."},{"family":"McDaniel","given":"Jennifer"},{"family":"Olson","given":"Nathan D."},{"family":"Wagner","given":"Justin"},{"family":"Parikh","given":"Hemang"},{"family":"Heaton","given":"Haynes"},{"family":"Irvine","given":"Sean A."},{"family":"Trigg","given":"Len"},{"family":"Truty","given":"Rebecca"},{"family":"McLean","given":"Cory Y."},{"family":"De La Vega","given":"Francisco M."},{"family":"Xiao","given":"Chunlin"},{"family":"Sherry","given":"Stephen"},{"family":"Salit","given":"Marc"}],"issued":{"date-parts":[["2019",5]]}},"label":"page"},{"id":242,"uris":["http://zotero.org/users/local/isDXystY/items/L3FW2HFB"],"itemData":{"id":242,"type":"article-journal","abstract":"We report the sequencing and assembly of a reference genome for the human GM12878 Utah/Ceph cell line using the MinION (Oxford Nanopore Technologies) nanopore sequencer. 91.2 Gb of sequence data, representing </w:instrText>
      </w:r>
      <w:r w:rsidR="00D95572" w:rsidRPr="000B0CA8">
        <w:rPr>
          <w:rFonts w:ascii="Cambria Math" w:hAnsi="Cambria Math" w:cs="Cambria Math"/>
          <w:sz w:val="20"/>
          <w:szCs w:val="28"/>
        </w:rPr>
        <w:instrText>∼</w:instrText>
      </w:r>
      <w:r w:rsidR="00D95572" w:rsidRPr="000B0CA8">
        <w:rPr>
          <w:sz w:val="20"/>
          <w:szCs w:val="28"/>
        </w:rPr>
        <w:instrText xml:space="preserve">30× theoretical coverage, were produced. Reference-based alignment enabled detection of large structural variants and epigenetic modifications. De novo assembly of nanopore reads alone yielded a contiguous assembly (NG50 </w:instrText>
      </w:r>
      <w:r w:rsidR="00D95572" w:rsidRPr="000B0CA8">
        <w:rPr>
          <w:rFonts w:ascii="Cambria Math" w:hAnsi="Cambria Math" w:cs="Cambria Math"/>
          <w:sz w:val="20"/>
          <w:szCs w:val="28"/>
        </w:rPr>
        <w:instrText>∼</w:instrText>
      </w:r>
      <w:r w:rsidR="00D95572" w:rsidRPr="000B0CA8">
        <w:rPr>
          <w:sz w:val="20"/>
          <w:szCs w:val="28"/>
        </w:rPr>
        <w:instrText xml:space="preserve">3 Mb). We developed a protocol to generate ultra-long reads (N50 &gt; 100 kb, read lengths up to 882 kb). Incorporating an additional 5× coverage of these ultra-long reads more than doubled the assembly contiguity (NG50 </w:instrText>
      </w:r>
      <w:r w:rsidR="00D95572" w:rsidRPr="000B0CA8">
        <w:rPr>
          <w:rFonts w:ascii="Cambria Math" w:hAnsi="Cambria Math" w:cs="Cambria Math"/>
          <w:sz w:val="20"/>
          <w:szCs w:val="28"/>
        </w:rPr>
        <w:instrText>∼</w:instrText>
      </w:r>
      <w:r w:rsidR="00D95572" w:rsidRPr="000B0CA8">
        <w:rPr>
          <w:sz w:val="20"/>
          <w:szCs w:val="28"/>
        </w:rPr>
        <w:instrText xml:space="preserve">6.4 Mb). The final assembled genome was 2,867 million bases in size, covering 85.8% of the reference. Assembly accuracy, after incorporating complementary short-read sequencing data, exceeded 99.8%. Ultra-long reads enabled assembly and phasing of the 4-Mb major histocompatibility complex (MHC) locus in its entirety, measurement of telomere repeat length, and closure of gaps in the reference human genome assembly GRCh38.","container-title":"Nature Biotechnology","DOI":"10.1038/nbt.4060","ISSN":"1546-1696","issue":"4","journalAbbreviation":"Nat Biotechnol","language":"eng","note":"PMID: 29431738\nPMCID: PMC5889714","page":"338-345","source":"PubMed","title":"Nanopore sequencing and assembly of a human genome with ultra-long reads","volume":"36","author":[{"family":"Jain","given":"Miten"},{"family":"Koren","given":"Sergey"},{"family":"Miga","given":"Karen H."},{"family":"Quick","given":"Josh"},{"family":"Rand","given":"Arthur C."},{"family":"Sasani","given":"Thomas A."},{"family":"Tyson","given":"John R."},{"family":"Beggs","given":"Andrew D."},{"family":"Dilthey","given":"Alexander T."},{"family":"Fiddes","given":"Ian T."},{"family":"Malla","given":"Sunir"},{"family":"Marriott","given":"Hannah"},{"family":"Nieto","given":"Tom"},{"family":"O'Grady","given":"Justin"},{"family":"Olsen","given":"Hugh E."},{"family":"Pedersen","given":"Brent S."},{"family":"Rhie","given":"Arang"},{"family":"Richardson","given":"Hollian"},{"family":"Quinlan","given":"Aaron R."},{"family":"Snutch","given":"Terrance P."},{"family":"Tee","given":"Louise"},{"family":"Paten","given":"Benedict"},{"family":"Phillippy","given":"Adam M."},{"family":"Simpson","given":"Jared T."},{"family":"Loman","given":"Nicholas J."},{"family":"Loose","given":"Matthew"}],"issued":{"date-parts":[["2018",4]]}},"label":"page"}],"schema":"https://github.com/citation-style-language/schema/raw/master/csl-citation.json"}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2–5</w:t>
      </w:r>
      <w:r w:rsidR="00D95572" w:rsidRPr="000B0CA8">
        <w:rPr>
          <w:sz w:val="20"/>
          <w:szCs w:val="28"/>
        </w:rPr>
        <w:fldChar w:fldCharType="end"/>
      </w:r>
      <w:r w:rsidR="00FF16D9" w:rsidRPr="000B0CA8">
        <w:rPr>
          <w:sz w:val="20"/>
          <w:szCs w:val="28"/>
        </w:rPr>
        <w:t>, the HG00096 subject</w:t>
      </w:r>
      <w:r w:rsidR="00D95572" w:rsidRPr="000B0CA8">
        <w:rPr>
          <w:sz w:val="20"/>
          <w:szCs w:val="28"/>
        </w:rPr>
        <w:fldChar w:fldCharType="begin"/>
      </w:r>
      <w:r w:rsidR="00D95572" w:rsidRPr="000B0CA8">
        <w:rPr>
          <w:sz w:val="20"/>
          <w:szCs w:val="28"/>
        </w:rPr>
        <w:instrText xml:space="preserve"> ADDIN ZOTERO_ITEM CSL_CITATION {"citationID":"MYcxs2fQ","properties":{"formattedCitation":"\\super 6\\nosupersub{}","plainCitation":"6","noteIndex":0},"citationItems":[{"id":254,"uris":["http://zotero.org/users/local/isDXystY/items/XFUMLTD7"],"itemData":{"id":254,"type":"article-journal","abstract":"To sustain and develop the largest fully open human genomic resources the International Genome Sample Resource (IGSR) (https://www.internationalgenome.org) was established. It is built on the foundation of the 1000 Genomes Project, which created the largest openly accessible catalogue of human genomic variation developed from samples spanning five continents. IGSR (i) maintains access to 1000 Genomes Project resources, (ii) updates 1000 Genomes Project resources to the GRCh38 human reference assembly, (iii) adds new data generated on 1000 Genomes Project cell lines, (iv) shares data from samples with a similarly open consent to increase the number of samples and populations represented in the resources and (v) provides support to users of these resources. Among recent updates are the release of variation calls from 1000 Genomes Project data calculated directly on GRCh38 and the addition of high coverage sequence data for the 2504 samples in the 1000 Genomes Project phase three panel. The data portal, which facilitates web-based exploration of the IGSR resources, has been updated to include samples which were not part of the 1000 Genomes Project and now presents a unified view of data and samples across almost 5000 samples from multiple studies. All data is fully open and publicly accessible.","container-title":"Nucleic Acids Research","DOI":"10.1093/nar/gkz836","ISSN":"1362-4962","issue":"D1","journalAbbreviation":"Nucleic Acids Res","language":"eng","note":"PMID: 31584097\nPMCID: PMC6943028","page":"D941-D947","source":"PubMed","title":"The International Genome Sample Resource (IGSR) collection of open human genomic variation resources","volume":"48","author":[{"family":"Fairley","given":"Susan"},{"family":"Lowy-Gallego","given":"Ernesto"},{"family":"Perry","given":"Emily"},{"family":"Flicek","given":"Paul"}],"issued":{"date-parts":[["2020",1,8]]}}}],"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6</w:t>
      </w:r>
      <w:r w:rsidR="00D95572" w:rsidRPr="000B0CA8">
        <w:rPr>
          <w:sz w:val="20"/>
          <w:szCs w:val="28"/>
        </w:rPr>
        <w:fldChar w:fldCharType="end"/>
      </w:r>
      <w:r w:rsidR="00D95572" w:rsidRPr="000B0CA8">
        <w:rPr>
          <w:sz w:val="20"/>
          <w:szCs w:val="28"/>
        </w:rPr>
        <w:t xml:space="preserve">, </w:t>
      </w:r>
      <w:r w:rsidR="00FF16D9" w:rsidRPr="000B0CA8">
        <w:rPr>
          <w:sz w:val="20"/>
          <w:szCs w:val="28"/>
        </w:rPr>
        <w:t>the HG00512 subject</w:t>
      </w:r>
      <w:r w:rsidR="00D95572" w:rsidRPr="000B0CA8">
        <w:rPr>
          <w:sz w:val="20"/>
          <w:szCs w:val="28"/>
        </w:rPr>
        <w:fldChar w:fldCharType="begin"/>
      </w:r>
      <w:r w:rsidR="00D95572" w:rsidRPr="000B0CA8">
        <w:rPr>
          <w:sz w:val="20"/>
          <w:szCs w:val="28"/>
        </w:rPr>
        <w:instrText xml:space="preserve"> ADDIN ZOTERO_ITEM CSL_CITATION {"citationID":"sgGwKdaZ","properties":{"formattedCitation":"\\super 6\\nosupersub{}","plainCitation":"6","noteIndex":0},"citationItems":[{"id":254,"uris":["http://zotero.org/users/local/isDXystY/items/XFUMLTD7"],"itemData":{"id":254,"type":"article-journal","abstract":"To sustain and develop the largest fully open human genomic resources the International Genome Sample Resource (IGSR) (https://www.internationalgenome.org) was established. It is built on the foundation of the 1000 Genomes Project, which created the largest openly accessible catalogue of human genomic variation developed from samples spanning five continents. IGSR (i) maintains access to 1000 Genomes Project resources, (ii) updates 1000 Genomes Project resources to the GRCh38 human reference assembly, (iii) adds new data generated on 1000 Genomes Project cell lines, (iv) shares data from samples with a similarly open consent to increase the number of samples and populations represented in the resources and (v) provides support to users of these resources. Among recent updates are the release of variation calls from 1000 Genomes Project data calculated directly on GRCh38 and the addition of high coverage sequence data for the 2504 samples in the 1000 Genomes Project phase three panel. The data portal, which facilitates web-based exploration of the IGSR resources, has been updated to include samples which were not part of the 1000 Genomes Project and now presents a unified view of data and samples across almost 5000 samples from multiple studies. All data is fully open and publicly accessible.","container-title":"Nucleic Acids Research","DOI":"10.1093/nar/gkz836","ISSN":"1362-4962","issue":"D1","journalAbbreviation":"Nucleic Acids Res","language":"eng","note":"PMID: 31584097\nPMCID: PMC6943028","page":"D941-D947","source":"PubMed","title":"The International Genome Sample Resource (IGSR) collection of open human genomic variation resources","volume":"48","author":[{"family":"Fairley","given":"Susan"},{"family":"Lowy-Gallego","given":"Ernesto"},{"family":"Perry","given":"Emily"},{"family":"Flicek","given":"Paul"}],"issued":{"date-parts":[["2020",1,8]]}}}],"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6</w:t>
      </w:r>
      <w:r w:rsidR="00D95572" w:rsidRPr="000B0CA8">
        <w:rPr>
          <w:sz w:val="20"/>
          <w:szCs w:val="28"/>
        </w:rPr>
        <w:fldChar w:fldCharType="end"/>
      </w:r>
      <w:r w:rsidR="00FF16D9" w:rsidRPr="000B0CA8">
        <w:rPr>
          <w:sz w:val="20"/>
          <w:szCs w:val="28"/>
        </w:rPr>
        <w:t xml:space="preserve"> and </w:t>
      </w:r>
      <w:r w:rsidR="00BB50E9" w:rsidRPr="000B0CA8">
        <w:rPr>
          <w:sz w:val="20"/>
          <w:szCs w:val="28"/>
        </w:rPr>
        <w:t>the</w:t>
      </w:r>
      <w:r w:rsidR="00BF5A7A" w:rsidRPr="000B0CA8">
        <w:rPr>
          <w:sz w:val="20"/>
          <w:szCs w:val="28"/>
        </w:rPr>
        <w:t xml:space="preserve"> </w:t>
      </w:r>
      <w:r w:rsidR="00BB50E9" w:rsidRPr="000B0CA8">
        <w:rPr>
          <w:sz w:val="20"/>
          <w:szCs w:val="28"/>
        </w:rPr>
        <w:t>CHM13</w:t>
      </w:r>
      <w:r w:rsidR="0033457B" w:rsidRPr="000B0CA8">
        <w:rPr>
          <w:sz w:val="20"/>
          <w:szCs w:val="28"/>
        </w:rPr>
        <w:t xml:space="preserve"> subject</w:t>
      </w:r>
      <w:r w:rsidR="00D95572" w:rsidRPr="000B0CA8">
        <w:rPr>
          <w:sz w:val="20"/>
          <w:szCs w:val="28"/>
        </w:rPr>
        <w:fldChar w:fldCharType="begin"/>
      </w:r>
      <w:r w:rsidR="00D95572" w:rsidRPr="000B0CA8">
        <w:rPr>
          <w:sz w:val="20"/>
          <w:szCs w:val="28"/>
        </w:rPr>
        <w:instrText xml:space="preserve"> ADDIN ZOTERO_ITEM CSL_CITATION {"citationID":"9Cyx2KOu","properties":{"formattedCitation":"\\super 7\\nosupersub{}","plainCitation":"7","noteIndex":0},"citationItems":[{"id":257,"uris":["http://zotero.org/users/local/isDXystY/items/VYILPSAN"],"itemData":{"id":257,"type":"article-journal","abstract":"The human Y chromosome has been notoriously difficult to sequence and assemble because of its complex repeat structure that includes long palindromes, tandem repeats and segmental duplications1-3. As a result, more than half of the Y chromosome is missing from the GRCh38 reference sequence and it remains the last human chromosome to be finished4,5. Here, the Telomere-to-Telomere (T2T) consortium presents the complete 62,460,029-base-pair sequence of a human Y chromosome from the HG002 genome (T2T-Y) that corrects multiple errors in GRCh38-Y and adds over 30 million base pairs of sequence to the reference, showing the complete ampliconic structures of gene families TSPY, DAZ and RBMY; 41 additional protein-coding genes, mostly from the TSPY family; and an alternating pattern of human satellite 1 and 3 blocks in the heterochromatic Yq12 region. We have combined T2T-Y with a previous assembly of the CHM13 genome4 and mapped available population variation, clinical variants and functional genomics data to produce a complete and comprehensive reference sequence for all 24 human chromosomes.","container-title":"Nature","DOI":"10.1038/s41586-023-06457-y","ISSN":"1476-4687","issue":"7978","journalAbbreviation":"Nature","language":"eng","note":"PMID: 37612512\nPMCID: PMC10752217","page":"344-354","source":"PubMed","title":"The complete sequence of a human Y chromosome","volume":"621","author":[{"family":"Rhie","given":"Arang"},{"family":"Nurk","given":"Sergey"},{"family":"Cechova","given":"Monika"},{"family":"Hoyt","given":"Savannah J."},{"family":"Taylor","given":"Dylan J."},{"family":"Altemose","given":"Nicolas"},{"family":"Hook","given":"Paul W."},{"family":"Koren","given":"Sergey"},{"family":"Rautiainen","given":"Mikko"},{"family":"Alexandrov","given":"Ivan A."},{"family":"Allen","given":"Jamie"},{"family":"Asri","given":"Mobin"},{"family":"Bzikadze","given":"Andrey V."},{"family":"Chen","given":"Nae-Chyun"},{"family":"Chin","given":"Chen-Shan"},{"family":"Diekhans","given":"Mark"},{"family":"Flicek","given":"Paul"},{"family":"Formenti","given":"Giulio"},{"family":"Fungtammasan","given":"Arkarachai"},{"family":"Garcia Giron","given":"Carlos"},{"family":"Garrison","given":"Erik"},{"family":"Gershman","given":"Ariel"},{"family":"Gerton","given":"Jennifer L."},{"family":"Grady","given":"Patrick G. S."},{"family":"Guarracino","given":"Andrea"},{"family":"Haggerty","given":"Leanne"},{"family":"Halabian","given":"Reza"},{"family":"Hansen","given":"Nancy F."},{"family":"Harris","given":"Robert"},{"family":"Hartley","given":"Gabrielle A."},{"family":"Harvey","given":"William T."},{"family":"Haukness","given":"Marina"},{"family":"Heinz","given":"Jakob"},{"family":"Hourlier","given":"Thibaut"},{"family":"Hubley","given":"Robert M."},{"family":"Hunt","given":"Sarah E."},{"family":"Hwang","given":"Stephen"},{"family":"Jain","given":"Miten"},{"family":"Kesharwani","given":"Rupesh K."},{"family":"Lewis","given":"Alexandra P."},{"family":"Li","given":"Heng"},{"family":"Logsdon","given":"Glennis A."},{"family":"Lucas","given":"Julian K."},{"family":"Makalowski","given":"Wojciech"},{"family":"Markovic","given":"Christopher"},{"family":"Martin","given":"Fergal J."},{"family":"Mc Cartney","given":"Ann M."},{"family":"McCoy","given":"Rajiv C."},{"family":"McDaniel","given":"Jennifer"},{"family":"McNulty","given":"Brandy M."},{"family":"Medvedev","given":"Paul"},{"family":"Mikheenko","given":"Alla"},{"family":"Munson","given":"Katherine M."},{"family":"Murphy","given":"Terence D."},{"family":"Olsen","given":"Hugh E."},{"family":"Olson","given":"Nathan D."},{"family":"Paulin","given":"Luis F."},{"family":"Porubsky","given":"David"},{"family":"Potapova","given":"Tamara"},{"family":"Ryabov","given":"Fedor"},{"family":"Salzberg","given":"Steven L."},{"family":"Sauria","given":"Michael E. G."},{"family":"Sedlazeck","given":"Fritz J."},{"family":"Shafin","given":"Kishwar"},{"family":"Shepelev","given":"Valery A."},{"family":"Shumate","given":"Alaina"},{"family":"Storer","given":"Jessica M."},{"family":"Surapaneni","given":"Likhitha"},{"family":"Taravella Oill","given":"Angela M."},{"family":"Thibaud-Nissen","given":"Françoise"},{"family":"Timp","given":"Winston"},{"family":"Tomaszkiewicz","given":"Marta"},{"family":"Vollger","given":"Mitchell R."},{"family":"Walenz","given":"Brian P."},{"family":"Watwood","given":"Allison C."},{"family":"Weissensteiner","given":"Matthias H."},{"family":"Wenger","given":"Aaron M."},{"family":"Wilson","given":"Melissa A."},{"family":"Zarate","given":"Samantha"},{"family":"Zhu","given":"Yiming"},{"family":"Zook","given":"Justin M."},{"family":"Eichler","given":"Evan E."},{"family":"O'Neill","given":"Rachel J."},{"family":"Schatz","given":"Michael C."},{"family":"Miga","given":"Karen H."},{"family":"Makova","given":"Kateryna D."},{"family":"Phillippy","given":"Adam M."}],"issued":{"date-parts":[["2023",9]]}}}],"schema":"https://github.com/citation-style-language/schema/raw/master/csl-citation.json"} </w:instrText>
      </w:r>
      <w:r w:rsidR="00D95572" w:rsidRPr="000B0CA8">
        <w:rPr>
          <w:sz w:val="20"/>
          <w:szCs w:val="28"/>
        </w:rPr>
        <w:fldChar w:fldCharType="separate"/>
      </w:r>
      <w:r w:rsidR="00D95572" w:rsidRPr="000B0CA8">
        <w:rPr>
          <w:kern w:val="0"/>
          <w:sz w:val="20"/>
          <w:szCs w:val="28"/>
          <w:vertAlign w:val="superscript"/>
        </w:rPr>
        <w:t>7</w:t>
      </w:r>
      <w:r w:rsidR="00D95572" w:rsidRPr="000B0CA8">
        <w:rPr>
          <w:sz w:val="20"/>
          <w:szCs w:val="28"/>
        </w:rPr>
        <w:fldChar w:fldCharType="end"/>
      </w:r>
      <w:r w:rsidR="00D95572" w:rsidRPr="000B0CA8">
        <w:rPr>
          <w:sz w:val="20"/>
          <w:szCs w:val="28"/>
        </w:rPr>
        <w:t xml:space="preserve">. </w:t>
      </w:r>
      <w:r w:rsidR="00BF5A7A" w:rsidRPr="000B0CA8">
        <w:rPr>
          <w:sz w:val="20"/>
          <w:szCs w:val="28"/>
        </w:rPr>
        <w:t xml:space="preserve">Then </w:t>
      </w:r>
      <w:r w:rsidR="00DC3E8E" w:rsidRPr="000B0CA8">
        <w:rPr>
          <w:sz w:val="20"/>
          <w:szCs w:val="28"/>
        </w:rPr>
        <w:t xml:space="preserve">we used PacBio (CLR: Continuous Long Read, CCS: Circular Consensus Sequencing) and Nanopore (ONT) platforms, 5 aligners and 10 callers to construct </w:t>
      </w:r>
      <w:r w:rsidR="00BF5A7A" w:rsidRPr="000B0CA8">
        <w:rPr>
          <w:sz w:val="20"/>
          <w:szCs w:val="28"/>
        </w:rPr>
        <w:t xml:space="preserve">the pipelines, with </w:t>
      </w:r>
      <w:r w:rsidR="00B7751A" w:rsidRPr="00953335">
        <w:rPr>
          <w:color w:val="FF0000"/>
          <w:sz w:val="20"/>
          <w:szCs w:val="28"/>
        </w:rPr>
        <w:t xml:space="preserve">all </w:t>
      </w:r>
      <w:r w:rsidR="00BF5A7A" w:rsidRPr="000B0CA8">
        <w:rPr>
          <w:sz w:val="20"/>
          <w:szCs w:val="28"/>
        </w:rPr>
        <w:t>parameters set to default values</w:t>
      </w:r>
      <w:r w:rsidR="00DC3E8E" w:rsidRPr="000B0CA8">
        <w:rPr>
          <w:sz w:val="20"/>
          <w:szCs w:val="28"/>
        </w:rPr>
        <w:t xml:space="preserve">. After that, </w:t>
      </w:r>
      <w:r w:rsidR="007D4596" w:rsidRPr="000B0CA8">
        <w:rPr>
          <w:sz w:val="20"/>
          <w:szCs w:val="28"/>
        </w:rPr>
        <w:t xml:space="preserve">except for </w:t>
      </w:r>
      <w:r w:rsidR="00320A14" w:rsidRPr="000B0CA8">
        <w:rPr>
          <w:sz w:val="20"/>
          <w:szCs w:val="28"/>
        </w:rPr>
        <w:t>6</w:t>
      </w:r>
      <w:r w:rsidR="007D4596" w:rsidRPr="000B0CA8">
        <w:rPr>
          <w:sz w:val="20"/>
          <w:szCs w:val="28"/>
        </w:rPr>
        <w:t xml:space="preserve"> invalid pipelines(pbmm2-Nanovar, </w:t>
      </w:r>
      <w:proofErr w:type="spellStart"/>
      <w:r w:rsidR="007D4596" w:rsidRPr="000B0CA8">
        <w:rPr>
          <w:sz w:val="20"/>
          <w:szCs w:val="28"/>
        </w:rPr>
        <w:t>lra</w:t>
      </w:r>
      <w:proofErr w:type="spellEnd"/>
      <w:r w:rsidR="007D4596" w:rsidRPr="000B0CA8">
        <w:rPr>
          <w:sz w:val="20"/>
          <w:szCs w:val="28"/>
        </w:rPr>
        <w:t xml:space="preserve">-Picky, </w:t>
      </w:r>
      <w:proofErr w:type="spellStart"/>
      <w:r w:rsidR="007D4596" w:rsidRPr="000B0CA8">
        <w:rPr>
          <w:sz w:val="20"/>
          <w:szCs w:val="28"/>
        </w:rPr>
        <w:t>lra-delly</w:t>
      </w:r>
      <w:proofErr w:type="spellEnd"/>
      <w:r w:rsidR="007D4596" w:rsidRPr="000B0CA8">
        <w:rPr>
          <w:sz w:val="20"/>
          <w:szCs w:val="28"/>
        </w:rPr>
        <w:t xml:space="preserve">, </w:t>
      </w:r>
      <w:proofErr w:type="spellStart"/>
      <w:r w:rsidR="007D4596" w:rsidRPr="000B0CA8">
        <w:rPr>
          <w:sz w:val="20"/>
          <w:szCs w:val="28"/>
        </w:rPr>
        <w:t>lra-NanoVar</w:t>
      </w:r>
      <w:proofErr w:type="spellEnd"/>
      <w:r w:rsidR="007D4596" w:rsidRPr="000B0CA8">
        <w:rPr>
          <w:sz w:val="20"/>
          <w:szCs w:val="28"/>
        </w:rPr>
        <w:t xml:space="preserve">, </w:t>
      </w:r>
      <w:proofErr w:type="spellStart"/>
      <w:r w:rsidR="007D4596" w:rsidRPr="000B0CA8">
        <w:rPr>
          <w:sz w:val="20"/>
          <w:szCs w:val="28"/>
        </w:rPr>
        <w:t>lra-NanoSV</w:t>
      </w:r>
      <w:proofErr w:type="spellEnd"/>
      <w:r w:rsidR="007D4596" w:rsidRPr="000B0CA8">
        <w:rPr>
          <w:sz w:val="20"/>
          <w:szCs w:val="28"/>
        </w:rPr>
        <w:t xml:space="preserve">, </w:t>
      </w:r>
      <w:proofErr w:type="spellStart"/>
      <w:r w:rsidR="007D4596" w:rsidRPr="000B0CA8">
        <w:rPr>
          <w:sz w:val="20"/>
          <w:szCs w:val="28"/>
        </w:rPr>
        <w:t>lra-pbsv</w:t>
      </w:r>
      <w:proofErr w:type="spellEnd"/>
      <w:r w:rsidR="007D4596" w:rsidRPr="000B0CA8">
        <w:rPr>
          <w:sz w:val="20"/>
          <w:szCs w:val="28"/>
        </w:rPr>
        <w:t>), we obtain 1100 VCF files.</w:t>
      </w:r>
    </w:p>
    <w:p w14:paraId="58A13105" w14:textId="3AE9A4AA" w:rsidR="00320A14" w:rsidRPr="000B0CA8" w:rsidRDefault="00320A14" w:rsidP="00320A14">
      <w:pPr>
        <w:rPr>
          <w:rFonts w:ascii="Times New Roman" w:hAnsi="Times New Roman" w:cs="Times New Roman"/>
          <w:b/>
          <w:sz w:val="20"/>
          <w:szCs w:val="20"/>
        </w:rPr>
      </w:pPr>
      <w:r w:rsidRPr="000B0CA8">
        <w:rPr>
          <w:rFonts w:ascii="Times New Roman" w:hAnsi="Times New Roman"/>
          <w:b/>
          <w:sz w:val="20"/>
          <w:szCs w:val="20"/>
        </w:rPr>
        <w:t>Sequence Platform:</w:t>
      </w:r>
    </w:p>
    <w:p w14:paraId="323E810C" w14:textId="7451C3C9" w:rsidR="006F0496" w:rsidRPr="0067524A" w:rsidRDefault="006F0496" w:rsidP="0067524A">
      <w:pPr>
        <w:pStyle w:val="af4"/>
        <w:keepNext/>
        <w:jc w:val="center"/>
        <w:rPr>
          <w:b/>
          <w:bCs/>
          <w:color w:val="FF0000"/>
        </w:rPr>
      </w:pPr>
      <w:r w:rsidRPr="0067524A">
        <w:rPr>
          <w:rFonts w:ascii="Arial" w:hAnsi="Arial" w:cs="Arial"/>
          <w:b/>
          <w:bCs/>
          <w:color w:val="FF0000"/>
        </w:rPr>
        <w:t>T</w:t>
      </w:r>
      <w:r w:rsidRPr="0067524A">
        <w:rPr>
          <w:rFonts w:ascii="Arial" w:hAnsi="Arial" w:cs="Arial"/>
          <w:b/>
          <w:bCs/>
          <w:color w:val="FF0000"/>
          <w:sz w:val="18"/>
          <w:szCs w:val="18"/>
        </w:rPr>
        <w:t xml:space="preserve">able </w:t>
      </w:r>
      <w:r w:rsidRPr="0067524A">
        <w:rPr>
          <w:rFonts w:ascii="Arial" w:hAnsi="Arial" w:cs="Arial"/>
          <w:b/>
          <w:bCs/>
          <w:color w:val="FF0000"/>
          <w:sz w:val="18"/>
          <w:szCs w:val="18"/>
        </w:rPr>
        <w:fldChar w:fldCharType="begin"/>
      </w:r>
      <w:r w:rsidRPr="0067524A">
        <w:rPr>
          <w:rFonts w:ascii="Arial" w:hAnsi="Arial" w:cs="Arial"/>
          <w:b/>
          <w:bCs/>
          <w:color w:val="FF0000"/>
          <w:sz w:val="18"/>
          <w:szCs w:val="18"/>
        </w:rPr>
        <w:instrText xml:space="preserve"> SEQ Table \* ARABIC </w:instrText>
      </w:r>
      <w:r w:rsidRPr="0067524A">
        <w:rPr>
          <w:rFonts w:ascii="Arial" w:hAnsi="Arial" w:cs="Arial"/>
          <w:b/>
          <w:bCs/>
          <w:color w:val="FF0000"/>
          <w:sz w:val="18"/>
          <w:szCs w:val="18"/>
        </w:rPr>
        <w:fldChar w:fldCharType="separate"/>
      </w:r>
      <w:r w:rsidR="00F455C2" w:rsidRPr="0067524A">
        <w:rPr>
          <w:rFonts w:ascii="Arial" w:hAnsi="Arial" w:cs="Arial"/>
          <w:b/>
          <w:bCs/>
          <w:noProof/>
          <w:color w:val="FF0000"/>
          <w:sz w:val="18"/>
          <w:szCs w:val="18"/>
        </w:rPr>
        <w:t>1</w:t>
      </w:r>
      <w:r w:rsidRPr="0067524A">
        <w:rPr>
          <w:rFonts w:ascii="Arial" w:hAnsi="Arial" w:cs="Arial"/>
          <w:b/>
          <w:bCs/>
          <w:color w:val="FF0000"/>
          <w:sz w:val="18"/>
          <w:szCs w:val="18"/>
        </w:rPr>
        <w:fldChar w:fldCharType="end"/>
      </w:r>
      <w:r w:rsidRPr="0067524A">
        <w:rPr>
          <w:rFonts w:ascii="Arial" w:hAnsi="Arial" w:cs="Arial"/>
          <w:b/>
          <w:bCs/>
          <w:color w:val="FF0000"/>
          <w:sz w:val="18"/>
          <w:szCs w:val="18"/>
        </w:rPr>
        <w:t xml:space="preserve">. </w:t>
      </w:r>
      <w:r w:rsidR="00F455C2" w:rsidRPr="0067524A">
        <w:rPr>
          <w:rFonts w:ascii="Arial" w:hAnsi="Arial" w:cs="Arial"/>
          <w:b/>
          <w:bCs/>
          <w:color w:val="FF0000"/>
          <w:sz w:val="18"/>
          <w:szCs w:val="18"/>
        </w:rPr>
        <w:t>Sequencing platforms for 10 NCBI samples</w:t>
      </w:r>
    </w:p>
    <w:tbl>
      <w:tblPr>
        <w:tblStyle w:val="a9"/>
        <w:tblW w:w="2304" w:type="pct"/>
        <w:jc w:val="center"/>
        <w:tblInd w:w="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846"/>
        <w:gridCol w:w="1981"/>
      </w:tblGrid>
      <w:tr w:rsidR="00320A14" w:rsidRPr="000B0CA8" w14:paraId="5F11ACB7" w14:textId="1681BE26" w:rsidTr="006A556F">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412" w:type="pct"/>
            <w:tcBorders>
              <w:top w:val="single" w:sz="6" w:space="0" w:color="auto"/>
              <w:left w:val="nil"/>
              <w:bottom w:val="single" w:sz="6" w:space="0" w:color="auto"/>
              <w:right w:val="nil"/>
            </w:tcBorders>
            <w:shd w:val="clear" w:color="auto" w:fill="auto"/>
            <w:vAlign w:val="center"/>
            <w:hideMark/>
          </w:tcPr>
          <w:p w14:paraId="3AE2726B" w14:textId="77777777" w:rsidR="00320A14" w:rsidRPr="000B0CA8" w:rsidRDefault="00320A14" w:rsidP="00D555AA">
            <w:pPr>
              <w:spacing w:line="240" w:lineRule="exact"/>
              <w:jc w:val="center"/>
              <w:rPr>
                <w:rFonts w:ascii="Times New Roman" w:hAnsi="Times New Roman"/>
                <w:b w:val="0"/>
                <w:color w:val="000000"/>
                <w:sz w:val="16"/>
                <w:szCs w:val="16"/>
              </w:rPr>
            </w:pPr>
            <w:r w:rsidRPr="000B0CA8">
              <w:rPr>
                <w:rFonts w:ascii="Times New Roman" w:hAnsi="Times New Roman" w:cs="Times New Roman"/>
                <w:color w:val="000000" w:themeColor="text1"/>
                <w:sz w:val="16"/>
                <w:szCs w:val="16"/>
                <w:lang w:val="zh-CN"/>
              </w:rPr>
              <w:t>Name</w:t>
            </w:r>
          </w:p>
        </w:tc>
        <w:tc>
          <w:tcPr>
            <w:tcW w:w="2588" w:type="pct"/>
            <w:tcBorders>
              <w:top w:val="single" w:sz="6" w:space="0" w:color="auto"/>
              <w:left w:val="nil"/>
              <w:bottom w:val="single" w:sz="6" w:space="0" w:color="auto"/>
              <w:right w:val="nil"/>
            </w:tcBorders>
            <w:shd w:val="clear" w:color="auto" w:fill="auto"/>
            <w:vAlign w:val="center"/>
            <w:hideMark/>
          </w:tcPr>
          <w:p w14:paraId="0A687207" w14:textId="10E91B28" w:rsidR="00320A14" w:rsidRPr="000B0CA8" w:rsidRDefault="00320A14"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0B0CA8">
              <w:rPr>
                <w:rFonts w:ascii="Times New Roman" w:hAnsi="Times New Roman" w:cs="Times New Roman"/>
                <w:color w:val="000000" w:themeColor="text1"/>
                <w:sz w:val="16"/>
                <w:szCs w:val="16"/>
              </w:rPr>
              <w:t>Platform</w:t>
            </w:r>
          </w:p>
        </w:tc>
      </w:tr>
      <w:tr w:rsidR="00320A14" w:rsidRPr="000B0CA8" w14:paraId="50CD7E1D" w14:textId="63EB2F30" w:rsidTr="006A556F">
        <w:trPr>
          <w:trHeight w:val="170"/>
          <w:jc w:val="center"/>
        </w:trPr>
        <w:tc>
          <w:tcPr>
            <w:cnfStyle w:val="001000000000" w:firstRow="0" w:lastRow="0" w:firstColumn="1" w:lastColumn="0" w:oddVBand="0" w:evenVBand="0" w:oddHBand="0" w:evenHBand="0" w:firstRowFirstColumn="0" w:firstRowLastColumn="0" w:lastRowFirstColumn="0" w:lastRowLastColumn="0"/>
            <w:tcW w:w="2412" w:type="pct"/>
            <w:tcBorders>
              <w:top w:val="nil"/>
            </w:tcBorders>
            <w:vAlign w:val="center"/>
            <w:hideMark/>
          </w:tcPr>
          <w:p w14:paraId="441BCAC9" w14:textId="1A254A92" w:rsidR="00320A14" w:rsidRPr="000B0CA8" w:rsidRDefault="00320A14"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HG002</w:t>
            </w:r>
          </w:p>
        </w:tc>
        <w:tc>
          <w:tcPr>
            <w:tcW w:w="2588" w:type="pct"/>
            <w:tcBorders>
              <w:top w:val="nil"/>
            </w:tcBorders>
            <w:vAlign w:val="center"/>
            <w:hideMark/>
          </w:tcPr>
          <w:p w14:paraId="507E2A90" w14:textId="25AF868F" w:rsidR="00320A14" w:rsidRPr="000B0CA8" w:rsidRDefault="00320A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ONT, CLR, and CCS</w:t>
            </w:r>
          </w:p>
        </w:tc>
      </w:tr>
      <w:tr w:rsidR="00320A14" w:rsidRPr="000B0CA8" w14:paraId="6E1CA050" w14:textId="1333C642" w:rsidTr="006A556F">
        <w:trPr>
          <w:trHeight w:val="170"/>
          <w:jc w:val="center"/>
        </w:trPr>
        <w:tc>
          <w:tcPr>
            <w:cnfStyle w:val="001000000000" w:firstRow="0" w:lastRow="0" w:firstColumn="1" w:lastColumn="0" w:oddVBand="0" w:evenVBand="0" w:oddHBand="0" w:evenHBand="0" w:firstRowFirstColumn="0" w:firstRowLastColumn="0" w:lastRowFirstColumn="0" w:lastRowLastColumn="0"/>
            <w:tcW w:w="2412" w:type="pct"/>
            <w:vAlign w:val="center"/>
            <w:hideMark/>
          </w:tcPr>
          <w:p w14:paraId="766C0256" w14:textId="27ACA89A" w:rsidR="00320A14" w:rsidRPr="000B0CA8" w:rsidRDefault="00320A14"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HG003</w:t>
            </w:r>
          </w:p>
        </w:tc>
        <w:tc>
          <w:tcPr>
            <w:tcW w:w="2588" w:type="pct"/>
            <w:vAlign w:val="center"/>
            <w:hideMark/>
          </w:tcPr>
          <w:p w14:paraId="444993B0" w14:textId="13BBB2F6" w:rsidR="00320A14" w:rsidRPr="000B0CA8" w:rsidRDefault="00320A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ONT, CLR, and CCS</w:t>
            </w:r>
          </w:p>
        </w:tc>
      </w:tr>
      <w:tr w:rsidR="00320A14" w:rsidRPr="000B0CA8" w14:paraId="2211903C" w14:textId="55B3AC3D" w:rsidTr="006A556F">
        <w:trPr>
          <w:trHeight w:val="170"/>
          <w:jc w:val="center"/>
        </w:trPr>
        <w:tc>
          <w:tcPr>
            <w:cnfStyle w:val="001000000000" w:firstRow="0" w:lastRow="0" w:firstColumn="1" w:lastColumn="0" w:oddVBand="0" w:evenVBand="0" w:oddHBand="0" w:evenHBand="0" w:firstRowFirstColumn="0" w:firstRowLastColumn="0" w:lastRowFirstColumn="0" w:lastRowLastColumn="0"/>
            <w:tcW w:w="2412" w:type="pct"/>
            <w:vAlign w:val="center"/>
            <w:hideMark/>
          </w:tcPr>
          <w:p w14:paraId="5B3F030A" w14:textId="0AFAE0F2" w:rsidR="00320A14" w:rsidRPr="000B0CA8" w:rsidRDefault="00320A14" w:rsidP="00D555AA">
            <w:pPr>
              <w:spacing w:line="240" w:lineRule="exact"/>
              <w:jc w:val="center"/>
              <w:rPr>
                <w:rFonts w:ascii="Times New Roman" w:hAnsi="Times New Roman"/>
                <w:sz w:val="16"/>
                <w:szCs w:val="16"/>
              </w:rPr>
            </w:pPr>
            <w:r w:rsidRPr="000B0CA8">
              <w:rPr>
                <w:rFonts w:ascii="Times New Roman" w:hAnsi="Times New Roman" w:hint="eastAsia"/>
                <w:sz w:val="16"/>
                <w:szCs w:val="16"/>
              </w:rPr>
              <w:t>H</w:t>
            </w:r>
            <w:r w:rsidRPr="000B0CA8">
              <w:rPr>
                <w:rFonts w:ascii="Times New Roman" w:hAnsi="Times New Roman"/>
                <w:sz w:val="16"/>
                <w:szCs w:val="16"/>
              </w:rPr>
              <w:t>G004</w:t>
            </w:r>
          </w:p>
        </w:tc>
        <w:tc>
          <w:tcPr>
            <w:tcW w:w="2588" w:type="pct"/>
            <w:vAlign w:val="center"/>
            <w:hideMark/>
          </w:tcPr>
          <w:p w14:paraId="68E3902D" w14:textId="18C0F2E6" w:rsidR="00320A14" w:rsidRPr="000B0CA8" w:rsidRDefault="00320A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ONT, CLR, and CCS</w:t>
            </w:r>
          </w:p>
        </w:tc>
      </w:tr>
      <w:tr w:rsidR="00916F9F" w:rsidRPr="000B0CA8" w14:paraId="496A4CBB" w14:textId="7D1EFD63" w:rsidTr="006A556F">
        <w:trPr>
          <w:trHeight w:val="170"/>
          <w:jc w:val="center"/>
        </w:trPr>
        <w:tc>
          <w:tcPr>
            <w:cnfStyle w:val="001000000000" w:firstRow="0" w:lastRow="0" w:firstColumn="1" w:lastColumn="0" w:oddVBand="0" w:evenVBand="0" w:oddHBand="0" w:evenHBand="0" w:firstRowFirstColumn="0" w:firstRowLastColumn="0" w:lastRowFirstColumn="0" w:lastRowLastColumn="0"/>
            <w:tcW w:w="2412" w:type="pct"/>
            <w:tcBorders>
              <w:bottom w:val="nil"/>
            </w:tcBorders>
            <w:vAlign w:val="center"/>
            <w:hideMark/>
          </w:tcPr>
          <w:p w14:paraId="16D70B2A" w14:textId="6A10648C" w:rsidR="00916F9F" w:rsidRPr="000B0CA8" w:rsidRDefault="00916F9F"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HG005</w:t>
            </w:r>
          </w:p>
        </w:tc>
        <w:tc>
          <w:tcPr>
            <w:tcW w:w="2588" w:type="pct"/>
            <w:tcBorders>
              <w:bottom w:val="nil"/>
            </w:tcBorders>
            <w:vAlign w:val="center"/>
            <w:hideMark/>
          </w:tcPr>
          <w:p w14:paraId="28EBC683" w14:textId="273FEC3C"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CLR, and CCS</w:t>
            </w:r>
          </w:p>
        </w:tc>
      </w:tr>
      <w:tr w:rsidR="00916F9F" w:rsidRPr="000B0CA8" w14:paraId="200D0C00" w14:textId="782B59B1" w:rsidTr="006A556F">
        <w:trPr>
          <w:trHeight w:val="170"/>
          <w:jc w:val="center"/>
        </w:trPr>
        <w:tc>
          <w:tcPr>
            <w:cnfStyle w:val="001000000000" w:firstRow="0" w:lastRow="0" w:firstColumn="1" w:lastColumn="0" w:oddVBand="0" w:evenVBand="0" w:oddHBand="0" w:evenHBand="0" w:firstRowFirstColumn="0" w:firstRowLastColumn="0" w:lastRowFirstColumn="0" w:lastRowLastColumn="0"/>
            <w:tcW w:w="2412" w:type="pct"/>
            <w:tcBorders>
              <w:top w:val="nil"/>
              <w:bottom w:val="single" w:sz="6" w:space="0" w:color="auto"/>
            </w:tcBorders>
            <w:vAlign w:val="center"/>
            <w:hideMark/>
          </w:tcPr>
          <w:p w14:paraId="734CEE7E" w14:textId="7C4262AA" w:rsidR="00916F9F" w:rsidRPr="000B0CA8" w:rsidRDefault="00916F9F"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HG006</w:t>
            </w:r>
          </w:p>
          <w:p w14:paraId="040C4508" w14:textId="0AC28ED2" w:rsidR="00916F9F" w:rsidRPr="000B0CA8" w:rsidRDefault="00916F9F"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HG007</w:t>
            </w:r>
          </w:p>
          <w:p w14:paraId="65C0F150" w14:textId="78C48ACA" w:rsidR="00916F9F" w:rsidRPr="000B0CA8" w:rsidRDefault="00916F9F"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NA12878</w:t>
            </w:r>
          </w:p>
          <w:p w14:paraId="15B18A59" w14:textId="37CC374B" w:rsidR="00916F9F" w:rsidRPr="000B0CA8" w:rsidRDefault="00916F9F" w:rsidP="00D555AA">
            <w:pPr>
              <w:spacing w:line="240" w:lineRule="exact"/>
              <w:jc w:val="center"/>
              <w:rPr>
                <w:rFonts w:ascii="Times New Roman" w:hAnsi="Times New Roman"/>
                <w:sz w:val="16"/>
                <w:szCs w:val="16"/>
              </w:rPr>
            </w:pPr>
            <w:r w:rsidRPr="000B0CA8">
              <w:rPr>
                <w:rFonts w:ascii="Times New Roman" w:hAnsi="Times New Roman" w:hint="eastAsia"/>
                <w:sz w:val="16"/>
                <w:szCs w:val="16"/>
              </w:rPr>
              <w:t>H</w:t>
            </w:r>
            <w:r w:rsidRPr="000B0CA8">
              <w:rPr>
                <w:rFonts w:ascii="Times New Roman" w:hAnsi="Times New Roman"/>
                <w:sz w:val="16"/>
                <w:szCs w:val="16"/>
              </w:rPr>
              <w:t>G00096</w:t>
            </w:r>
          </w:p>
          <w:p w14:paraId="62772568" w14:textId="6CBC1BA3" w:rsidR="00916F9F" w:rsidRPr="000B0CA8" w:rsidRDefault="00916F9F" w:rsidP="00D555AA">
            <w:pPr>
              <w:spacing w:line="240" w:lineRule="exact"/>
              <w:jc w:val="center"/>
              <w:rPr>
                <w:rFonts w:ascii="Times New Roman" w:hAnsi="Times New Roman"/>
                <w:b w:val="0"/>
                <w:bCs w:val="0"/>
                <w:sz w:val="16"/>
                <w:szCs w:val="16"/>
              </w:rPr>
            </w:pPr>
            <w:r w:rsidRPr="000B0CA8">
              <w:rPr>
                <w:rFonts w:ascii="Times New Roman" w:hAnsi="Times New Roman" w:cs="Times New Roman"/>
                <w:sz w:val="16"/>
                <w:szCs w:val="16"/>
              </w:rPr>
              <w:t>HG00512</w:t>
            </w:r>
          </w:p>
          <w:p w14:paraId="113CBDFE" w14:textId="0AD83167" w:rsidR="00916F9F" w:rsidRPr="000B0CA8" w:rsidRDefault="00916F9F" w:rsidP="00D555AA">
            <w:pPr>
              <w:spacing w:line="240" w:lineRule="exact"/>
              <w:jc w:val="center"/>
              <w:rPr>
                <w:rFonts w:ascii="Times New Roman" w:hAnsi="Times New Roman"/>
                <w:sz w:val="16"/>
                <w:szCs w:val="16"/>
              </w:rPr>
            </w:pPr>
            <w:r w:rsidRPr="000B0CA8">
              <w:rPr>
                <w:rFonts w:ascii="Times New Roman" w:hAnsi="Times New Roman"/>
                <w:sz w:val="16"/>
                <w:szCs w:val="16"/>
              </w:rPr>
              <w:t>CHM13</w:t>
            </w:r>
          </w:p>
          <w:p w14:paraId="0E0E8F8F" w14:textId="0FE2F77A" w:rsidR="00916F9F" w:rsidRPr="000B0CA8" w:rsidRDefault="00916F9F" w:rsidP="00D555AA">
            <w:pPr>
              <w:spacing w:line="240" w:lineRule="exact"/>
              <w:jc w:val="center"/>
              <w:rPr>
                <w:rFonts w:ascii="Times New Roman" w:hAnsi="Times New Roman"/>
                <w:sz w:val="16"/>
                <w:szCs w:val="16"/>
              </w:rPr>
            </w:pPr>
          </w:p>
        </w:tc>
        <w:tc>
          <w:tcPr>
            <w:tcW w:w="2588" w:type="pct"/>
            <w:tcBorders>
              <w:top w:val="nil"/>
              <w:bottom w:val="single" w:sz="6" w:space="0" w:color="auto"/>
            </w:tcBorders>
            <w:vAlign w:val="center"/>
            <w:hideMark/>
          </w:tcPr>
          <w:p w14:paraId="3F92332A" w14:textId="5A56761D"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CLR, and CCS</w:t>
            </w:r>
          </w:p>
          <w:p w14:paraId="20627417" w14:textId="41FE18D7"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CLR, and CCS</w:t>
            </w:r>
          </w:p>
          <w:p w14:paraId="6B5B7DF4" w14:textId="3B44A8F5"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 xml:space="preserve">ONT and </w:t>
            </w:r>
            <w:r w:rsidR="00E37E27" w:rsidRPr="000B0CA8">
              <w:rPr>
                <w:rFonts w:ascii="Times New Roman" w:hAnsi="Times New Roman" w:cs="Times New Roman"/>
                <w:sz w:val="16"/>
                <w:szCs w:val="16"/>
              </w:rPr>
              <w:t>CCS</w:t>
            </w:r>
          </w:p>
          <w:p w14:paraId="2C31F367" w14:textId="1F7280B0"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 xml:space="preserve">ONT and </w:t>
            </w:r>
            <w:r w:rsidR="00E37E27" w:rsidRPr="000B0CA8">
              <w:rPr>
                <w:rFonts w:ascii="Times New Roman" w:hAnsi="Times New Roman" w:cs="Times New Roman"/>
                <w:sz w:val="16"/>
                <w:szCs w:val="16"/>
              </w:rPr>
              <w:t>CCS</w:t>
            </w:r>
          </w:p>
          <w:p w14:paraId="32EF21FA" w14:textId="77777777"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ONT, CLR, and CCS</w:t>
            </w:r>
          </w:p>
          <w:p w14:paraId="321CCDCB" w14:textId="120D3A0F" w:rsidR="00916F9F" w:rsidRPr="000B0CA8" w:rsidRDefault="00916F9F"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ONT, CLR, and CCS</w:t>
            </w:r>
          </w:p>
        </w:tc>
      </w:tr>
    </w:tbl>
    <w:p w14:paraId="5D4231E7" w14:textId="77777777" w:rsidR="007D4596" w:rsidRPr="000B0CA8" w:rsidRDefault="007D4596" w:rsidP="007D4596">
      <w:pPr>
        <w:rPr>
          <w:rFonts w:ascii="Times New Roman" w:hAnsi="Times New Roman" w:cs="Times New Roman"/>
          <w:b/>
          <w:sz w:val="20"/>
          <w:szCs w:val="20"/>
        </w:rPr>
      </w:pPr>
      <w:bookmarkStart w:id="1" w:name="_Hlk172349993"/>
      <w:r w:rsidRPr="000B0CA8">
        <w:rPr>
          <w:rFonts w:ascii="Times New Roman" w:hAnsi="Times New Roman"/>
          <w:b/>
          <w:sz w:val="20"/>
          <w:szCs w:val="20"/>
        </w:rPr>
        <w:t>Aligners:</w:t>
      </w:r>
    </w:p>
    <w:p w14:paraId="3D270D52" w14:textId="47E7C703" w:rsidR="006F0496" w:rsidRPr="0067524A" w:rsidRDefault="006F0496" w:rsidP="0067524A">
      <w:pPr>
        <w:pStyle w:val="af4"/>
        <w:keepNext/>
        <w:jc w:val="center"/>
        <w:rPr>
          <w:b/>
          <w:bCs/>
          <w:color w:val="FF0000"/>
          <w:szCs w:val="18"/>
        </w:rPr>
      </w:pPr>
      <w:r w:rsidRPr="0067524A">
        <w:rPr>
          <w:rFonts w:ascii="Arial" w:hAnsi="Arial" w:cs="Arial"/>
          <w:b/>
          <w:bCs/>
          <w:color w:val="FF0000"/>
          <w:sz w:val="18"/>
          <w:szCs w:val="18"/>
        </w:rPr>
        <w:t xml:space="preserve">Table </w:t>
      </w:r>
      <w:r w:rsidRPr="0067524A">
        <w:rPr>
          <w:rFonts w:ascii="Arial" w:hAnsi="Arial" w:cs="Arial"/>
          <w:b/>
          <w:bCs/>
          <w:color w:val="FF0000"/>
          <w:sz w:val="18"/>
          <w:szCs w:val="18"/>
        </w:rPr>
        <w:fldChar w:fldCharType="begin"/>
      </w:r>
      <w:r w:rsidRPr="0067524A">
        <w:rPr>
          <w:rFonts w:ascii="Arial" w:hAnsi="Arial" w:cs="Arial"/>
          <w:b/>
          <w:bCs/>
          <w:color w:val="FF0000"/>
          <w:sz w:val="18"/>
          <w:szCs w:val="18"/>
        </w:rPr>
        <w:instrText xml:space="preserve"> SEQ Table \* ARABIC </w:instrText>
      </w:r>
      <w:r w:rsidRPr="0067524A">
        <w:rPr>
          <w:rFonts w:ascii="Arial" w:hAnsi="Arial" w:cs="Arial"/>
          <w:b/>
          <w:bCs/>
          <w:color w:val="FF0000"/>
          <w:sz w:val="18"/>
          <w:szCs w:val="18"/>
        </w:rPr>
        <w:fldChar w:fldCharType="separate"/>
      </w:r>
      <w:r w:rsidR="00F455C2" w:rsidRPr="0067524A">
        <w:rPr>
          <w:rFonts w:ascii="Arial" w:hAnsi="Arial" w:cs="Arial"/>
          <w:b/>
          <w:bCs/>
          <w:noProof/>
          <w:color w:val="FF0000"/>
          <w:sz w:val="18"/>
          <w:szCs w:val="18"/>
        </w:rPr>
        <w:t>2</w:t>
      </w:r>
      <w:r w:rsidRPr="0067524A">
        <w:rPr>
          <w:rFonts w:ascii="Arial" w:hAnsi="Arial" w:cs="Arial"/>
          <w:b/>
          <w:bCs/>
          <w:color w:val="FF0000"/>
          <w:sz w:val="18"/>
          <w:szCs w:val="18"/>
        </w:rPr>
        <w:fldChar w:fldCharType="end"/>
      </w:r>
      <w:r w:rsidRPr="0067524A">
        <w:rPr>
          <w:rFonts w:ascii="Arial" w:hAnsi="Arial" w:cs="Arial"/>
          <w:b/>
          <w:bCs/>
          <w:color w:val="FF0000"/>
          <w:sz w:val="18"/>
          <w:szCs w:val="18"/>
        </w:rPr>
        <w:t xml:space="preserve">. </w:t>
      </w:r>
      <w:r w:rsidR="00F455C2" w:rsidRPr="0067524A">
        <w:rPr>
          <w:rFonts w:ascii="Arial" w:hAnsi="Arial" w:cs="Arial"/>
          <w:b/>
          <w:bCs/>
          <w:color w:val="FF0000"/>
          <w:sz w:val="18"/>
          <w:szCs w:val="18"/>
        </w:rPr>
        <w:t xml:space="preserve">Alignment tools </w:t>
      </w:r>
      <w:r w:rsidR="00B26ED5" w:rsidRPr="0067524A">
        <w:rPr>
          <w:rFonts w:ascii="Arial" w:hAnsi="Arial" w:cs="Arial"/>
          <w:b/>
          <w:bCs/>
          <w:color w:val="FF0000"/>
          <w:sz w:val="18"/>
          <w:szCs w:val="18"/>
        </w:rPr>
        <w:t>and versions</w:t>
      </w:r>
    </w:p>
    <w:tbl>
      <w:tblPr>
        <w:tblStyle w:val="a9"/>
        <w:tblW w:w="3328" w:type="pct"/>
        <w:jc w:val="center"/>
        <w:tblInd w:w="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3430"/>
        <w:gridCol w:w="572"/>
        <w:gridCol w:w="1526"/>
      </w:tblGrid>
      <w:tr w:rsidR="007D4596" w:rsidRPr="000B0CA8" w14:paraId="58DD4EB8" w14:textId="77777777" w:rsidTr="0067524A">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102" w:type="pct"/>
            <w:tcBorders>
              <w:top w:val="single" w:sz="6" w:space="0" w:color="auto"/>
              <w:left w:val="nil"/>
              <w:bottom w:val="single" w:sz="6" w:space="0" w:color="auto"/>
              <w:right w:val="nil"/>
            </w:tcBorders>
            <w:shd w:val="clear" w:color="auto" w:fill="auto"/>
            <w:vAlign w:val="center"/>
            <w:hideMark/>
          </w:tcPr>
          <w:p w14:paraId="4F814C66" w14:textId="17126D24" w:rsidR="007D4596" w:rsidRPr="000B0CA8" w:rsidRDefault="007D4596" w:rsidP="00D555AA">
            <w:pPr>
              <w:spacing w:line="240" w:lineRule="exact"/>
              <w:jc w:val="center"/>
              <w:rPr>
                <w:rFonts w:ascii="Times New Roman" w:hAnsi="Times New Roman"/>
                <w:b w:val="0"/>
                <w:color w:val="000000"/>
                <w:sz w:val="16"/>
                <w:szCs w:val="16"/>
              </w:rPr>
            </w:pPr>
            <w:r w:rsidRPr="000B0CA8">
              <w:rPr>
                <w:rFonts w:ascii="Times New Roman" w:hAnsi="Times New Roman" w:cs="Times New Roman"/>
                <w:color w:val="000000" w:themeColor="text1"/>
                <w:sz w:val="16"/>
                <w:szCs w:val="16"/>
                <w:lang w:val="zh-CN"/>
              </w:rPr>
              <w:t>Name</w:t>
            </w:r>
          </w:p>
        </w:tc>
        <w:tc>
          <w:tcPr>
            <w:tcW w:w="517" w:type="pct"/>
            <w:tcBorders>
              <w:top w:val="single" w:sz="6" w:space="0" w:color="auto"/>
              <w:left w:val="nil"/>
              <w:bottom w:val="single" w:sz="6" w:space="0" w:color="auto"/>
              <w:right w:val="nil"/>
            </w:tcBorders>
            <w:shd w:val="clear" w:color="auto" w:fill="auto"/>
            <w:vAlign w:val="center"/>
            <w:hideMark/>
          </w:tcPr>
          <w:p w14:paraId="2E5CCAF5" w14:textId="2A04B3F8" w:rsidR="007D4596" w:rsidRPr="000B0CA8" w:rsidRDefault="007D4596"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lang w:val="zh-CN"/>
              </w:rPr>
              <w:t>Time</w:t>
            </w:r>
          </w:p>
        </w:tc>
        <w:tc>
          <w:tcPr>
            <w:tcW w:w="1380" w:type="pct"/>
            <w:tcBorders>
              <w:top w:val="single" w:sz="6" w:space="0" w:color="auto"/>
              <w:left w:val="nil"/>
              <w:bottom w:val="single" w:sz="6" w:space="0" w:color="auto"/>
              <w:right w:val="nil"/>
            </w:tcBorders>
            <w:shd w:val="clear" w:color="auto" w:fill="auto"/>
            <w:vAlign w:val="center"/>
            <w:hideMark/>
          </w:tcPr>
          <w:p w14:paraId="38E2F40B" w14:textId="680D6DE1" w:rsidR="007D4596" w:rsidRPr="000B0CA8" w:rsidRDefault="007D4596"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lang w:val="zh-CN"/>
              </w:rPr>
              <w:t>Version</w:t>
            </w:r>
          </w:p>
        </w:tc>
      </w:tr>
      <w:tr w:rsidR="007D4596" w:rsidRPr="000B0CA8" w14:paraId="0D6E3106"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3102" w:type="pct"/>
            <w:tcBorders>
              <w:top w:val="nil"/>
            </w:tcBorders>
            <w:vAlign w:val="center"/>
            <w:hideMark/>
          </w:tcPr>
          <w:p w14:paraId="14F85DF1" w14:textId="00046819" w:rsidR="007D4596" w:rsidRPr="000B0CA8" w:rsidRDefault="00F24674"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lang w:val="zh-CN"/>
              </w:rPr>
              <w:t>L</w:t>
            </w:r>
            <w:r w:rsidR="007D4596" w:rsidRPr="000B0CA8">
              <w:rPr>
                <w:rFonts w:ascii="Times New Roman" w:hAnsi="Times New Roman" w:cs="Times New Roman"/>
                <w:sz w:val="16"/>
                <w:szCs w:val="16"/>
                <w:lang w:val="zh-CN"/>
              </w:rPr>
              <w:t>ra</w:t>
            </w:r>
            <w:r w:rsidR="004D51AF" w:rsidRPr="000B0CA8">
              <w:rPr>
                <w:rFonts w:ascii="Times New Roman" w:hAnsi="Times New Roman" w:cs="Times New Roman"/>
                <w:sz w:val="16"/>
                <w:szCs w:val="16"/>
                <w:lang w:val="zh-CN"/>
              </w:rPr>
              <w:fldChar w:fldCharType="begin"/>
            </w:r>
            <w:r w:rsidR="004D51AF" w:rsidRPr="000B0CA8">
              <w:rPr>
                <w:rFonts w:ascii="Times New Roman" w:hAnsi="Times New Roman" w:cs="Times New Roman"/>
                <w:sz w:val="16"/>
                <w:szCs w:val="16"/>
                <w:lang w:val="zh-CN"/>
              </w:rPr>
              <w:instrText xml:space="preserve"> ADDIN ZOTERO_ITEM CSL_CITATION {"citationID":"arQq2JBE","properties":{"formattedCitation":"\\super 8\\nosupersub{}","plainCitation":"8","noteIndex":0},"citationItems":[{"id":260,"uris":["http://zotero.org/users/local/isDXystY/items/CIZHU5IC"],"itemData":{"id":260,"type":"article-journal","abstract":"It is computationally challenging to detect variation by aligning single-molecule sequencing (SMS) reads, or contigs from SMS assemblies. One approach to efficiently align SMS reads is sparse dynamic programming (SDP), where optimal chains of exact matches are found between the sequence and the genome. While straightforward implementations of SDP penalize gaps with a cost that is a linear function of gap length, biological variation is more accurately represented when gap cost is a concave function of gap length. We have developed a method, lra, that uses SDP with a concave-cost gap penalty, and used lra to align long-read sequences from PacBio and Oxford Nanopore (ONT) instruments as well as de novo assembly contigs. This alignment approach increases sensitivity and specificity for SV discovery, particularly for variants above 1kb and when discovering variation from ONT reads, while having runtime that are comparable (1.05-3.76×) to current methods. When applied to calling variation from de novo assembly contigs, there is a 3.2% increase in Truvari F1 score compared to minimap2+htsbox. lra is available in bioconda (https://anaconda.org/bioconda/lra) and github (https://github.com/ChaissonLab/LRA).","container-title":"PLoS computational biology","DOI":"10.1371/journal.pcbi.1009078","ISSN":"1553-7358","issue":"6","journalAbbreviation":"PLoS Comput Biol","language":"eng","note":"PMID: 34153026\nPMCID: PMC8248648","page":"e1009078","source":"PubMed","title":"lra: A long read aligner for sequences and contigs","title-short":"lra","volume":"17","author":[{"family":"Ren","given":"Jingwen"},{"family":"Chaisson","given":"Mark J. P."}],"issued":{"date-parts":[["2021",6]]}}}],"schema":"https://github.com/citation-style-language/schema/raw/master/csl-citation.json"} </w:instrText>
            </w:r>
            <w:r w:rsidR="004D51AF" w:rsidRPr="000B0CA8">
              <w:rPr>
                <w:rFonts w:ascii="Times New Roman" w:hAnsi="Times New Roman" w:cs="Times New Roman"/>
                <w:sz w:val="16"/>
                <w:szCs w:val="16"/>
                <w:lang w:val="zh-CN"/>
              </w:rPr>
              <w:fldChar w:fldCharType="separate"/>
            </w:r>
            <w:r w:rsidR="004D51AF" w:rsidRPr="000B0CA8">
              <w:rPr>
                <w:rFonts w:ascii="Times New Roman" w:hAnsi="Times New Roman" w:cs="Times New Roman"/>
                <w:sz w:val="16"/>
                <w:szCs w:val="28"/>
                <w:vertAlign w:val="superscript"/>
              </w:rPr>
              <w:t>8</w:t>
            </w:r>
            <w:r w:rsidR="004D51AF" w:rsidRPr="000B0CA8">
              <w:rPr>
                <w:rFonts w:ascii="Times New Roman" w:hAnsi="Times New Roman" w:cs="Times New Roman"/>
                <w:sz w:val="16"/>
                <w:szCs w:val="16"/>
                <w:lang w:val="zh-CN"/>
              </w:rPr>
              <w:fldChar w:fldCharType="end"/>
            </w:r>
          </w:p>
        </w:tc>
        <w:tc>
          <w:tcPr>
            <w:tcW w:w="517" w:type="pct"/>
            <w:tcBorders>
              <w:top w:val="nil"/>
            </w:tcBorders>
            <w:vAlign w:val="center"/>
            <w:hideMark/>
          </w:tcPr>
          <w:p w14:paraId="1738AFE9" w14:textId="6EC38BCD"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021</w:t>
            </w:r>
          </w:p>
        </w:tc>
        <w:tc>
          <w:tcPr>
            <w:tcW w:w="1380" w:type="pct"/>
            <w:tcBorders>
              <w:top w:val="nil"/>
            </w:tcBorders>
            <w:vAlign w:val="center"/>
            <w:hideMark/>
          </w:tcPr>
          <w:p w14:paraId="74C12A73" w14:textId="7C979208"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1.3.7.1</w:t>
            </w:r>
          </w:p>
        </w:tc>
      </w:tr>
      <w:tr w:rsidR="007D4596" w:rsidRPr="000B0CA8" w14:paraId="4264EAC6"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3102" w:type="pct"/>
            <w:vAlign w:val="center"/>
            <w:hideMark/>
          </w:tcPr>
          <w:p w14:paraId="575B6707" w14:textId="3A1EE545"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minimap2</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{"citationID":"Xa486TXu","properties":{"formattedCitation":"\\super 9,10\\nosupersub{}","plainCitation":"9,10","noteIndex":0},"citationItems":[{"id":261,"uris":["http://zotero.org/users/local/isDXystY/items/7382K4AL"],"itemData":{"id":261,"type":"article-journal","abstract":"MOTIVATION: Recent advances in sequencing technologies promise ultra-long reads of </w:instrText>
            </w:r>
            <w:r w:rsidR="004D51AF" w:rsidRPr="000B0CA8">
              <w:rPr>
                <w:rFonts w:ascii="Cambria Math" w:hAnsi="Cambria Math" w:cs="Cambria Math"/>
                <w:sz w:val="16"/>
                <w:szCs w:val="16"/>
              </w:rPr>
              <w:instrText>∼</w:instrText>
            </w:r>
            <w:r w:rsidR="004D51AF" w:rsidRPr="000B0CA8">
              <w:rPr>
                <w:rFonts w:ascii="Times New Roman" w:hAnsi="Times New Roman" w:cs="Times New Roman"/>
                <w:sz w:val="16"/>
                <w:szCs w:val="16"/>
              </w:rPr>
              <w:instrText xml:space="preserve">100 kb in average, full-length mRNA or cDNA reads in high throughput and genomic contigs over 100 Mb in length. Existing alignment programs are unable or inefficient to process such data at scale, which presses for the development of new alignment algorithms.\nRESULTS: Minimap2 is a general-purpose alignment program to map DNA or long mRNA sequences against a large reference database. It works with accurate short reads of </w:instrText>
            </w:r>
            <w:r w:rsidR="004D51AF" w:rsidRPr="000B0CA8">
              <w:rPr>
                <w:rFonts w:ascii="Times New Roman" w:hAnsi="Times New Roman" w:cs="Times New Roman" w:hint="eastAsia"/>
                <w:sz w:val="16"/>
                <w:szCs w:val="16"/>
              </w:rPr>
              <w:instrText>≥</w:instrText>
            </w:r>
            <w:r w:rsidR="004D51AF" w:rsidRPr="000B0CA8">
              <w:rPr>
                <w:rFonts w:ascii="Times New Roman" w:hAnsi="Times New Roman" w:cs="Times New Roman"/>
                <w:sz w:val="16"/>
                <w:szCs w:val="16"/>
              </w:rPr>
              <w:instrText xml:space="preserve">100 bp in length, </w:instrText>
            </w:r>
            <w:r w:rsidR="004D51AF" w:rsidRPr="000B0CA8">
              <w:rPr>
                <w:rFonts w:ascii="Times New Roman" w:hAnsi="Times New Roman" w:cs="Times New Roman" w:hint="eastAsia"/>
                <w:sz w:val="16"/>
                <w:szCs w:val="16"/>
              </w:rPr>
              <w:instrText>≥</w:instrText>
            </w:r>
            <w:r w:rsidR="004D51AF" w:rsidRPr="000B0CA8">
              <w:rPr>
                <w:rFonts w:ascii="Times New Roman" w:hAnsi="Times New Roman" w:cs="Times New Roman"/>
                <w:sz w:val="16"/>
                <w:szCs w:val="16"/>
              </w:rPr>
              <w:instrText xml:space="preserve">1 kb genomic reads at error rate </w:instrText>
            </w:r>
            <w:r w:rsidR="004D51AF" w:rsidRPr="000B0CA8">
              <w:rPr>
                <w:rFonts w:ascii="Cambria Math" w:hAnsi="Cambria Math" w:cs="Cambria Math"/>
                <w:sz w:val="16"/>
                <w:szCs w:val="16"/>
              </w:rPr>
              <w:instrText>∼</w:instrText>
            </w:r>
            <w:r w:rsidR="004D51AF" w:rsidRPr="000B0CA8">
              <w:rPr>
                <w:rFonts w:ascii="Times New Roman" w:hAnsi="Times New Roman" w:cs="Times New Roman"/>
                <w:sz w:val="16"/>
                <w:szCs w:val="16"/>
              </w:rPr>
              <w:instrText xml:space="preserve">15%, full-length noisy Direct RNA or cDNA reads and assembly contigs or closely related full chromosomes of hundreds of megabases in length. Minimap2 does split-read alignment, employs concave gap cost for long insertions and deletions and introduces new heuristics to reduce spurious alignments. It is 3-4 times as fast as mainstream short-read mappers at comparable accuracy, and is </w:instrText>
            </w:r>
            <w:r w:rsidR="004D51AF" w:rsidRPr="000B0CA8">
              <w:rPr>
                <w:rFonts w:ascii="Times New Roman" w:hAnsi="Times New Roman" w:cs="Times New Roman" w:hint="eastAsia"/>
                <w:sz w:val="16"/>
                <w:szCs w:val="16"/>
              </w:rPr>
              <w:instrText>≥</w:instrText>
            </w:r>
            <w:r w:rsidR="004D51AF" w:rsidRPr="000B0CA8">
              <w:rPr>
                <w:rFonts w:ascii="Times New Roman" w:hAnsi="Times New Roman" w:cs="Times New Roman"/>
                <w:sz w:val="16"/>
                <w:szCs w:val="16"/>
              </w:rPr>
              <w:instrText xml:space="preserve">30 times faster than long-read genomic or cDNA mappers at higher accuracy, surpassing most aligners specialized in one type of alignment.\nAVAILABILITY AND IMPLEMENTATION: https://github.com/lh3/minimap2.\nSUPPLEMENTARY INFORMATION: Supplementary data are available at Bioinformatics online.","container-title":"Bioinformatics (Oxford, England)","DOI":"10.1093/bioinformatics/bty191","ISSN":"1367-4811","issue":"18","journalAbbreviation":"Bioinformatics","language":"eng","note":"PMID: 29750242\nPMCID: PMC6137996","page":"3094-3100","source":"PubMed","title":"Minimap2: pairwise alignment for nucleotide sequences","title-short":"Minimap2","volume":"34","author":[{"family":"Li","given":"Heng"}],"issued":{"date-parts":[["2018",9,15]]}},"label":"page"},{"id":262,"uris":["http://zotero.org/users/local/isDXystY/items/9STEGGWP"],"itemData":{"id":262,"type":"article-journal","abstract":"SUMMARY: We present several recent improvements to minimap2, a versatile pairwise aligner for nucleotide sequences. Now minimap2 v2.22 can more accurately map long reads to highly repetitive regions and align through insertions or deletions up to 100 kb by default, addressing major weakness in minimap2 v2.18 or earlier.\nAVAILABILITY AND IMPLEMENTATION: https://github.com/lh3/minimap2.","container-title":"Bioinformatics (Oxford, England)","DOI":"10.1093/bioinformatics/btab705","ISSN":"1367-4811","issue":"23","journalAbbreviation":"Bioinformatics","language":"eng","note":"PMID: 34623391\nPMCID: PMC8652018","page":"4572-4574","source":"PubMed","title":"New strategies to improve minimap2 alignment accuracy","volume":"37","author":[{"family":"Li","given":"Heng"}],"issued":{"date-parts":[["2021",12,7]]}},"label":"page"}],"schema":"https://github.com/citation-style-language/schema/raw/master/csl-citation.json"}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9,10</w:t>
            </w:r>
            <w:r w:rsidR="004D51AF" w:rsidRPr="000B0CA8">
              <w:rPr>
                <w:rFonts w:ascii="Times New Roman" w:hAnsi="Times New Roman" w:cs="Times New Roman"/>
                <w:sz w:val="16"/>
                <w:szCs w:val="16"/>
              </w:rPr>
              <w:fldChar w:fldCharType="end"/>
            </w:r>
          </w:p>
        </w:tc>
        <w:tc>
          <w:tcPr>
            <w:tcW w:w="517" w:type="pct"/>
            <w:vAlign w:val="center"/>
            <w:hideMark/>
          </w:tcPr>
          <w:p w14:paraId="688C6C0E" w14:textId="6583560C"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018</w:t>
            </w:r>
          </w:p>
        </w:tc>
        <w:tc>
          <w:tcPr>
            <w:tcW w:w="1380" w:type="pct"/>
            <w:vAlign w:val="center"/>
            <w:hideMark/>
          </w:tcPr>
          <w:p w14:paraId="6E1A403B" w14:textId="7583F233"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.17-r941</w:t>
            </w:r>
          </w:p>
        </w:tc>
      </w:tr>
      <w:tr w:rsidR="007D4596" w:rsidRPr="000B0CA8" w14:paraId="5ED8B3EC"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3102" w:type="pct"/>
            <w:vAlign w:val="center"/>
            <w:hideMark/>
          </w:tcPr>
          <w:p w14:paraId="348F8CF1" w14:textId="74E07403"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lang w:val="zh-CN"/>
              </w:rPr>
              <w:t>ngmlr</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{"citationID":"WiK6JVli","properties":{"formattedCitation":"\\super 11\\nosupersub{}","plainCitation":"11","noteIndex":0},"citationItems":[{"id":263,"uris":["http://zotero.org/users/local/isDXystY/items/RQYM8CNZ"],"itemData":{"id":263,"type":"article-journal","abstract":"Structural variations are the greatest source of genetic variation, but they remain poorly understood because of technological limitations. Single-molecule long-read sequencing has the potential to dramatically advance the field, although high error rates are a challenge with existing methods. Addressing this need, we introduce open-source methods for long-read alignment (NGMLR; https://github.com/philres/ngmlr ) and structural variant identification (Sniffles; https://github.com/fritzsedlazeck/Sniffles ) that provide unprecedented sensitivity and precision for variant detection, even in repeat-rich regions and for complex nested events that can have substantial effects on human health. In several long-read datasets, including healthy and cancerous human genomes, we discovered thousands of novel variants and categorized systematic errors in short-read approaches. NGMLR and Sniffles can automatically filter false events and operate on low-coverage data, thereby reducing the high costs that have hindered the application of long reads in clinical and research settings.","container-title":"Nature Methods","DOI":"10.1038/s41592-018-0001-7","ISSN":"1548-7105","issue":"6","journalAbbreviation":"Nat Methods","language":"eng","note":"PMID: 29713083\nPMCID: PMC5990442","page":"461-468","source":"PubMed","title":"Accurate detection of complex structural variations using single-molecule sequencing","volume":"15","author":[{"family":"Sedlazeck","given":"Fritz J."},{"family":"Rescheneder","given":"Philipp"},{"family":"Smolka","given":"Moritz"},{"family":"Fang","given":"Han"},{"family":"Nattestad","given":"Maria"},{"family":"Haeseler","given":"Arndt","non-dropping-particle":"von"},{"family":"Schatz","given":"Michael C."}],"issued":{"date-parts":[["2018",6]]}}}],"schema":"https://github.com/citation-style-language/schema/raw/master/csl-citation.json"}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11</w:t>
            </w:r>
            <w:r w:rsidR="004D51AF" w:rsidRPr="000B0CA8">
              <w:rPr>
                <w:rFonts w:ascii="Times New Roman" w:hAnsi="Times New Roman" w:cs="Times New Roman"/>
                <w:sz w:val="16"/>
                <w:szCs w:val="16"/>
              </w:rPr>
              <w:fldChar w:fldCharType="end"/>
            </w:r>
          </w:p>
        </w:tc>
        <w:tc>
          <w:tcPr>
            <w:tcW w:w="517" w:type="pct"/>
            <w:vAlign w:val="center"/>
            <w:hideMark/>
          </w:tcPr>
          <w:p w14:paraId="021EC7B5" w14:textId="49E090CD"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018</w:t>
            </w:r>
          </w:p>
        </w:tc>
        <w:tc>
          <w:tcPr>
            <w:tcW w:w="1380" w:type="pct"/>
            <w:vAlign w:val="center"/>
            <w:hideMark/>
          </w:tcPr>
          <w:p w14:paraId="71E0092C" w14:textId="2EA13892"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0</w:t>
            </w:r>
            <w:r w:rsidRPr="000B0CA8">
              <w:rPr>
                <w:rFonts w:ascii="Times New Roman" w:hAnsi="Times New Roman" w:cs="Times New Roman"/>
                <w:sz w:val="16"/>
                <w:szCs w:val="16"/>
              </w:rPr>
              <w:t>.2.7</w:t>
            </w:r>
          </w:p>
        </w:tc>
      </w:tr>
      <w:tr w:rsidR="00F24674" w:rsidRPr="000B0CA8" w14:paraId="59944A21" w14:textId="77777777" w:rsidTr="0067524A">
        <w:trPr>
          <w:trHeight w:val="350"/>
          <w:jc w:val="center"/>
        </w:trPr>
        <w:tc>
          <w:tcPr>
            <w:cnfStyle w:val="001000000000" w:firstRow="0" w:lastRow="0" w:firstColumn="1" w:lastColumn="0" w:oddVBand="0" w:evenVBand="0" w:oddHBand="0" w:evenHBand="0" w:firstRowFirstColumn="0" w:firstRowLastColumn="0" w:lastRowFirstColumn="0" w:lastRowLastColumn="0"/>
            <w:tcW w:w="3102" w:type="pct"/>
            <w:vAlign w:val="center"/>
            <w:hideMark/>
          </w:tcPr>
          <w:p w14:paraId="4F1961B6" w14:textId="77777777" w:rsidR="00F24674" w:rsidRPr="000B0CA8" w:rsidRDefault="00F24674" w:rsidP="00D555AA">
            <w:pPr>
              <w:spacing w:line="240" w:lineRule="exact"/>
              <w:jc w:val="center"/>
              <w:rPr>
                <w:rFonts w:ascii="Times New Roman" w:hAnsi="Times New Roman" w:cs="Times New Roman"/>
                <w:sz w:val="16"/>
                <w:szCs w:val="16"/>
              </w:rPr>
            </w:pPr>
            <w:r w:rsidRPr="000B0CA8">
              <w:rPr>
                <w:rFonts w:ascii="Times New Roman" w:hAnsi="Times New Roman" w:cs="Times New Roman"/>
                <w:sz w:val="16"/>
                <w:szCs w:val="16"/>
              </w:rPr>
              <w:t>pbmm2</w:t>
            </w:r>
          </w:p>
          <w:p w14:paraId="3A7B5A13" w14:textId="66A9486E" w:rsidR="00F24674" w:rsidRPr="000B0CA8" w:rsidRDefault="00F24674"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(https://github.com/PacificBiosciences/pbmm2)</w:t>
            </w:r>
          </w:p>
        </w:tc>
        <w:tc>
          <w:tcPr>
            <w:tcW w:w="517" w:type="pct"/>
            <w:vAlign w:val="center"/>
            <w:hideMark/>
          </w:tcPr>
          <w:p w14:paraId="293B4F9D" w14:textId="1C64C43F" w:rsidR="00F24674" w:rsidRPr="000B0CA8" w:rsidRDefault="00F2467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018</w:t>
            </w:r>
          </w:p>
        </w:tc>
        <w:tc>
          <w:tcPr>
            <w:tcW w:w="1380" w:type="pct"/>
            <w:vAlign w:val="center"/>
            <w:hideMark/>
          </w:tcPr>
          <w:p w14:paraId="636A032A" w14:textId="28582D90" w:rsidR="00F24674" w:rsidRPr="000B0CA8" w:rsidRDefault="00F2467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.3.0</w:t>
            </w:r>
          </w:p>
        </w:tc>
      </w:tr>
      <w:tr w:rsidR="007D4596" w:rsidRPr="000B0CA8" w14:paraId="2B1E4CEE"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3102" w:type="pct"/>
            <w:tcBorders>
              <w:top w:val="nil"/>
              <w:bottom w:val="single" w:sz="6" w:space="0" w:color="auto"/>
            </w:tcBorders>
            <w:vAlign w:val="center"/>
            <w:hideMark/>
          </w:tcPr>
          <w:p w14:paraId="28ECC1C3" w14:textId="363F447D"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w</w:t>
            </w:r>
            <w:r w:rsidRPr="000B0CA8">
              <w:rPr>
                <w:rFonts w:ascii="Times New Roman" w:hAnsi="Times New Roman" w:cs="Times New Roman" w:hint="eastAsia"/>
                <w:sz w:val="16"/>
                <w:szCs w:val="16"/>
              </w:rPr>
              <w:t>innowmap</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{"citationID":"S58lnkHZ","properties":{"formattedCitation":"\\super 12,13\\nosupersub{}","plainCitation":"12,13","noteIndex":0},"citationItems":[{"id":264,"uris":["http://zotero.org/users/local/isDXystY/items/2T5GAZSN"],"itemData":{"id":264,"type":"article-journal","abstract":"MOTIVATION: In this era of exponential data growth, minimizer sampling has become a standard algorithmic technique for rapid genome sequence comparison. This technique yields a sub-linear representation of sequences, enabling their comparison in reduced space and time. A key property of the minimizer technique is that if two sequences share a substring of a specified length, then they can be guaranteed to have a matching minimizer. However, because the k-mer distribution in eukaryotic genomes is highly uneven, minimizer-based tools (e.g. Minimap2, Mashmap) opt to discard the most frequently occurring minimizers from the genome to avoid excessive false positives. By doing so, the underlying guarantee is lost and accuracy is reduced in repetitive genomic regions.\nRESULTS: We introduce a novel weighted-minimizer sampling algorithm. A unique feature of the proposed algorithm is that it performs minimizer sampling while considering a weight for each k-mer; i.e. the higher the weight of a k-mer, the more likely it is to be selected. By down-weighting frequently occurring k-mers, we are able to meet both objectives: (i) avoid excessive false-positive matches and (ii) maintain the minimizer match guarantee. We tested our algorithm, Winnowmap, using both simulated and real long-read data and compared it to a state-of-the-art long read mapper, Minimap2. Our results demonstrate a reduction in the mapping error-rate from 0.14% to 0.06% in the recently finished human X chromosome (154.3 Mbp), and from 3.6% to 0% within the highly repetitive X centromere (3.1 Mbp). Winnowmap improves mapping accuracy within repeats and achieves these results with sparser sampling, leading to better index compression and competitive runtimes.\nAVAILABILITY AND IMPLEMENTATION: Winnowmap is built on top of the Minimap2 codebase and is available at https://github.com/marbl/winnowmap.","container-title":"Bioinformatics (Oxford, England)","DOI":"10.1093/bioinformatics/btaa435","ISSN":"1367-4811","issue":"Suppl_1","journalAbbreviation":"Bioinformatics","language":"eng","note":"PMID: 32657365\nPMCID: PMC7355284","page":"i111-i118","source":"PubMed","title":"Weighted minimizer sampling improves long read mapping","volume":"36","author":[{"family":"Jain","given":"Chirag"},{"family":"Rhie","given":"Arang"},{"family":"Zhang","given":"Haowen"},{"family":"Chu","given":"Claudia"},{"family":"Walenz","given":"Brian P."},{"family":"Koren","given":"Sergey"},{"family":"Phillippy","given":"Adam M."}],"issued":{"date-parts":[["2020",7,1]]}},"label":"page"},{"id":265,"uris":["http://zotero.org/users/local/isDXystY/items/ZEFUPMKC"],"itemData":{"id":265,"type":"article-journal","abstract":"Approximately 5-10% of the human genome remains inaccessible due to the presence of repetitive sequences such as segmental duplications and tandem repeat arrays. We show that existing long-read mappers often yield incorrect alignments and variant calls within long, near-identical repeats, as they remain vulnerable to allelic bias. In the presence of a nonreference allele within a repeat, a read sampled from that region could be mapped to an incorrect repeat copy. To address this limitation, we developed a new long-read mapping method, Winnowmap2, by using minimal confidently alignable substrings. Winnowmap2 computes each read mapping through a collection of confident subalignments. This approach is more tolerant of structural variation and more sensitive to paralog-specific variants within repeats. Our experiments highlight that Winnowmap2 successfully addresses the issue of allelic bias, enabling more accurate downstream variant calls in repetitive sequences.","container-title":"Nature Methods","DOI":"10.1038/s41592-022-01457-8","ISSN":"1548-7105","issue":"6","journalAbbreviation":"Nat Methods","language":"eng","note":"PMID: 35365778\nPMCID: PMC10510034","page":"705-710","source":"PubMed","title":"Long-read mapping to repetitive reference sequences using Winnowmap2","volume":"19","author":[{"family":"Jain","given":"Chirag"},{"family":"Rhie","given":"Arang"},{"family":"Hansen","given":"Nancy F."},{"family":"Koren","given":"Sergey"},{"family":"Phillippy","given":"Adam M."}],"issued":{"date-parts":[["2022",6]]}},"label":"page"}],"schema":"https://github.com/citation-style-language/schema/raw/master/csl-citation.json"}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12,13</w:t>
            </w:r>
            <w:r w:rsidR="004D51AF" w:rsidRPr="000B0CA8">
              <w:rPr>
                <w:rFonts w:ascii="Times New Roman" w:hAnsi="Times New Roman" w:cs="Times New Roman"/>
                <w:sz w:val="16"/>
                <w:szCs w:val="16"/>
              </w:rPr>
              <w:fldChar w:fldCharType="end"/>
            </w:r>
          </w:p>
        </w:tc>
        <w:tc>
          <w:tcPr>
            <w:tcW w:w="517" w:type="pct"/>
            <w:tcBorders>
              <w:top w:val="nil"/>
              <w:bottom w:val="single" w:sz="6" w:space="0" w:color="auto"/>
            </w:tcBorders>
            <w:vAlign w:val="center"/>
            <w:hideMark/>
          </w:tcPr>
          <w:p w14:paraId="1DD20D4A" w14:textId="059D1A80"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020</w:t>
            </w:r>
          </w:p>
        </w:tc>
        <w:tc>
          <w:tcPr>
            <w:tcW w:w="1380" w:type="pct"/>
            <w:tcBorders>
              <w:top w:val="nil"/>
              <w:bottom w:val="single" w:sz="6" w:space="0" w:color="auto"/>
            </w:tcBorders>
            <w:vAlign w:val="center"/>
            <w:hideMark/>
          </w:tcPr>
          <w:p w14:paraId="1E54933F" w14:textId="79DB44F5"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.11</w:t>
            </w:r>
          </w:p>
        </w:tc>
      </w:tr>
    </w:tbl>
    <w:bookmarkEnd w:id="1"/>
    <w:p w14:paraId="447A1762" w14:textId="77777777" w:rsidR="007D4596" w:rsidRPr="000B0CA8" w:rsidRDefault="007D4596" w:rsidP="007D4596">
      <w:pPr>
        <w:rPr>
          <w:rFonts w:ascii="Times New Roman" w:eastAsia="DengXian" w:hAnsi="Times New Roman" w:cs="Times New Roman"/>
          <w:b/>
          <w:sz w:val="20"/>
          <w:szCs w:val="20"/>
        </w:rPr>
      </w:pPr>
      <w:r w:rsidRPr="000B0CA8">
        <w:rPr>
          <w:rFonts w:ascii="Times New Roman" w:hAnsi="Times New Roman"/>
          <w:b/>
          <w:sz w:val="20"/>
          <w:szCs w:val="20"/>
        </w:rPr>
        <w:t>Callers:</w:t>
      </w:r>
    </w:p>
    <w:p w14:paraId="2C2799C8" w14:textId="7CA2FA2E" w:rsidR="006F0496" w:rsidRPr="0067524A" w:rsidRDefault="006F0496" w:rsidP="0067524A">
      <w:pPr>
        <w:pStyle w:val="af4"/>
        <w:keepNext/>
        <w:jc w:val="center"/>
        <w:rPr>
          <w:b/>
          <w:bCs/>
          <w:color w:val="FF0000"/>
          <w:szCs w:val="18"/>
        </w:rPr>
      </w:pPr>
      <w:r w:rsidRPr="0067524A">
        <w:rPr>
          <w:rFonts w:ascii="Arial" w:hAnsi="Arial" w:cs="Arial"/>
          <w:b/>
          <w:bCs/>
          <w:color w:val="FF0000"/>
          <w:sz w:val="18"/>
          <w:szCs w:val="18"/>
        </w:rPr>
        <w:t xml:space="preserve">Table </w:t>
      </w:r>
      <w:r w:rsidRPr="0067524A">
        <w:rPr>
          <w:rFonts w:ascii="Arial" w:hAnsi="Arial" w:cs="Arial"/>
          <w:b/>
          <w:bCs/>
          <w:color w:val="FF0000"/>
          <w:sz w:val="18"/>
          <w:szCs w:val="18"/>
        </w:rPr>
        <w:fldChar w:fldCharType="begin"/>
      </w:r>
      <w:r w:rsidRPr="0067524A">
        <w:rPr>
          <w:rFonts w:ascii="Arial" w:hAnsi="Arial" w:cs="Arial"/>
          <w:b/>
          <w:bCs/>
          <w:color w:val="FF0000"/>
          <w:sz w:val="18"/>
          <w:szCs w:val="18"/>
        </w:rPr>
        <w:instrText xml:space="preserve"> SEQ Table \* ARABIC </w:instrText>
      </w:r>
      <w:r w:rsidRPr="0067524A">
        <w:rPr>
          <w:rFonts w:ascii="Arial" w:hAnsi="Arial" w:cs="Arial"/>
          <w:b/>
          <w:bCs/>
          <w:color w:val="FF0000"/>
          <w:sz w:val="18"/>
          <w:szCs w:val="18"/>
        </w:rPr>
        <w:fldChar w:fldCharType="separate"/>
      </w:r>
      <w:r w:rsidR="00F455C2" w:rsidRPr="0067524A">
        <w:rPr>
          <w:rFonts w:ascii="Arial" w:hAnsi="Arial" w:cs="Arial"/>
          <w:b/>
          <w:bCs/>
          <w:noProof/>
          <w:color w:val="FF0000"/>
          <w:sz w:val="18"/>
          <w:szCs w:val="18"/>
        </w:rPr>
        <w:t>3</w:t>
      </w:r>
      <w:r w:rsidRPr="0067524A">
        <w:rPr>
          <w:rFonts w:ascii="Arial" w:hAnsi="Arial" w:cs="Arial"/>
          <w:b/>
          <w:bCs/>
          <w:color w:val="FF0000"/>
          <w:sz w:val="18"/>
          <w:szCs w:val="18"/>
        </w:rPr>
        <w:fldChar w:fldCharType="end"/>
      </w:r>
      <w:r w:rsidRPr="0067524A">
        <w:rPr>
          <w:rFonts w:ascii="Arial" w:hAnsi="Arial" w:cs="Arial"/>
          <w:b/>
          <w:bCs/>
          <w:color w:val="FF0000"/>
          <w:sz w:val="18"/>
          <w:szCs w:val="18"/>
        </w:rPr>
        <w:t xml:space="preserve">. </w:t>
      </w:r>
      <w:r w:rsidR="00F455C2" w:rsidRPr="0067524A">
        <w:rPr>
          <w:rFonts w:ascii="Arial" w:hAnsi="Arial" w:cs="Arial"/>
          <w:b/>
          <w:bCs/>
          <w:color w:val="FF0000"/>
          <w:sz w:val="18"/>
          <w:szCs w:val="18"/>
        </w:rPr>
        <w:t xml:space="preserve">SV calling tools </w:t>
      </w:r>
      <w:r w:rsidR="00B26ED5" w:rsidRPr="0067524A">
        <w:rPr>
          <w:rFonts w:ascii="Arial" w:hAnsi="Arial" w:cs="Arial"/>
          <w:b/>
          <w:bCs/>
          <w:color w:val="FF0000"/>
          <w:sz w:val="18"/>
          <w:szCs w:val="18"/>
        </w:rPr>
        <w:t>and versions</w:t>
      </w:r>
    </w:p>
    <w:tbl>
      <w:tblPr>
        <w:tblStyle w:val="a9"/>
        <w:tblW w:w="3328" w:type="pct"/>
        <w:jc w:val="center"/>
        <w:tblInd w:w="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3225"/>
        <w:gridCol w:w="572"/>
        <w:gridCol w:w="1731"/>
      </w:tblGrid>
      <w:tr w:rsidR="007D4596" w:rsidRPr="000B0CA8" w14:paraId="4BF14E6C" w14:textId="77777777" w:rsidTr="0067524A">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917" w:type="pct"/>
            <w:tcBorders>
              <w:top w:val="single" w:sz="6" w:space="0" w:color="auto"/>
              <w:left w:val="nil"/>
              <w:bottom w:val="single" w:sz="6" w:space="0" w:color="auto"/>
              <w:right w:val="nil"/>
            </w:tcBorders>
            <w:shd w:val="clear" w:color="auto" w:fill="auto"/>
            <w:vAlign w:val="center"/>
            <w:hideMark/>
          </w:tcPr>
          <w:p w14:paraId="1ADFEB09" w14:textId="33BD7D04" w:rsidR="007D4596" w:rsidRPr="000B0CA8" w:rsidRDefault="007D4596" w:rsidP="00D555AA">
            <w:pPr>
              <w:spacing w:line="240" w:lineRule="exact"/>
              <w:jc w:val="center"/>
              <w:rPr>
                <w:rFonts w:ascii="Times New Roman" w:hAnsi="Times New Roman"/>
                <w:b w:val="0"/>
                <w:color w:val="000000"/>
                <w:sz w:val="16"/>
                <w:szCs w:val="16"/>
              </w:rPr>
            </w:pPr>
            <w:r w:rsidRPr="000B0CA8">
              <w:rPr>
                <w:rFonts w:ascii="Times New Roman" w:hAnsi="Times New Roman" w:cs="Times New Roman"/>
                <w:color w:val="000000" w:themeColor="text1"/>
                <w:sz w:val="16"/>
                <w:szCs w:val="16"/>
              </w:rPr>
              <w:t>Name</w:t>
            </w:r>
          </w:p>
        </w:tc>
        <w:tc>
          <w:tcPr>
            <w:tcW w:w="517" w:type="pct"/>
            <w:tcBorders>
              <w:top w:val="single" w:sz="6" w:space="0" w:color="auto"/>
              <w:left w:val="nil"/>
              <w:bottom w:val="single" w:sz="6" w:space="0" w:color="auto"/>
              <w:right w:val="nil"/>
            </w:tcBorders>
            <w:shd w:val="clear" w:color="auto" w:fill="auto"/>
            <w:vAlign w:val="center"/>
            <w:hideMark/>
          </w:tcPr>
          <w:p w14:paraId="1B488958" w14:textId="36CF32E7" w:rsidR="007D4596" w:rsidRPr="000B0CA8" w:rsidRDefault="007D4596"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rPr>
              <w:t>Time</w:t>
            </w:r>
          </w:p>
        </w:tc>
        <w:tc>
          <w:tcPr>
            <w:tcW w:w="1566" w:type="pct"/>
            <w:tcBorders>
              <w:top w:val="single" w:sz="6" w:space="0" w:color="auto"/>
              <w:left w:val="nil"/>
              <w:bottom w:val="single" w:sz="6" w:space="0" w:color="auto"/>
              <w:right w:val="nil"/>
            </w:tcBorders>
            <w:shd w:val="clear" w:color="auto" w:fill="auto"/>
            <w:vAlign w:val="center"/>
            <w:hideMark/>
          </w:tcPr>
          <w:p w14:paraId="48C9BCFA" w14:textId="51CD8DA3" w:rsidR="007D4596" w:rsidRPr="000B0CA8" w:rsidRDefault="007D4596"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rPr>
              <w:t>Version</w:t>
            </w:r>
          </w:p>
        </w:tc>
      </w:tr>
      <w:tr w:rsidR="007D4596" w:rsidRPr="000B0CA8" w14:paraId="7D9C643B"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14741BA2" w14:textId="2A637DE7"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hint="eastAsia"/>
                <w:sz w:val="16"/>
                <w:szCs w:val="16"/>
              </w:rPr>
              <w:t>cuteSV</w:t>
            </w:r>
            <w:r w:rsidRPr="000B0CA8">
              <w:rPr>
                <w:rFonts w:ascii="Times New Roman" w:hAnsi="Times New Roman" w:cs="Times New Roman"/>
                <w:sz w:val="16"/>
                <w:szCs w:val="16"/>
              </w:rPr>
              <w:t>2</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{"citationID":"vXDGU9kQ","properties":{"formattedCitation":"\\super 14\\nosupersub{}","plainCitation":"14","noteIndex":0},"citationItems":[{"id":266,"uris":["http://zotero.org/users/local/isDXystY/items/RHU7ZBLA"],"itemData":{"id":266,"type":"article-journal","abstract":"Structural Variation (SV) represents genomic rearrangements and is strongly associated with human health and disease. Recently, long-read sequencing technologies provide the opportunity to more comprehensive identification of SVs at an ever-high resolution. However, under the circumstance of high sequencing errors and the complexity of SVs, there remains lots of technical issues to be settled. Hence, we propose cuteSV, a sensitive, fast, and scalable alignment-based SV detection approach to complete comprehensive discovery of diverse SVs. The benchmarking results indicate cuteSV is suitable for large-scale genome project since its excellent SV yields and ultra-fast speed. Here, we explain the overall framework for providing a detailed outline for users to apply cuteSV correctly and comprehensively. More details are available at https://github.com/tjiangHIT/cuteSV .","container-title":"Methods in Molecular Biology (Clifton, N.J.)","DOI":"10.1007/978-1-0716-2293-3_9","ISSN":"1940-6029","journalAbbreviation":"Methods Mol Biol","language":"eng","note":"PMID: 35751813","page":"137-151","source":"PubMed","title":"Structural Variant Detection from Long-Read Sequencing Data with cuteSV","volume":"2493","author":[{"family":"Jiang","given":"Tao"},{"family":"Liu","given":"Shiqi"},{"family":"Cao","given":"Shuqi"},{"family":"Wang","given":"Yadong"}],"issued":{"date-parts":[["2022"]]}}}],"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14</w:t>
            </w:r>
            <w:r w:rsidR="004D51AF" w:rsidRPr="000B0CA8">
              <w:rPr>
                <w:rFonts w:ascii="Times New Roman" w:hAnsi="Times New Roman" w:cs="Times New Roman"/>
                <w:sz w:val="16"/>
                <w:szCs w:val="16"/>
              </w:rPr>
              <w:fldChar w:fldCharType="end"/>
            </w:r>
          </w:p>
        </w:tc>
        <w:tc>
          <w:tcPr>
            <w:tcW w:w="517" w:type="pct"/>
            <w:vAlign w:val="center"/>
            <w:hideMark/>
          </w:tcPr>
          <w:p w14:paraId="4554DEC2" w14:textId="3CA10C9E"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022</w:t>
            </w:r>
          </w:p>
        </w:tc>
        <w:tc>
          <w:tcPr>
            <w:tcW w:w="1566" w:type="pct"/>
            <w:vAlign w:val="center"/>
            <w:hideMark/>
          </w:tcPr>
          <w:p w14:paraId="63F28833" w14:textId="59823802"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2.0.3</w:t>
            </w:r>
          </w:p>
        </w:tc>
      </w:tr>
      <w:tr w:rsidR="007D4596" w:rsidRPr="000B0CA8" w14:paraId="65CBB686"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73BE13CE" w14:textId="0D93BE0E"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DeBreak</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{"citationID":"NCT5VbQl","properties":{"formattedCitation":"\\super 15\\nosupersub{}","plainCitation":"15","noteIndex":0},"citationItems":[{"id":267,"uris":["http://zotero.org/users/local/isDXystY/items/9WRUBNB3"],"itemData":{"id":267,"type":"article-journal","abstract":"Long-read sequencing has demonstrated great potential for characterizing all types of structural variations (SVs). However, existing algorithms have insufficient sensitivity and precision. To address these limitations, we present DeBreak, a computational method for comprehensive and accurate SV discovery. Based on alignment results, DeBreak employs a density-based approach for clustering SV candidates together with a local de novo assembly approach for reconstructing long insertions. A partial order alignment algorithm ensures precise SV breakpoints with single base-pair resolution, and a k-means clustering method can report multi-allele SV events. DeBreak outperforms existing tools on both simulated and real long-read sequencing data from both PacBio and Nanopore platforms. An important application of DeBreak is analyzing cancer genomes for potentially tumor-driving SVs. DeBreak can also be used for supplementing whole-genome assembly-based SV discovery.","container-title":"Nature Communications","DOI":"10.1038/s41467-023-35996-1","ISSN":"2041-1723","issue":"1","journalAbbreviation":"Nat Commun","language":"eng","note":"PMID: 36650186\nPMCID: PMC9845341","page":"283","source":"PubMed","title":"Deciphering the exact breakpoints of structural variations using long sequencing reads with DeBreak","volume":"14","author":[{"family":"Chen","given":"Yu"},{"family":"Wang","given":"Amy Y."},{"family":"Barkley","given":"Courtney A."},{"family":"Zhang","given":"Yixin"},{"family":"Zhao","given":"Xinyang"},{"family":"Gao","given":"Min"},{"family":"Edmonds","given":"Mick D."},{"family":"Chong","given":"Zechen"}],"issued":{"date-parts":[["2023",1,17]]}}}],"schema":"https://github.com/citation-style-language/schema/raw/master/csl-citation.json"}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15</w:t>
            </w:r>
            <w:r w:rsidR="004D51AF" w:rsidRPr="000B0CA8">
              <w:rPr>
                <w:rFonts w:ascii="Times New Roman" w:hAnsi="Times New Roman" w:cs="Times New Roman"/>
                <w:sz w:val="16"/>
                <w:szCs w:val="16"/>
              </w:rPr>
              <w:fldChar w:fldCharType="end"/>
            </w:r>
          </w:p>
        </w:tc>
        <w:tc>
          <w:tcPr>
            <w:tcW w:w="517" w:type="pct"/>
            <w:vAlign w:val="center"/>
            <w:hideMark/>
          </w:tcPr>
          <w:p w14:paraId="5E0AC716" w14:textId="43C11449"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022</w:t>
            </w:r>
          </w:p>
        </w:tc>
        <w:tc>
          <w:tcPr>
            <w:tcW w:w="1566" w:type="pct"/>
            <w:vAlign w:val="center"/>
            <w:hideMark/>
          </w:tcPr>
          <w:p w14:paraId="5E847D91" w14:textId="24BBB53C"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.0.2</w:t>
            </w:r>
          </w:p>
        </w:tc>
      </w:tr>
      <w:tr w:rsidR="007D4596" w:rsidRPr="000B0CA8" w14:paraId="5987FEE1"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53261A3B" w14:textId="0E085530"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DELLY</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{"citationID":"5BUbr43V","properties":{"formattedCitation":"\\super 16\\nosupersub{}","plainCitation":"16","noteIndex":0},"citationItems":[{"id":268,"uris":["http://zotero.org/users/local/isDXystY/items/E7M2J8PT"],"itemData":{"id":268,"type":"article-journal","abstract":"MOTIVATION: The discovery of genomic structural variants (SVs) at high sensitivity and specificity is an essential requirement for characterizing naturally occurring variation and for understanding pathological somatic rearrangements in personal genome sequencing data. Of particular interest are integrated methods that accurately identify simple and complex rearrangements in heterogeneous sequencing datasets at single-nucleotide resolution, as an optimal basis for investigating the formation mechanisms and functional consequences of SVs.\nRESULTS: We have developed an SV discovery method, called DELLY, that integrates short insert paired-ends, long-range mate-pairs and split-read alignments to accurately delineate genomic rearrangements at single-nucleotide resolution. DELLY is suitable for detecting copy-number variable deletion and tandem duplication events as well as balanced rearrangements such as inversions or reciprocal translocations. DELLY, thus, enables to ascertain the full spectrum of genomic rearrangements, including complex events. On simulated data, DELLY compares favorably to other SV prediction methods across a wide range of sequencing parameters. On real data, DELLY reliably uncovers SVs from the 1000 Genomes Project and cancer genomes, and validation experiments of randomly selected deletion loci show a high specificity.\nAVAILABILITY: DELLY is available at www.korbel.embl.de/software.html\nCONTACT: tobias.rausch@embl.de.","container-title":"Bioinformatics (Oxford, England)","DOI":"10.1093/bioinformatics/bts378","ISSN":"1367-4811","issue":"18","journalAbbreviation":"Bioinformatics","language":"eng","note":"PMID: 22962449\nPMCID: PMC3436805","page":"i333-i339","source":"PubMed","title":"DELLY: structural variant discovery by integrated paired-end and split-read analysis","title-short":"DELLY","volume":"28","author":[{"family":"Rausch","given":"Tobias"},{"family":"Zichner","given":"Thomas"},{"family":"Schlattl","given":"Andreas"},{"family":"Stütz","given":"Adrian M."},{"family":"Benes","given":"Vladimir"},{"family":"Korbel","given":"Jan O."}],"issued":{"date-parts":[["2012",9,15]]}}}],"schema":"https://github.com/citation-style-language/schema/raw/master/csl-citation.json"}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16</w:t>
            </w:r>
            <w:r w:rsidR="004D51AF" w:rsidRPr="000B0CA8">
              <w:rPr>
                <w:rFonts w:ascii="Times New Roman" w:hAnsi="Times New Roman" w:cs="Times New Roman"/>
                <w:sz w:val="16"/>
                <w:szCs w:val="16"/>
              </w:rPr>
              <w:fldChar w:fldCharType="end"/>
            </w:r>
          </w:p>
        </w:tc>
        <w:tc>
          <w:tcPr>
            <w:tcW w:w="517" w:type="pct"/>
            <w:vAlign w:val="center"/>
            <w:hideMark/>
          </w:tcPr>
          <w:p w14:paraId="77C92452" w14:textId="26D8732C"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012</w:t>
            </w:r>
          </w:p>
        </w:tc>
        <w:tc>
          <w:tcPr>
            <w:tcW w:w="1566" w:type="pct"/>
            <w:vAlign w:val="center"/>
            <w:hideMark/>
          </w:tcPr>
          <w:p w14:paraId="7A83444A" w14:textId="6BAE2169"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0</w:t>
            </w:r>
            <w:r w:rsidRPr="000B0CA8">
              <w:rPr>
                <w:rFonts w:ascii="Times New Roman" w:hAnsi="Times New Roman" w:cs="Times New Roman"/>
                <w:sz w:val="16"/>
                <w:szCs w:val="16"/>
              </w:rPr>
              <w:t>.8.1</w:t>
            </w:r>
          </w:p>
        </w:tc>
      </w:tr>
      <w:tr w:rsidR="007D4596" w:rsidRPr="000B0CA8" w14:paraId="541DD786"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5149EBE2" w14:textId="62CA18E2"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NanoVar</w:t>
            </w:r>
            <w:r w:rsidR="004D51AF" w:rsidRPr="000B0CA8">
              <w:rPr>
                <w:rFonts w:asciiTheme="minorEastAsia" w:hAnsiTheme="minorEastAsia" w:cs="Times New Roman"/>
                <w:sz w:val="16"/>
                <w:szCs w:val="16"/>
              </w:rPr>
              <w:fldChar w:fldCharType="begin"/>
            </w:r>
            <w:r w:rsidR="004D51AF" w:rsidRPr="000B0CA8">
              <w:rPr>
                <w:rFonts w:asciiTheme="minorEastAsia" w:hAnsiTheme="minorEastAsia" w:cs="Times New Roman"/>
                <w:sz w:val="16"/>
                <w:szCs w:val="16"/>
              </w:rPr>
              <w:instrText xml:space="preserve"> ADDIN ZOTERO_ITEM CSL_CITATION {"citationID":"oxtCKttr","properties":{"formattedCitation":"\\super 17\\nosupersub{}","plainCitation":"17","noteIndex":0},"citationItems":[{"id":269,"uris":["http://zotero.org/users/local/isDXystY/items/P86B335X"],"itemData":{"id":269,"type":"article-journal","abstract":"The recent advent of third-generation sequencing technologies brings promise for better characterization of genomic structural variants by virtue of having longer reads. However, long-read applications are still constrained by their high sequencing error rates and low sequencing throughput. Here, we present NanoVar, an optimized structural variant caller utilizing low-depth (8X) whole-genome sequencing data generated by Oxford Nanopore Technologies. NanoVar exhibits higher structural variant calling accuracy when benchmarked against current tools using low-depth simulated datasets. In patient samples, we successfully validate structural variants characterized by NanoVar and uncover normal alternative sequences or alleles which are present in healthy individuals.","container-title":"Genome Biology","DOI":"10.1186/s13059-020-01968-7","ISSN":"1474-760X","issue":"1","journalAbbreviation":"Genome Biol","language":"eng","note":"PMID: 32127024\nPMCID: PMC7055087","page":"56","source":"PubMed","title":"NanoVar: accurate characterization of patients' genomic structural variants using low-depth nanopore sequencing","title-short":"NanoVar","volume":"21","author":[{"family":"Tham","given":"Cheng Yong"},{"family":"Tirado-Magallanes","given":"Roberto"},{"family":"Goh","given":"Yufen"},{"family":"Fullwood","given":"Melissa J."},{"family":"Koh","given":"Bryan T. H."},{"family":"Wang","given":"Wilson"},{"family":"Ng","given":"Chin Hin"},{"family":"Chng","given":"Wee Joo"},{"family":"Thiery","given":"Alexandre"},{"family":"Tenen","given":"Daniel G."},{"family":"Benoukraf","given":"Touati"}],"issued":{"date-parts":[["2020",3,3]]}}}],"schema":"https://github.com/citation-style-language/schema/raw/master/csl-citation.json"} </w:instrText>
            </w:r>
            <w:r w:rsidR="004D51AF" w:rsidRPr="000B0CA8">
              <w:rPr>
                <w:rFonts w:asciiTheme="minorEastAsia" w:hAnsiTheme="minorEastAsia" w:cs="Times New Roman"/>
                <w:sz w:val="16"/>
                <w:szCs w:val="16"/>
              </w:rPr>
              <w:fldChar w:fldCharType="separate"/>
            </w:r>
            <w:r w:rsidR="004D51AF" w:rsidRPr="000B0CA8">
              <w:rPr>
                <w:rFonts w:ascii="DengXian" w:eastAsia="DengXian" w:hAnsi="DengXian" w:cs="Times New Roman"/>
                <w:sz w:val="16"/>
                <w:szCs w:val="28"/>
                <w:vertAlign w:val="superscript"/>
              </w:rPr>
              <w:t>17</w:t>
            </w:r>
            <w:r w:rsidR="004D51AF" w:rsidRPr="000B0CA8">
              <w:rPr>
                <w:rFonts w:asciiTheme="minorEastAsia" w:hAnsiTheme="minorEastAsia" w:cs="Times New Roman"/>
                <w:sz w:val="16"/>
                <w:szCs w:val="16"/>
              </w:rPr>
              <w:fldChar w:fldCharType="end"/>
            </w:r>
          </w:p>
        </w:tc>
        <w:tc>
          <w:tcPr>
            <w:tcW w:w="517" w:type="pct"/>
            <w:vAlign w:val="center"/>
            <w:hideMark/>
          </w:tcPr>
          <w:p w14:paraId="1BEB1765" w14:textId="1EB83A63"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020</w:t>
            </w:r>
          </w:p>
        </w:tc>
        <w:tc>
          <w:tcPr>
            <w:tcW w:w="1566" w:type="pct"/>
            <w:vAlign w:val="center"/>
            <w:hideMark/>
          </w:tcPr>
          <w:p w14:paraId="24ED2C73" w14:textId="7610C000"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.3.2</w:t>
            </w:r>
          </w:p>
        </w:tc>
      </w:tr>
      <w:tr w:rsidR="007D4596" w:rsidRPr="000B0CA8" w14:paraId="1335ECC8"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17E20CAB" w14:textId="611E54C8"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hint="eastAsia"/>
                <w:sz w:val="16"/>
                <w:szCs w:val="16"/>
              </w:rPr>
              <w:t>NanoS</w:t>
            </w:r>
            <w:r w:rsidRPr="000B0CA8">
              <w:rPr>
                <w:rFonts w:ascii="Times New Roman" w:hAnsi="Times New Roman" w:cs="Times New Roman"/>
                <w:sz w:val="16"/>
                <w:szCs w:val="16"/>
              </w:rPr>
              <w:t>V</w:t>
            </w:r>
            <w:r w:rsidR="004D51AF" w:rsidRPr="000B0CA8">
              <w:rPr>
                <w:rFonts w:ascii="Times New Roman" w:hAnsi="Times New Roman" w:cs="Times New Roman"/>
                <w:sz w:val="16"/>
                <w:szCs w:val="16"/>
              </w:rPr>
              <w:fldChar w:fldCharType="begin"/>
            </w:r>
            <w:r w:rsidR="004D51AF" w:rsidRPr="000B0CA8">
              <w:rPr>
                <w:rFonts w:ascii="Times New Roman" w:hAnsi="Times New Roman" w:cs="Times New Roman"/>
                <w:sz w:val="16"/>
                <w:szCs w:val="16"/>
              </w:rPr>
              <w:instrText xml:space="preserve"> ADDIN ZOTERO_ITEM CSL_CITATION {"citationID":"SOPW9vpy","properties":{"formattedCitation":"\\super 18\\nosupersub{}","plainCitation":"18","noteIndex":0},"citationItems":[{"id":270,"uris":["http://zotero.org/users/local/isDXystY/items/D274XXQ3"],"itemData":{"id":270,"type":"article-journal","abstract":"Despite improvements in genomics technology, the detection of structural variants (SVs) from short-read sequencing still poses challenges, particularly for complex variation. Here we analyse the genomes of two patients with congenital abnormalities using the MinION nanopore sequencer and a novel computational pipeline-NanoSV. We demonstrate that nanopore long reads are superior to short reads with regard to detection of de novo chromothripsis rearrangements. The long reads also enable efficient phasing of genetic variations, which we leveraged to determine the parental origin of all de novo chromothripsis breakpoints and to resolve the structure of these complex rearrangements. Additionally, genome-wide surveillance of inherited SVs reveals novel variants, missed in short-read data sets, a large proportion of which are retrotransposon insertions. We provide a first exploration of patient genome sequencing with a nanopore sequencer and demonstrate the value of long-read sequencing in mapping and phasing of SVs for both clinical and research applications.","container-title":"Nature Communications","DOI":"10.1038/s41467-017-01343-4","ISSN":"2041-1723","issue":"1","journalAbbreviation":"Nat Commun","language":"eng","note":"PMID: 29109544\nPMCID: PMC5673902","page":"1326","source":"PubMed","title":"Mapping and phasing of structural variation in patient genomes using nanopore sequencing","volume":"8","author":[{"family":"Cretu Stancu","given":"Mircea"},{"family":"Roosmalen","given":"Markus J.","non-dropping-particle":"van"},{"family":"Renkens","given":"Ivo"},{"family":"Nieboer","given":"Marleen M."},{"family":"Middelkamp","given":"Sjors"},{"family":"Ligt","given":"Joep","non-dropping-particle":"de"},{"family":"Pregno","given":"Giulia"},{"family":"Giachino","given":"Daniela"},{"family":"Mandrile","given":"Giorgia"},{"family":"Espejo Valle-Inclan","given":"Jose"},{"family":"Korzelius","given":"Jerome"},{"family":"Bruijn","given":"Ewart","non-dropping-particle":"de"},{"family":"Cuppen","given":"Edwin"},{"family":"Talkowski","given":"Michael E."},{"family":"Marschall","given":"Tobias"},{"family":"Ridder","given":"Jeroen","non-dropping-particle":"de"},{"family":"Kloosterman","given":"Wigard P."}],"issued":{"date-parts":[["2017",11,6]]}}}],"schema":"https://github.com/citation-style-language/schema/raw/master/csl-citation.json"} </w:instrText>
            </w:r>
            <w:r w:rsidR="004D51AF" w:rsidRPr="000B0CA8">
              <w:rPr>
                <w:rFonts w:ascii="Times New Roman" w:hAnsi="Times New Roman" w:cs="Times New Roman"/>
                <w:sz w:val="16"/>
                <w:szCs w:val="16"/>
              </w:rPr>
              <w:fldChar w:fldCharType="separate"/>
            </w:r>
            <w:r w:rsidR="004D51AF" w:rsidRPr="000B0CA8">
              <w:rPr>
                <w:rFonts w:ascii="Times New Roman" w:hAnsi="Times New Roman" w:cs="Times New Roman"/>
                <w:sz w:val="16"/>
                <w:szCs w:val="28"/>
                <w:vertAlign w:val="superscript"/>
              </w:rPr>
              <w:t>18</w:t>
            </w:r>
            <w:r w:rsidR="004D51AF" w:rsidRPr="000B0CA8">
              <w:rPr>
                <w:rFonts w:ascii="Times New Roman" w:hAnsi="Times New Roman" w:cs="Times New Roman"/>
                <w:sz w:val="16"/>
                <w:szCs w:val="16"/>
              </w:rPr>
              <w:fldChar w:fldCharType="end"/>
            </w:r>
          </w:p>
        </w:tc>
        <w:tc>
          <w:tcPr>
            <w:tcW w:w="517" w:type="pct"/>
            <w:vAlign w:val="center"/>
            <w:hideMark/>
          </w:tcPr>
          <w:p w14:paraId="560CBF8E" w14:textId="771E28F6"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017</w:t>
            </w:r>
          </w:p>
        </w:tc>
        <w:tc>
          <w:tcPr>
            <w:tcW w:w="1566" w:type="pct"/>
            <w:vAlign w:val="center"/>
            <w:hideMark/>
          </w:tcPr>
          <w:p w14:paraId="421D96B5" w14:textId="05CD5D95"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.2.4</w:t>
            </w:r>
          </w:p>
        </w:tc>
      </w:tr>
      <w:tr w:rsidR="00F24674" w:rsidRPr="000B0CA8" w14:paraId="18AA7EA9" w14:textId="77777777" w:rsidTr="0067524A">
        <w:trPr>
          <w:trHeight w:val="35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7EC1CB3B" w14:textId="77777777" w:rsidR="00F24674" w:rsidRPr="000B0CA8" w:rsidRDefault="00F24674" w:rsidP="00D555AA">
            <w:pPr>
              <w:spacing w:line="240" w:lineRule="exact"/>
              <w:jc w:val="center"/>
              <w:rPr>
                <w:rFonts w:ascii="Times New Roman" w:hAnsi="Times New Roman"/>
                <w:b w:val="0"/>
                <w:bCs w:val="0"/>
                <w:sz w:val="16"/>
                <w:szCs w:val="16"/>
              </w:rPr>
            </w:pPr>
            <w:r w:rsidRPr="000B0CA8">
              <w:rPr>
                <w:rFonts w:ascii="Times New Roman" w:hAnsi="Times New Roman" w:cs="Times New Roman"/>
                <w:sz w:val="16"/>
                <w:szCs w:val="16"/>
              </w:rPr>
              <w:t>pbsv</w:t>
            </w:r>
          </w:p>
          <w:p w14:paraId="16C96B35" w14:textId="6B9E979C" w:rsidR="00F24674" w:rsidRPr="000B0CA8" w:rsidRDefault="00F24674" w:rsidP="00D555AA">
            <w:pPr>
              <w:spacing w:line="240" w:lineRule="exact"/>
              <w:jc w:val="center"/>
              <w:rPr>
                <w:rFonts w:ascii="Times New Roman" w:hAnsi="Times New Roman"/>
                <w:sz w:val="16"/>
                <w:szCs w:val="16"/>
              </w:rPr>
            </w:pPr>
            <w:r w:rsidRPr="000B0CA8">
              <w:rPr>
                <w:rFonts w:ascii="Times New Roman" w:hAnsi="Times New Roman" w:cs="Times New Roman" w:hint="eastAsia"/>
                <w:sz w:val="16"/>
                <w:szCs w:val="16"/>
              </w:rPr>
              <w:t>(</w:t>
            </w:r>
            <w:r w:rsidRPr="000B0CA8">
              <w:rPr>
                <w:rFonts w:ascii="Times New Roman" w:hAnsi="Times New Roman" w:cs="Times New Roman"/>
                <w:sz w:val="16"/>
                <w:szCs w:val="16"/>
              </w:rPr>
              <w:t>https://github.com/PacificBiosciences/pbsv)</w:t>
            </w:r>
          </w:p>
        </w:tc>
        <w:tc>
          <w:tcPr>
            <w:tcW w:w="517" w:type="pct"/>
            <w:vAlign w:val="center"/>
            <w:hideMark/>
          </w:tcPr>
          <w:p w14:paraId="48228CB9" w14:textId="58B8980C" w:rsidR="00F24674" w:rsidRPr="000B0CA8" w:rsidRDefault="00F2467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017</w:t>
            </w:r>
          </w:p>
        </w:tc>
        <w:tc>
          <w:tcPr>
            <w:tcW w:w="1566" w:type="pct"/>
            <w:vAlign w:val="center"/>
            <w:hideMark/>
          </w:tcPr>
          <w:p w14:paraId="707D5F15" w14:textId="75269CB7" w:rsidR="00F24674" w:rsidRPr="000B0CA8" w:rsidRDefault="00F2467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.3.0</w:t>
            </w:r>
          </w:p>
        </w:tc>
      </w:tr>
      <w:tr w:rsidR="007D4596" w:rsidRPr="000B0CA8" w14:paraId="0FDA5FC1"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5FC9EB84" w14:textId="4386B5FF"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Picky</w:t>
            </w:r>
            <w:r w:rsidR="00412C0D" w:rsidRPr="000B0CA8">
              <w:rPr>
                <w:rFonts w:ascii="Times New Roman" w:hAnsi="Times New Roman" w:cs="Times New Roman"/>
                <w:sz w:val="16"/>
                <w:szCs w:val="16"/>
              </w:rPr>
              <w:fldChar w:fldCharType="begin"/>
            </w:r>
            <w:r w:rsidR="00412C0D" w:rsidRPr="000B0CA8">
              <w:rPr>
                <w:rFonts w:ascii="Times New Roman" w:hAnsi="Times New Roman" w:cs="Times New Roman"/>
                <w:sz w:val="16"/>
                <w:szCs w:val="16"/>
              </w:rPr>
              <w:instrText xml:space="preserve"> ADDIN ZOTERO_ITEM CSL_CITATION {"citationID":"U9vCbYwd","properties":{"formattedCitation":"\\super 19\\nosupersub{}","plainCitation":"19","noteIndex":0},"citationItems":[{"id":271,"uris":["http://zotero.org/users/local/isDXystY/items/7J3A7PCL"],"itemData":{"id":271,"type":"article-journal","abstract":"Acquired genomic structural variants (SVs) are major hallmarks of cancer genomes, but they are challenging to reconstruct from short-read sequencing data. Here we exploited the long reads of the nanopore platform using our customized pipeline, Picky ( https://github.com/TheJacksonLaboratory/Picky ), to reveal SVs of diverse architecture in a breast cancer model. We identified the full spectrum of SVs with superior specificity and sensitivity relative to short-read analyses, and uncovered repetitive DNA as the major source of variation. Examination of genome-wide breakpoints at nucleotide resolution uncovered micro-insertions as the common structural features associated with SVs. Breakpoint density across the genome is associated with the propensity for interchromosomal connectivity and was found to be enriched in promoters and transcribed regions of the genome. Furthermore, we observed an over-representation of reciprocal translocations from chromosomal double-crossovers through phased SVs. We demonstrate that Picky analysis is an effective tool for comprehensive detection of SVs in cancer genomes from long-read data.","container-title":"Nature Methods","DOI":"10.1038/s41592-018-0002-6","ISSN":"1548-7105","issue":"6","journalAbbreviation":"Nat Methods","language":"eng","note":"PMID: 29713081\nPMCID: PMC5990454","page":"455-460","source":"PubMed","title":"Picky comprehensively detects high-resolution structural variants in nanopore long reads","volume":"15","author":[{"family":"Gong","given":"Liang"},{"family":"Wong","given":"Chee-Hong"},{"family":"Cheng","given":"Wei-Chung"},{"family":"Tjong","given":"Harianto"},{"family":"Menghi","given":"Francesca"},{"family":"Ngan","given":"Chew Yee"},{"family":"Liu","given":"Edison T."},{"family":"Wei","given":"Chia-Lin"}],"issued":{"date-parts":[["2018",6]]}}}],"schema":"https://github.com/citation-style-language/schema/raw/master/csl-citation.json"} </w:instrText>
            </w:r>
            <w:r w:rsidR="00412C0D" w:rsidRPr="000B0CA8">
              <w:rPr>
                <w:rFonts w:ascii="Times New Roman" w:hAnsi="Times New Roman" w:cs="Times New Roman"/>
                <w:sz w:val="16"/>
                <w:szCs w:val="16"/>
              </w:rPr>
              <w:fldChar w:fldCharType="separate"/>
            </w:r>
            <w:r w:rsidR="00412C0D" w:rsidRPr="000B0CA8">
              <w:rPr>
                <w:rFonts w:ascii="Times New Roman" w:hAnsi="Times New Roman" w:cs="Times New Roman"/>
                <w:sz w:val="16"/>
                <w:szCs w:val="28"/>
                <w:vertAlign w:val="superscript"/>
              </w:rPr>
              <w:t>19</w:t>
            </w:r>
            <w:r w:rsidR="00412C0D" w:rsidRPr="000B0CA8">
              <w:rPr>
                <w:rFonts w:ascii="Times New Roman" w:hAnsi="Times New Roman" w:cs="Times New Roman"/>
                <w:sz w:val="16"/>
                <w:szCs w:val="16"/>
              </w:rPr>
              <w:fldChar w:fldCharType="end"/>
            </w:r>
          </w:p>
        </w:tc>
        <w:tc>
          <w:tcPr>
            <w:tcW w:w="517" w:type="pct"/>
            <w:vAlign w:val="center"/>
            <w:hideMark/>
          </w:tcPr>
          <w:p w14:paraId="605D03CA" w14:textId="7FD77C7B"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018</w:t>
            </w:r>
          </w:p>
        </w:tc>
        <w:tc>
          <w:tcPr>
            <w:tcW w:w="1566" w:type="pct"/>
            <w:vAlign w:val="center"/>
            <w:hideMark/>
          </w:tcPr>
          <w:p w14:paraId="6B67383E" w14:textId="1AA74845"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0</w:t>
            </w:r>
            <w:r w:rsidRPr="000B0CA8">
              <w:rPr>
                <w:rFonts w:ascii="Times New Roman" w:hAnsi="Times New Roman" w:cs="Times New Roman"/>
                <w:sz w:val="16"/>
                <w:szCs w:val="16"/>
              </w:rPr>
              <w:t>.2.a</w:t>
            </w:r>
          </w:p>
        </w:tc>
      </w:tr>
      <w:tr w:rsidR="007D4596" w:rsidRPr="000B0CA8" w14:paraId="6236FB96"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vAlign w:val="center"/>
            <w:hideMark/>
          </w:tcPr>
          <w:p w14:paraId="25CC35E0" w14:textId="7E39AB0E"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Sniffles2</w:t>
            </w:r>
            <w:r w:rsidR="00412C0D" w:rsidRPr="000B0CA8">
              <w:rPr>
                <w:rFonts w:ascii="Times New Roman" w:hAnsi="Times New Roman" w:cs="Times New Roman"/>
                <w:sz w:val="16"/>
                <w:szCs w:val="16"/>
              </w:rPr>
              <w:fldChar w:fldCharType="begin"/>
            </w:r>
            <w:r w:rsidR="00412C0D" w:rsidRPr="000B0CA8">
              <w:rPr>
                <w:rFonts w:ascii="Times New Roman" w:hAnsi="Times New Roman" w:cs="Times New Roman"/>
                <w:sz w:val="16"/>
                <w:szCs w:val="16"/>
              </w:rPr>
              <w:instrText xml:space="preserve"> ADDIN ZOTERO_ITEM CSL_CITATION {"citationID":"fU476fsI","properties":{"formattedCitation":"\\super 20\\nosupersub{}","plainCitation":"20","noteIndex":0},"citationItems":[{"id":272,"uris":["http://zotero.org/users/local/isDXystY/items/QG3NR4CW"],"itemData":{"id":272,"type":"article-journal","abstract":"Calling structural variations (SVs) is technically challenging, but using long reads remains the most accurate way to identify complex genomic alterations. Here we present Sniffles2, which improves over current methods by implementing a repeat aware clustering coupled with a fast consensus sequence and coverage-adaptive filtering. Sniffles2 is 11.8 times faster and 29% more accurate than state-of-the-art SV callers across different coverages (5-50×), sequencing technologies (ONT and HiFi) and SV types. Furthermore, Sniffles2 solves the problem of family-level to population-level SV calling to produce fully genotyped VCF files. Across 11 probands, we accurately identified causative SVs around MECP2, including highly complex alleles with three overlapping SVs. Sniffles2 also enables the detection of mosaic SVs in bulk long-read data. As a result, we identified multiple mosaic SVs in brain tissue from a patient with multiple system atrophy. The identified SV showed a remarkable diversity within the cingulate cortex, impacting both genes involved in neuron function and repetitive elements.","container-title":"Nature Biotechnology","DOI":"10.1038/s41587-023-02024-y","ISSN":"1546-1696","journalAbbreviation":"Nat Biotechnol","language":"eng","note":"PMID: 38168980\nPMCID: PMC11217151","source":"PubMed","title":"Detection of mosaic and population-level structural variants with Sniffles2","author":[{"family":"Smolka","given":"Moritz"},{"family":"Paulin","given":"Luis F."},{"family":"Grochowski","given":"Christopher M."},{"family":"Horner","given":"Dominic W."},{"family":"Mahmoud","given":"Medhat"},{"family":"Behera","given":"Sairam"},{"family":"Kalef-Ezra","given":"Ester"},{"family":"Gandhi","given":"Mira"},{"family":"Hong","given":"Karl"},{"family":"Pehlivan","given":"Davut"},{"family":"Scholz","given":"Sonja W."},{"family":"Carvalho","given":"Claudia M. B."},{"family":"Proukakis","given":"Christos"},{"family":"Sedlazeck","given":"Fritz J."}],"issued":{"date-parts":[["2024",1,2]]}}}],"schema":"https://github.com/citation-style-language/schema/raw/master/csl-citation.json"} </w:instrText>
            </w:r>
            <w:r w:rsidR="00412C0D" w:rsidRPr="000B0CA8">
              <w:rPr>
                <w:rFonts w:ascii="Times New Roman" w:hAnsi="Times New Roman" w:cs="Times New Roman"/>
                <w:sz w:val="16"/>
                <w:szCs w:val="16"/>
              </w:rPr>
              <w:fldChar w:fldCharType="separate"/>
            </w:r>
            <w:r w:rsidR="00412C0D" w:rsidRPr="000B0CA8">
              <w:rPr>
                <w:rFonts w:ascii="Times New Roman" w:hAnsi="Times New Roman" w:cs="Times New Roman"/>
                <w:sz w:val="16"/>
                <w:szCs w:val="28"/>
                <w:vertAlign w:val="superscript"/>
              </w:rPr>
              <w:t>20</w:t>
            </w:r>
            <w:r w:rsidR="00412C0D" w:rsidRPr="000B0CA8">
              <w:rPr>
                <w:rFonts w:ascii="Times New Roman" w:hAnsi="Times New Roman" w:cs="Times New Roman"/>
                <w:sz w:val="16"/>
                <w:szCs w:val="16"/>
              </w:rPr>
              <w:fldChar w:fldCharType="end"/>
            </w:r>
          </w:p>
        </w:tc>
        <w:tc>
          <w:tcPr>
            <w:tcW w:w="517" w:type="pct"/>
            <w:vAlign w:val="center"/>
            <w:hideMark/>
          </w:tcPr>
          <w:p w14:paraId="263BA46C" w14:textId="3AE0ADD8"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022</w:t>
            </w:r>
          </w:p>
        </w:tc>
        <w:tc>
          <w:tcPr>
            <w:tcW w:w="1566" w:type="pct"/>
            <w:vAlign w:val="center"/>
            <w:hideMark/>
          </w:tcPr>
          <w:p w14:paraId="591F991A" w14:textId="5B6772DB"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2.2</w:t>
            </w:r>
          </w:p>
        </w:tc>
      </w:tr>
      <w:tr w:rsidR="007D4596" w:rsidRPr="000B0CA8" w14:paraId="75422009"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tcBorders>
              <w:bottom w:val="nil"/>
            </w:tcBorders>
            <w:vAlign w:val="center"/>
            <w:hideMark/>
          </w:tcPr>
          <w:p w14:paraId="725E8A39" w14:textId="78EEEACD"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SVIM</w:t>
            </w:r>
            <w:r w:rsidR="00412C0D" w:rsidRPr="000B0CA8">
              <w:rPr>
                <w:rFonts w:ascii="Times New Roman" w:hAnsi="Times New Roman" w:cs="Times New Roman"/>
                <w:sz w:val="16"/>
                <w:szCs w:val="16"/>
              </w:rPr>
              <w:fldChar w:fldCharType="begin"/>
            </w:r>
            <w:r w:rsidR="00412C0D" w:rsidRPr="000B0CA8">
              <w:rPr>
                <w:rFonts w:ascii="Times New Roman" w:hAnsi="Times New Roman" w:cs="Times New Roman"/>
                <w:sz w:val="16"/>
                <w:szCs w:val="16"/>
              </w:rPr>
              <w:instrText xml:space="preserve"> ADDIN ZOTERO_ITEM CSL_CITATION {"citationID":"J0261ca9","properties":{"formattedCitation":"\\super 21\\nosupersub{}","plainCitation":"21","noteIndex":0},"citationItems":[{"id":273,"uris":["http://zotero.org/users/local/isDXystY/items/98ZNWF2P"],"itemData":{"id":273,"type":"article-journal","abstract":"MOTIVATION: Structural variants are defined as genomic variants larger than 50 bp. They have been shown to affect more bases in any given genome than single-nucleotide polymorphisms or small insertions and deletions. Additionally, they have great impact on human phenotype and diversity and have been linked to numerous diseases. Due to their size and association with repeats, they are difficult to detect by shotgun sequencing, especially when based on short reads. Long read, single-molecule sequencing technologies like those offered by Pacific Biosciences or Oxford Nanopore Technologies produce reads with a length of several thousand base pairs. Despite the higher error rate and sequencing cost, long-read sequencing offers many advantages for the detection of structural variants. Yet, available software tools still do not fully exploit the possibilities.\nRESULTS: We present SVIM, a tool for the sensitive detection and precise characterization of structural variants from long-read data. SVIM consists of three components for the collection, clustering and combination of structural variant signatures from read alignments. It discriminates five different variant classes including similar types, such as tandem and interspersed duplications and novel element insertions. SVIM is unique in its capability of extracting both the genomic origin and destination of duplications. It compares favorably with existing tools in evaluations on simulated data and real datasets from Pacific Biosciences and Nanopore sequencing machines.\nAVAILABILITY AND IMPLEMENTATION: The source code and executables of SVIM are available on Github: github.com/eldariont/svim. SVIM has been implemented in Python 3 and published on bioconda and the Python Package Index.\nSUPPLEMENTARY INFORMATION: Supplementary data are available at Bioinformatics online.","container-title":"Bioinformatics (Oxford, England)","DOI":"10.1093/bioinformatics/btz041","ISSN":"1367-4811","issue":"17","journalAbbreviation":"Bioinformatics","language":"eng","note":"PMID: 30668829\nPMCID: PMC6735718","page":"2907-2915","source":"PubMed","title":"SVIM: structural variant identification using mapped long reads","title-short":"SVIM","volume":"35","author":[{"family":"Heller","given":"David"},{"family":"Vingron","given":"Martin"}],"issued":{"date-parts":[["2019",9,1]]}}}],"schema":"https://github.com/citation-style-language/schema/raw/master/csl-citation.json"} </w:instrText>
            </w:r>
            <w:r w:rsidR="00412C0D" w:rsidRPr="000B0CA8">
              <w:rPr>
                <w:rFonts w:ascii="Times New Roman" w:hAnsi="Times New Roman" w:cs="Times New Roman"/>
                <w:sz w:val="16"/>
                <w:szCs w:val="16"/>
              </w:rPr>
              <w:fldChar w:fldCharType="separate"/>
            </w:r>
            <w:r w:rsidR="00412C0D" w:rsidRPr="000B0CA8">
              <w:rPr>
                <w:rFonts w:ascii="Times New Roman" w:hAnsi="Times New Roman" w:cs="Times New Roman"/>
                <w:sz w:val="16"/>
                <w:szCs w:val="28"/>
                <w:vertAlign w:val="superscript"/>
              </w:rPr>
              <w:t>21</w:t>
            </w:r>
            <w:r w:rsidR="00412C0D" w:rsidRPr="000B0CA8">
              <w:rPr>
                <w:rFonts w:ascii="Times New Roman" w:hAnsi="Times New Roman" w:cs="Times New Roman"/>
                <w:sz w:val="16"/>
                <w:szCs w:val="16"/>
              </w:rPr>
              <w:fldChar w:fldCharType="end"/>
            </w:r>
          </w:p>
        </w:tc>
        <w:tc>
          <w:tcPr>
            <w:tcW w:w="517" w:type="pct"/>
            <w:tcBorders>
              <w:bottom w:val="nil"/>
            </w:tcBorders>
            <w:vAlign w:val="center"/>
            <w:hideMark/>
          </w:tcPr>
          <w:p w14:paraId="2FE999A7" w14:textId="42B2688C"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019</w:t>
            </w:r>
          </w:p>
        </w:tc>
        <w:tc>
          <w:tcPr>
            <w:tcW w:w="1566" w:type="pct"/>
            <w:tcBorders>
              <w:bottom w:val="nil"/>
            </w:tcBorders>
            <w:vAlign w:val="center"/>
            <w:hideMark/>
          </w:tcPr>
          <w:p w14:paraId="2FB8798E" w14:textId="2A1B6150"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.4.2</w:t>
            </w:r>
          </w:p>
        </w:tc>
      </w:tr>
      <w:tr w:rsidR="007D4596" w:rsidRPr="000B0CA8" w14:paraId="18A368EC" w14:textId="77777777" w:rsidTr="0067524A">
        <w:trPr>
          <w:trHeight w:val="170"/>
          <w:jc w:val="center"/>
        </w:trPr>
        <w:tc>
          <w:tcPr>
            <w:cnfStyle w:val="001000000000" w:firstRow="0" w:lastRow="0" w:firstColumn="1" w:lastColumn="0" w:oddVBand="0" w:evenVBand="0" w:oddHBand="0" w:evenHBand="0" w:firstRowFirstColumn="0" w:firstRowLastColumn="0" w:lastRowFirstColumn="0" w:lastRowLastColumn="0"/>
            <w:tcW w:w="2917" w:type="pct"/>
            <w:tcBorders>
              <w:top w:val="nil"/>
              <w:bottom w:val="single" w:sz="6" w:space="0" w:color="auto"/>
            </w:tcBorders>
            <w:vAlign w:val="center"/>
            <w:hideMark/>
          </w:tcPr>
          <w:p w14:paraId="04D40218" w14:textId="60D9691D" w:rsidR="007D4596" w:rsidRPr="000B0CA8" w:rsidRDefault="007D4596" w:rsidP="00D555AA">
            <w:pPr>
              <w:spacing w:line="240" w:lineRule="exact"/>
              <w:jc w:val="center"/>
              <w:rPr>
                <w:rFonts w:ascii="Times New Roman" w:hAnsi="Times New Roman"/>
                <w:sz w:val="16"/>
                <w:szCs w:val="16"/>
              </w:rPr>
            </w:pPr>
            <w:r w:rsidRPr="000B0CA8">
              <w:rPr>
                <w:rFonts w:ascii="Times New Roman" w:hAnsi="Times New Roman" w:cs="Times New Roman"/>
                <w:sz w:val="16"/>
                <w:szCs w:val="16"/>
              </w:rPr>
              <w:t>S</w:t>
            </w:r>
            <w:r w:rsidR="00F24674" w:rsidRPr="000B0CA8">
              <w:rPr>
                <w:rFonts w:ascii="Times New Roman" w:hAnsi="Times New Roman" w:cs="Times New Roman"/>
                <w:sz w:val="16"/>
                <w:szCs w:val="16"/>
              </w:rPr>
              <w:t>v</w:t>
            </w:r>
            <w:r w:rsidRPr="000B0CA8">
              <w:rPr>
                <w:rFonts w:ascii="Times New Roman" w:hAnsi="Times New Roman" w:cs="Times New Roman"/>
                <w:sz w:val="16"/>
                <w:szCs w:val="16"/>
              </w:rPr>
              <w:t>ision</w:t>
            </w:r>
            <w:r w:rsidR="00412C0D" w:rsidRPr="000B0CA8">
              <w:rPr>
                <w:rFonts w:ascii="Times New Roman" w:hAnsi="Times New Roman" w:cs="Times New Roman"/>
                <w:sz w:val="16"/>
                <w:szCs w:val="16"/>
              </w:rPr>
              <w:fldChar w:fldCharType="begin"/>
            </w:r>
            <w:r w:rsidR="00412C0D" w:rsidRPr="000B0CA8">
              <w:rPr>
                <w:rFonts w:ascii="Times New Roman" w:hAnsi="Times New Roman" w:cs="Times New Roman"/>
                <w:sz w:val="16"/>
                <w:szCs w:val="16"/>
              </w:rPr>
              <w:instrText xml:space="preserve"> ADDIN ZOTERO_ITEM CSL_CITATION {"citationID":"TkEcgkTI","properties":{"formattedCitation":"\\super 22\\nosupersub{}","plainCitation":"22","noteIndex":0},"citationItems":[{"id":274,"uris":["http://zotero.org/users/local/isDXystY/items/RUV2WNBC"],"itemData":{"id":274,"type":"article-journal","abstract":"Complex structural variants (CSVs) encompass multiple breakpoints and are often missed or misinterpreted. We developed SVision, a deep-learning-based multi-object-recognition framework, to automatically detect and haracterize CSVs from long-read sequencing data. SVision outperforms current callers at identifying the internal structure of complex events and has revealed 80 high-quality CSVs with 25 distinct structures from an individual genome. SVision directly detects CSVs without matching known structures, allowing sensitive detection of both common and previously uncharacterized complex rearrangements.","container-title":"Nature Methods","DOI":"10.1038/s41592-022-01609-w","ISSN":"1548-7105","issue":"10","journalAbbreviation":"Nat Methods","language":"eng","note":"PMID: 36109679\nPMCID: PMC9985066","page":"1230-1233","source":"PubMed","title":"SVision: a deep learning approach to resolve complex structural variants","title-short":"SVision","volume":"19","author":[{"family":"Lin","given":"Jiadong"},{"family":"Wang","given":"Songbo"},{"family":"Audano","given":"Peter A."},{"family":"Meng","given":"Deyu"},{"family":"Flores","given":"Jacob I."},{"family":"Kosters","given":"Walter"},{"family":"Yang","given":"Xiaofei"},{"family":"Jia","given":"Peng"},{"family":"Marschall","given":"Tobias"},{"family":"Beck","given":"Christine R."},{"family":"Ye","given":"Kai"}],"issued":{"date-parts":[["2022",10]]}}}],"schema":"https://github.com/citation-style-language/schema/raw/master/csl-citation.json"} </w:instrText>
            </w:r>
            <w:r w:rsidR="00412C0D" w:rsidRPr="000B0CA8">
              <w:rPr>
                <w:rFonts w:ascii="Times New Roman" w:hAnsi="Times New Roman" w:cs="Times New Roman"/>
                <w:sz w:val="16"/>
                <w:szCs w:val="16"/>
              </w:rPr>
              <w:fldChar w:fldCharType="separate"/>
            </w:r>
            <w:r w:rsidR="00412C0D" w:rsidRPr="000B0CA8">
              <w:rPr>
                <w:rFonts w:ascii="Times New Roman" w:hAnsi="Times New Roman" w:cs="Times New Roman"/>
                <w:sz w:val="16"/>
                <w:szCs w:val="28"/>
                <w:vertAlign w:val="superscript"/>
              </w:rPr>
              <w:t>22</w:t>
            </w:r>
            <w:r w:rsidR="00412C0D" w:rsidRPr="000B0CA8">
              <w:rPr>
                <w:rFonts w:ascii="Times New Roman" w:hAnsi="Times New Roman" w:cs="Times New Roman"/>
                <w:sz w:val="16"/>
                <w:szCs w:val="16"/>
              </w:rPr>
              <w:fldChar w:fldCharType="end"/>
            </w:r>
          </w:p>
        </w:tc>
        <w:tc>
          <w:tcPr>
            <w:tcW w:w="517" w:type="pct"/>
            <w:tcBorders>
              <w:top w:val="nil"/>
              <w:bottom w:val="single" w:sz="6" w:space="0" w:color="auto"/>
            </w:tcBorders>
            <w:vAlign w:val="center"/>
            <w:hideMark/>
          </w:tcPr>
          <w:p w14:paraId="5460F9C1" w14:textId="00037476"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022</w:t>
            </w:r>
          </w:p>
        </w:tc>
        <w:tc>
          <w:tcPr>
            <w:tcW w:w="1566" w:type="pct"/>
            <w:tcBorders>
              <w:top w:val="nil"/>
              <w:bottom w:val="single" w:sz="6" w:space="0" w:color="auto"/>
            </w:tcBorders>
            <w:vAlign w:val="center"/>
            <w:hideMark/>
          </w:tcPr>
          <w:p w14:paraId="275A534E" w14:textId="1262F725" w:rsidR="007D4596" w:rsidRPr="000B0CA8" w:rsidRDefault="007D4596"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.3.8</w:t>
            </w:r>
          </w:p>
        </w:tc>
      </w:tr>
    </w:tbl>
    <w:p w14:paraId="60E468FC" w14:textId="77777777" w:rsidR="00C86F0B" w:rsidRPr="000B0CA8" w:rsidRDefault="00C86F0B" w:rsidP="00D23990">
      <w:pPr>
        <w:rPr>
          <w:sz w:val="20"/>
          <w:szCs w:val="28"/>
        </w:rPr>
      </w:pPr>
    </w:p>
    <w:p w14:paraId="0F5930D7" w14:textId="08B4A18E" w:rsidR="00A82FA0" w:rsidRPr="000B0CA8" w:rsidRDefault="00A82FA0" w:rsidP="00D23990">
      <w:pPr>
        <w:rPr>
          <w:sz w:val="20"/>
          <w:szCs w:val="28"/>
        </w:rPr>
      </w:pPr>
      <w:r w:rsidRPr="000B0CA8">
        <w:rPr>
          <w:sz w:val="20"/>
          <w:szCs w:val="28"/>
        </w:rPr>
        <w:t xml:space="preserve">Above all, after excluding the invalid pipelines, </w:t>
      </w:r>
      <w:r w:rsidR="00A32B94" w:rsidRPr="000B0CA8">
        <w:rPr>
          <w:sz w:val="20"/>
          <w:szCs w:val="28"/>
        </w:rPr>
        <w:t>44 pipelines(5*10-6) are used</w:t>
      </w:r>
      <w:r w:rsidRPr="000B0CA8">
        <w:rPr>
          <w:sz w:val="20"/>
          <w:szCs w:val="28"/>
        </w:rPr>
        <w:t xml:space="preserve"> to generate VCF files across aligners and callers. Consi</w:t>
      </w:r>
      <w:r w:rsidR="00E37E27" w:rsidRPr="000B0CA8">
        <w:rPr>
          <w:sz w:val="20"/>
          <w:szCs w:val="28"/>
        </w:rPr>
        <w:t>dering the total 25 sequenc</w:t>
      </w:r>
      <w:r w:rsidR="00C903A9">
        <w:rPr>
          <w:sz w:val="20"/>
          <w:szCs w:val="28"/>
        </w:rPr>
        <w:t>e platform</w:t>
      </w:r>
      <w:r w:rsidR="00E37E27" w:rsidRPr="000B0CA8">
        <w:rPr>
          <w:sz w:val="20"/>
          <w:szCs w:val="28"/>
        </w:rPr>
        <w:t xml:space="preserve"> results from </w:t>
      </w:r>
      <w:r w:rsidR="00A32B94" w:rsidRPr="000B0CA8">
        <w:rPr>
          <w:sz w:val="20"/>
          <w:szCs w:val="28"/>
        </w:rPr>
        <w:t xml:space="preserve">the </w:t>
      </w:r>
      <w:r w:rsidR="00E37E27" w:rsidRPr="000B0CA8">
        <w:rPr>
          <w:sz w:val="20"/>
          <w:szCs w:val="28"/>
        </w:rPr>
        <w:t>above 10 subjects, there are 1100 VCF files(44*25=1100).</w:t>
      </w:r>
      <w:r w:rsidR="00C86F0B" w:rsidRPr="000B0CA8">
        <w:rPr>
          <w:sz w:val="20"/>
          <w:szCs w:val="28"/>
        </w:rPr>
        <w:t xml:space="preserve"> </w:t>
      </w:r>
      <w:bookmarkStart w:id="2" w:name="_Hlk194987630"/>
      <w:r w:rsidR="00132B27" w:rsidRPr="0067524A">
        <w:rPr>
          <w:color w:val="FF0000"/>
          <w:sz w:val="20"/>
          <w:szCs w:val="28"/>
        </w:rPr>
        <w:t xml:space="preserve">The complete pipeline commands are available </w:t>
      </w:r>
      <w:r w:rsidR="00B9268B" w:rsidRPr="0067524A">
        <w:rPr>
          <w:color w:val="FF0000"/>
          <w:sz w:val="20"/>
          <w:szCs w:val="28"/>
        </w:rPr>
        <w:t>(</w:t>
      </w:r>
      <w:hyperlink r:id="rId8" w:history="1">
        <w:r w:rsidR="00B9268B" w:rsidRPr="0067524A">
          <w:rPr>
            <w:rStyle w:val="ab"/>
            <w:color w:val="FF0000"/>
            <w:sz w:val="20"/>
            <w:szCs w:val="28"/>
          </w:rPr>
          <w:t>https://github.com/liuz-bio/SVPipelinesEvaluation/tree/main/BuildPipelines/Rule</w:t>
        </w:r>
      </w:hyperlink>
      <w:r w:rsidR="00B9268B" w:rsidRPr="0067524A">
        <w:rPr>
          <w:color w:val="FF0000"/>
          <w:sz w:val="20"/>
          <w:szCs w:val="28"/>
        </w:rPr>
        <w:t>)</w:t>
      </w:r>
      <w:r w:rsidR="00132B27" w:rsidRPr="0067524A">
        <w:rPr>
          <w:color w:val="FF0000"/>
          <w:sz w:val="20"/>
          <w:szCs w:val="28"/>
        </w:rPr>
        <w:t xml:space="preserve">. </w:t>
      </w:r>
      <w:r w:rsidR="00132B27" w:rsidRPr="0067524A">
        <w:rPr>
          <w:color w:val="FF0000"/>
          <w:sz w:val="20"/>
          <w:szCs w:val="28"/>
        </w:rPr>
        <w:lastRenderedPageBreak/>
        <w:t>Using the configuration files in this directory with Python scripts, we executed all pipeline combinations to generate these 1,100 VCF files, which are archived at: https://zenodo.org/records/13293672 (DOI: 10.5281/zenodo.13293672)</w:t>
      </w:r>
      <w:bookmarkEnd w:id="2"/>
      <w:r w:rsidR="00132B27" w:rsidRPr="0067524A">
        <w:rPr>
          <w:color w:val="FF0000"/>
          <w:sz w:val="20"/>
          <w:szCs w:val="28"/>
        </w:rPr>
        <w:t>.</w:t>
      </w:r>
    </w:p>
    <w:p w14:paraId="33A41848" w14:textId="7DF70BA8" w:rsidR="00C02A33" w:rsidRPr="00D555AA" w:rsidRDefault="00150405" w:rsidP="006213D5">
      <w:pPr>
        <w:pStyle w:val="3"/>
        <w:spacing w:after="312"/>
      </w:pPr>
      <w:r w:rsidRPr="00D555AA">
        <w:lastRenderedPageBreak/>
        <w:t>Supplementary Note 2.</w:t>
      </w:r>
      <w:r w:rsidR="009C5E04" w:rsidRPr="00D555AA">
        <w:t xml:space="preserve"> Four</w:t>
      </w:r>
      <w:r w:rsidR="00C02A33" w:rsidRPr="00D555AA">
        <w:t xml:space="preserve"> built-in modes for the SDF file</w:t>
      </w:r>
    </w:p>
    <w:p w14:paraId="39445567" w14:textId="39A20E5C" w:rsidR="00C02A33" w:rsidRPr="000B0CA8" w:rsidRDefault="00C02A33" w:rsidP="00C02A33">
      <w:pPr>
        <w:rPr>
          <w:rFonts w:ascii="Times New Roman" w:hAnsi="Times New Roman" w:cs="Times New Roman"/>
          <w:sz w:val="21"/>
          <w:szCs w:val="21"/>
        </w:rPr>
      </w:pPr>
      <w:r w:rsidRPr="000B0CA8">
        <w:rPr>
          <w:rFonts w:ascii="Times New Roman" w:hAnsi="Times New Roman" w:cs="Times New Roman"/>
          <w:sz w:val="21"/>
          <w:szCs w:val="21"/>
        </w:rPr>
        <w:t xml:space="preserve">Based on the structure of SDF, SDFA initializes </w:t>
      </w:r>
      <w:r w:rsidR="0067524A">
        <w:rPr>
          <w:rFonts w:ascii="Times New Roman" w:hAnsi="Times New Roman" w:cs="Times New Roman"/>
          <w:sz w:val="21"/>
          <w:szCs w:val="21"/>
        </w:rPr>
        <w:t>four</w:t>
      </w:r>
      <w:r w:rsidR="0067524A" w:rsidRPr="000B0CA8">
        <w:rPr>
          <w:rFonts w:ascii="Times New Roman" w:hAnsi="Times New Roman" w:cs="Times New Roman"/>
          <w:sz w:val="21"/>
          <w:szCs w:val="21"/>
        </w:rPr>
        <w:t xml:space="preserve"> </w:t>
      </w:r>
      <w:r w:rsidRPr="000B0CA8">
        <w:rPr>
          <w:rFonts w:ascii="Times New Roman" w:hAnsi="Times New Roman" w:cs="Times New Roman"/>
          <w:sz w:val="21"/>
          <w:szCs w:val="21"/>
        </w:rPr>
        <w:t>modes for SDF file</w:t>
      </w:r>
      <w:r w:rsidR="00A32B94" w:rsidRPr="000B0CA8">
        <w:rPr>
          <w:rFonts w:ascii="Times New Roman" w:hAnsi="Times New Roman" w:cs="Times New Roman"/>
          <w:sz w:val="21"/>
          <w:szCs w:val="21"/>
        </w:rPr>
        <w:t>s</w:t>
      </w:r>
      <w:r w:rsidRPr="000B0CA8">
        <w:rPr>
          <w:rFonts w:ascii="Times New Roman" w:hAnsi="Times New Roman" w:cs="Times New Roman"/>
          <w:sz w:val="21"/>
          <w:szCs w:val="21"/>
        </w:rPr>
        <w:t xml:space="preserve"> for smaller storage:</w:t>
      </w:r>
    </w:p>
    <w:p w14:paraId="6F95AB45" w14:textId="55556190" w:rsidR="00A25046" w:rsidRPr="000B0CA8" w:rsidRDefault="00A25046" w:rsidP="00C02A33">
      <w:pPr>
        <w:rPr>
          <w:rFonts w:ascii="Times New Roman" w:hAnsi="Times New Roman" w:cs="Times New Roman"/>
          <w:sz w:val="21"/>
          <w:szCs w:val="21"/>
        </w:rPr>
      </w:pPr>
      <w:r w:rsidRPr="000B0CA8">
        <w:rPr>
          <w:rFonts w:ascii="Times New Roman" w:hAnsi="Times New Roman" w:cs="Times New Roman"/>
          <w:b/>
          <w:bCs/>
          <w:sz w:val="21"/>
          <w:szCs w:val="21"/>
        </w:rPr>
        <w:t>Mode 0:</w:t>
      </w:r>
      <w:r w:rsidRPr="000B0CA8">
        <w:rPr>
          <w:rFonts w:ascii="Times New Roman" w:hAnsi="Times New Roman" w:cs="Times New Roman"/>
          <w:sz w:val="21"/>
          <w:szCs w:val="21"/>
        </w:rPr>
        <w:t xml:space="preserve"> This mode, an initial mode for SDF, compresses values in each attribute into String type. Besides, each standardized SV </w:t>
      </w:r>
      <w:r w:rsidR="00F7564E" w:rsidRPr="000B0CA8">
        <w:rPr>
          <w:rFonts w:ascii="Times New Roman" w:hAnsi="Times New Roman" w:cs="Times New Roman"/>
          <w:sz w:val="21"/>
          <w:szCs w:val="21"/>
        </w:rPr>
        <w:t xml:space="preserve">decomposed from a </w:t>
      </w:r>
      <w:r w:rsidR="00B10BC1" w:rsidRPr="000B0CA8">
        <w:rPr>
          <w:rFonts w:ascii="Times New Roman" w:hAnsi="Times New Roman" w:cs="Times New Roman"/>
          <w:sz w:val="21"/>
          <w:szCs w:val="21"/>
        </w:rPr>
        <w:t>complex SV</w:t>
      </w:r>
      <w:r w:rsidR="00F7564E" w:rsidRPr="000B0CA8">
        <w:rPr>
          <w:rFonts w:ascii="Times New Roman" w:hAnsi="Times New Roman" w:cs="Times New Roman"/>
          <w:sz w:val="21"/>
          <w:szCs w:val="21"/>
        </w:rPr>
        <w:t xml:space="preserve"> </w:t>
      </w:r>
      <w:r w:rsidRPr="000B0CA8">
        <w:rPr>
          <w:rFonts w:ascii="Times New Roman" w:hAnsi="Times New Roman" w:cs="Times New Roman"/>
          <w:sz w:val="21"/>
          <w:szCs w:val="21"/>
        </w:rPr>
        <w:t xml:space="preserve">stores </w:t>
      </w:r>
      <w:r w:rsidR="00F7564E" w:rsidRPr="000B0CA8">
        <w:rPr>
          <w:rFonts w:ascii="Times New Roman" w:hAnsi="Times New Roman" w:cs="Times New Roman"/>
          <w:sz w:val="21"/>
          <w:szCs w:val="21"/>
        </w:rPr>
        <w:t xml:space="preserve">one </w:t>
      </w:r>
      <w:r w:rsidRPr="000B0CA8">
        <w:rPr>
          <w:rFonts w:ascii="Times New Roman" w:hAnsi="Times New Roman" w:cs="Times New Roman"/>
          <w:sz w:val="21"/>
          <w:szCs w:val="21"/>
        </w:rPr>
        <w:t>cop</w:t>
      </w:r>
      <w:r w:rsidR="00F7564E" w:rsidRPr="000B0CA8">
        <w:rPr>
          <w:rFonts w:ascii="Times New Roman" w:hAnsi="Times New Roman" w:cs="Times New Roman"/>
          <w:sz w:val="21"/>
          <w:szCs w:val="21"/>
        </w:rPr>
        <w:t>y</w:t>
      </w:r>
      <w:r w:rsidRPr="000B0CA8">
        <w:rPr>
          <w:rFonts w:ascii="Times New Roman" w:hAnsi="Times New Roman" w:cs="Times New Roman"/>
          <w:sz w:val="21"/>
          <w:szCs w:val="21"/>
        </w:rPr>
        <w:t xml:space="preserve"> </w:t>
      </w:r>
      <w:r w:rsidR="00F7564E" w:rsidRPr="000B0CA8">
        <w:rPr>
          <w:rFonts w:ascii="Times New Roman" w:hAnsi="Times New Roman" w:cs="Times New Roman"/>
          <w:sz w:val="21"/>
          <w:szCs w:val="21"/>
        </w:rPr>
        <w:t>for the shared attributes.</w:t>
      </w:r>
    </w:p>
    <w:p w14:paraId="0D8D3114" w14:textId="7CAB70ED" w:rsidR="00C02A33" w:rsidRPr="000B0CA8" w:rsidRDefault="00C02A33" w:rsidP="00C02A33">
      <w:pPr>
        <w:rPr>
          <w:rFonts w:ascii="Times New Roman" w:hAnsi="Times New Roman" w:cs="Times New Roman"/>
          <w:sz w:val="21"/>
          <w:szCs w:val="21"/>
        </w:rPr>
      </w:pPr>
      <w:r w:rsidRPr="000B0CA8">
        <w:rPr>
          <w:rFonts w:ascii="Times New Roman" w:hAnsi="Times New Roman" w:cs="Times New Roman"/>
          <w:b/>
          <w:bCs/>
          <w:sz w:val="21"/>
          <w:szCs w:val="21"/>
        </w:rPr>
        <w:t>Mode 1</w:t>
      </w:r>
      <w:r w:rsidR="00A25046" w:rsidRPr="000B0CA8">
        <w:rPr>
          <w:rFonts w:ascii="Times New Roman" w:hAnsi="Times New Roman" w:cs="Times New Roman"/>
          <w:b/>
          <w:bCs/>
          <w:sz w:val="21"/>
          <w:szCs w:val="21"/>
        </w:rPr>
        <w:t>:</w:t>
      </w:r>
      <w:r w:rsidRPr="000B0CA8">
        <w:rPr>
          <w:rFonts w:ascii="Times New Roman" w:hAnsi="Times New Roman" w:cs="Times New Roman"/>
          <w:sz w:val="21"/>
          <w:szCs w:val="21"/>
        </w:rPr>
        <w:t xml:space="preserve"> </w:t>
      </w:r>
      <w:r w:rsidR="00A25046" w:rsidRPr="000B0CA8">
        <w:rPr>
          <w:rFonts w:ascii="Times New Roman" w:hAnsi="Times New Roman" w:cs="Times New Roman"/>
          <w:sz w:val="21"/>
          <w:szCs w:val="21"/>
        </w:rPr>
        <w:t>This mode e</w:t>
      </w:r>
      <w:r w:rsidRPr="000B0CA8">
        <w:rPr>
          <w:rFonts w:ascii="Times New Roman" w:hAnsi="Times New Roman" w:cs="Times New Roman"/>
          <w:sz w:val="21"/>
          <w:szCs w:val="21"/>
        </w:rPr>
        <w:t xml:space="preserve">mploys a built-in encoding method for REF and ALT sequences of the Field attribute in the columnar block body. SDFA initially uses 2 bits in an integer value to encode nucleotide bases in two fields: A (00), T (01), C (10), and G (11). </w:t>
      </w:r>
      <w:r w:rsidR="00A32B94" w:rsidRPr="000B0CA8">
        <w:rPr>
          <w:rFonts w:ascii="Times New Roman" w:hAnsi="Times New Roman" w:cs="Times New Roman"/>
          <w:sz w:val="21"/>
          <w:szCs w:val="21"/>
        </w:rPr>
        <w:t>The raw value is stored in the SDF file if the field is not a base sequenc</w:t>
      </w:r>
      <w:r w:rsidRPr="000B0CA8">
        <w:rPr>
          <w:rFonts w:ascii="Times New Roman" w:hAnsi="Times New Roman" w:cs="Times New Roman"/>
          <w:sz w:val="21"/>
          <w:szCs w:val="21"/>
        </w:rPr>
        <w:t>e.</w:t>
      </w:r>
    </w:p>
    <w:p w14:paraId="7CA08BE0" w14:textId="57D571AC" w:rsidR="00C02A33" w:rsidRPr="000B0CA8" w:rsidRDefault="00C02A33" w:rsidP="00C02A33">
      <w:pPr>
        <w:rPr>
          <w:rFonts w:ascii="Times New Roman" w:hAnsi="Times New Roman" w:cs="Times New Roman"/>
          <w:sz w:val="21"/>
          <w:szCs w:val="21"/>
        </w:rPr>
      </w:pPr>
      <w:r w:rsidRPr="000B0CA8">
        <w:rPr>
          <w:rFonts w:ascii="Times New Roman" w:hAnsi="Times New Roman" w:cs="Times New Roman"/>
          <w:b/>
          <w:bCs/>
          <w:sz w:val="21"/>
          <w:szCs w:val="21"/>
        </w:rPr>
        <w:t>Mode 2:</w:t>
      </w:r>
      <w:r w:rsidRPr="000B0CA8">
        <w:rPr>
          <w:rFonts w:ascii="Times New Roman" w:hAnsi="Times New Roman" w:cs="Times New Roman"/>
          <w:sz w:val="21"/>
          <w:szCs w:val="21"/>
        </w:rPr>
        <w:t xml:space="preserve"> </w:t>
      </w:r>
      <w:r w:rsidR="00A25046" w:rsidRPr="000B0CA8">
        <w:rPr>
          <w:rFonts w:ascii="Times New Roman" w:hAnsi="Times New Roman" w:cs="Times New Roman"/>
          <w:sz w:val="21"/>
          <w:szCs w:val="21"/>
        </w:rPr>
        <w:t>This mode s</w:t>
      </w:r>
      <w:r w:rsidRPr="000B0CA8">
        <w:rPr>
          <w:rFonts w:ascii="Times New Roman" w:hAnsi="Times New Roman" w:cs="Times New Roman"/>
          <w:sz w:val="21"/>
          <w:szCs w:val="21"/>
        </w:rPr>
        <w:t>tore</w:t>
      </w:r>
      <w:r w:rsidR="00B10BC1" w:rsidRPr="000B0CA8">
        <w:rPr>
          <w:rFonts w:ascii="Times New Roman" w:hAnsi="Times New Roman" w:cs="Times New Roman"/>
          <w:sz w:val="21"/>
          <w:szCs w:val="21"/>
        </w:rPr>
        <w:t>s</w:t>
      </w:r>
      <w:r w:rsidRPr="000B0CA8">
        <w:rPr>
          <w:rFonts w:ascii="Times New Roman" w:hAnsi="Times New Roman" w:cs="Times New Roman"/>
          <w:sz w:val="21"/>
          <w:szCs w:val="21"/>
        </w:rPr>
        <w:t xml:space="preserve"> only one copy for the INFO fields of the Field attribute for each complex SV. In this mode, SDF only stores the INFO values in the first standardized </w:t>
      </w:r>
      <w:r w:rsidR="00A25046" w:rsidRPr="000B0CA8">
        <w:rPr>
          <w:rFonts w:ascii="Times New Roman" w:hAnsi="Times New Roman" w:cs="Times New Roman"/>
          <w:sz w:val="21"/>
          <w:szCs w:val="21"/>
        </w:rPr>
        <w:t>de</w:t>
      </w:r>
      <w:r w:rsidRPr="000B0CA8">
        <w:rPr>
          <w:rFonts w:ascii="Times New Roman" w:hAnsi="Times New Roman" w:cs="Times New Roman"/>
          <w:sz w:val="21"/>
          <w:szCs w:val="21"/>
        </w:rPr>
        <w:t xml:space="preserve">composition SV of each complex SV, </w:t>
      </w:r>
      <w:r w:rsidR="00B10BC1" w:rsidRPr="000B0CA8">
        <w:rPr>
          <w:rFonts w:ascii="Times New Roman" w:hAnsi="Times New Roman" w:cs="Times New Roman"/>
          <w:sz w:val="21"/>
          <w:szCs w:val="21"/>
        </w:rPr>
        <w:t>leaving the</w:t>
      </w:r>
      <w:r w:rsidRPr="000B0CA8">
        <w:rPr>
          <w:rFonts w:ascii="Times New Roman" w:hAnsi="Times New Roman" w:cs="Times New Roman"/>
          <w:sz w:val="21"/>
          <w:szCs w:val="21"/>
        </w:rPr>
        <w:t xml:space="preserve"> others empty.</w:t>
      </w:r>
    </w:p>
    <w:p w14:paraId="362318BF" w14:textId="14CBFFA4" w:rsidR="00C02A33" w:rsidRPr="000B0CA8" w:rsidRDefault="00C02A33" w:rsidP="00C02A33">
      <w:pPr>
        <w:rPr>
          <w:rFonts w:ascii="Times New Roman" w:hAnsi="Times New Roman" w:cs="Times New Roman"/>
          <w:sz w:val="21"/>
          <w:szCs w:val="21"/>
        </w:rPr>
      </w:pPr>
      <w:r w:rsidRPr="000B0CA8">
        <w:rPr>
          <w:rFonts w:ascii="Times New Roman" w:hAnsi="Times New Roman" w:cs="Times New Roman"/>
          <w:b/>
          <w:bCs/>
          <w:sz w:val="21"/>
          <w:szCs w:val="21"/>
        </w:rPr>
        <w:t>Mode 3:</w:t>
      </w:r>
      <w:r w:rsidRPr="000B0CA8">
        <w:rPr>
          <w:rFonts w:ascii="Times New Roman" w:hAnsi="Times New Roman" w:cs="Times New Roman"/>
          <w:sz w:val="21"/>
          <w:szCs w:val="21"/>
        </w:rPr>
        <w:t xml:space="preserve"> </w:t>
      </w:r>
      <w:r w:rsidR="00A25046" w:rsidRPr="000B0CA8">
        <w:rPr>
          <w:rFonts w:ascii="Times New Roman" w:hAnsi="Times New Roman" w:cs="Times New Roman"/>
          <w:sz w:val="21"/>
          <w:szCs w:val="21"/>
        </w:rPr>
        <w:t>This mode d</w:t>
      </w:r>
      <w:r w:rsidRPr="000B0CA8">
        <w:rPr>
          <w:rFonts w:ascii="Times New Roman" w:hAnsi="Times New Roman" w:cs="Times New Roman"/>
          <w:sz w:val="21"/>
          <w:szCs w:val="21"/>
        </w:rPr>
        <w:t>iscards the quality metrics (e.g., AD, DP) of genotypes. This mode is suitable for SDF files that have been filtered through the genotype, providing a streamlined version with only essential information retained.</w:t>
      </w:r>
    </w:p>
    <w:p w14:paraId="7B792156" w14:textId="77777777" w:rsidR="00C02A33" w:rsidRPr="000B0CA8" w:rsidRDefault="00C02A33" w:rsidP="00C02A33">
      <w:pPr>
        <w:rPr>
          <w:rFonts w:ascii="Times New Roman" w:hAnsi="Times New Roman" w:cs="Times New Roman"/>
          <w:sz w:val="21"/>
          <w:szCs w:val="21"/>
        </w:rPr>
      </w:pPr>
    </w:p>
    <w:p w14:paraId="7100EB28" w14:textId="6C7C8E0F" w:rsidR="00C02A33" w:rsidRPr="000B0CA8" w:rsidRDefault="00C02A33" w:rsidP="00C02A33">
      <w:pPr>
        <w:rPr>
          <w:rFonts w:ascii="Times New Roman" w:hAnsi="Times New Roman" w:cs="Times New Roman"/>
          <w:sz w:val="21"/>
          <w:szCs w:val="21"/>
        </w:rPr>
      </w:pPr>
      <w:r w:rsidRPr="000B0CA8">
        <w:rPr>
          <w:rFonts w:ascii="Times New Roman" w:hAnsi="Times New Roman" w:cs="Times New Roman"/>
          <w:sz w:val="21"/>
          <w:szCs w:val="21"/>
        </w:rPr>
        <w:t xml:space="preserve">The SDF files of the first </w:t>
      </w:r>
      <w:r w:rsidR="00DE49E5" w:rsidRPr="000B0CA8">
        <w:rPr>
          <w:rFonts w:ascii="Times New Roman" w:hAnsi="Times New Roman" w:cs="Times New Roman"/>
          <w:sz w:val="21"/>
          <w:szCs w:val="21"/>
        </w:rPr>
        <w:t>three</w:t>
      </w:r>
      <w:r w:rsidRPr="000B0CA8">
        <w:rPr>
          <w:rFonts w:ascii="Times New Roman" w:hAnsi="Times New Roman" w:cs="Times New Roman"/>
          <w:sz w:val="21"/>
          <w:szCs w:val="21"/>
        </w:rPr>
        <w:t xml:space="preserve"> modes (Mode </w:t>
      </w:r>
      <w:r w:rsidR="00DE49E5" w:rsidRPr="000B0CA8">
        <w:rPr>
          <w:rFonts w:ascii="Times New Roman" w:hAnsi="Times New Roman" w:cs="Times New Roman"/>
          <w:sz w:val="21"/>
          <w:szCs w:val="21"/>
        </w:rPr>
        <w:t>0, 1</w:t>
      </w:r>
      <w:r w:rsidRPr="000B0CA8">
        <w:rPr>
          <w:rFonts w:ascii="Times New Roman" w:hAnsi="Times New Roman" w:cs="Times New Roman"/>
          <w:sz w:val="21"/>
          <w:szCs w:val="21"/>
        </w:rPr>
        <w:t xml:space="preserve"> and 2) are lossless compressions of raw VCF files, ensuring no loss of critical information during compression. Mode 3, while lossy, is optimized for cases where specific annotation details are no longer required.</w:t>
      </w:r>
    </w:p>
    <w:p w14:paraId="1C5E5778" w14:textId="6623BB73" w:rsidR="00AB10A5" w:rsidRDefault="00AB10A5">
      <w:pPr>
        <w:rPr>
          <w:sz w:val="20"/>
          <w:szCs w:val="28"/>
        </w:rPr>
      </w:pPr>
    </w:p>
    <w:p w14:paraId="68F6FBB8" w14:textId="3BC354A0" w:rsidR="00EB7E09" w:rsidRPr="00AB10A5" w:rsidRDefault="00AB10A5" w:rsidP="0067524A">
      <w:pPr>
        <w:widowControl/>
        <w:jc w:val="left"/>
        <w:rPr>
          <w:sz w:val="20"/>
          <w:szCs w:val="28"/>
        </w:rPr>
      </w:pPr>
      <w:r>
        <w:rPr>
          <w:sz w:val="20"/>
          <w:szCs w:val="28"/>
        </w:rPr>
        <w:br w:type="page"/>
      </w:r>
    </w:p>
    <w:p w14:paraId="4245517F" w14:textId="0EBE65B3" w:rsidR="003654F8" w:rsidRPr="00D555AA" w:rsidRDefault="003654F8" w:rsidP="006213D5">
      <w:pPr>
        <w:pStyle w:val="3"/>
        <w:spacing w:after="312"/>
      </w:pPr>
      <w:r w:rsidRPr="00D555AA">
        <w:lastRenderedPageBreak/>
        <w:t xml:space="preserve">Supplementary Note 3. </w:t>
      </w:r>
      <w:r w:rsidR="00B1268F" w:rsidRPr="00D555AA">
        <w:t xml:space="preserve">The </w:t>
      </w:r>
      <w:r w:rsidRPr="00D555AA">
        <w:t xml:space="preserve">46 VCF files of SV for </w:t>
      </w:r>
      <w:r w:rsidR="00A32B94" w:rsidRPr="00D555AA">
        <w:t xml:space="preserve">the </w:t>
      </w:r>
      <w:r w:rsidRPr="00D555AA">
        <w:t>merging process</w:t>
      </w:r>
    </w:p>
    <w:p w14:paraId="1FBD4F36" w14:textId="2C6D8B78" w:rsidR="0024576B" w:rsidRPr="000B0CA8" w:rsidRDefault="009C0143" w:rsidP="002B2169">
      <w:pPr>
        <w:rPr>
          <w:sz w:val="20"/>
          <w:szCs w:val="28"/>
        </w:rPr>
      </w:pPr>
      <w:r w:rsidRPr="000B0CA8">
        <w:rPr>
          <w:sz w:val="20"/>
          <w:szCs w:val="28"/>
        </w:rPr>
        <w:t xml:space="preserve">In the merging tests, we include 46 HIFI </w:t>
      </w:r>
      <w:r w:rsidR="00116ED6" w:rsidRPr="000B0CA8">
        <w:rPr>
          <w:sz w:val="20"/>
          <w:szCs w:val="28"/>
        </w:rPr>
        <w:t>subjects</w:t>
      </w:r>
      <w:r w:rsidRPr="000B0CA8">
        <w:rPr>
          <w:sz w:val="20"/>
          <w:szCs w:val="28"/>
        </w:rPr>
        <w:t xml:space="preserve"> from HPRC</w:t>
      </w:r>
      <w:r w:rsidR="00412C0D" w:rsidRPr="000B0CA8">
        <w:rPr>
          <w:sz w:val="20"/>
          <w:szCs w:val="28"/>
        </w:rPr>
        <w:fldChar w:fldCharType="begin"/>
      </w:r>
      <w:r w:rsidR="00412C0D" w:rsidRPr="000B0CA8">
        <w:rPr>
          <w:sz w:val="20"/>
          <w:szCs w:val="28"/>
        </w:rPr>
        <w:instrText xml:space="preserve"> ADDIN ZOTERO_ITEM CSL_CITATION {"citationID":"r9eRixny","properties":{"formattedCitation":"\\super 6\\nosupersub{}","plainCitation":"6","noteIndex":0},"citationItems":[{"id":254,"uris":["http://zotero.org/users/local/isDXystY/items/XFUMLTD7"],"itemData":{"id":254,"type":"article-journal","abstract":"To sustain and develop the largest fully open human genomic resources the International Genome Sample Resource (IGSR) (https://www.internationalgenome.org) was established. It is built on the foundation of the 1000 Genomes Project, which created the largest openly accessible catalogue of human genomic variation developed from samples spanning five continents. IGSR (i) maintains access to 1000 Genomes Project resources, (ii) updates 1000 Genomes Project resources to the GRCh38 human reference assembly, (iii) adds new data generated on 1000 Genomes Project cell lines, (iv) shares data from samples with a similarly open consent to increase the number of samples and populations represented in the resources and (v) provides support to users of these resources. Among recent updates are the release of variation calls from 1000 Genomes Project data calculated directly on GRCh38 and the addition of high coverage sequence data for the 2504 samples in the 1000 Genomes Project phase three panel. The data portal, which facilitates web-based exploration of the IGSR resources, has been updated to include samples which were not part of the 1000 Genomes Project and now presents a unified view of data and samples across almost 5000 samples from multiple studies. All data is fully open and publicly accessible.","container-title":"Nucleic Acids Research","DOI":"10.1093/nar/gkz836","ISSN":"1362-4962","issue":"D1","journalAbbreviation":"Nucleic Acids Res","language":"eng","note":"PMID: 31584097\nPMCID: PMC6943028","page":"D941-D947","source":"PubMed","title":"The International Genome Sample Resource (IGSR) collection of open human genomic variation resources","volume":"48","author":[{"family":"Fairley","given":"Susan"},{"family":"Lowy-Gallego","given":"Ernesto"},{"family":"Perry","given":"Emily"},{"family":"Flicek","given":"Paul"}],"issued":{"date-parts":[["2020",1,8]]}}}],"schema":"https://github.com/citation-style-language/schema/raw/master/csl-citation.json"} </w:instrText>
      </w:r>
      <w:r w:rsidR="00412C0D" w:rsidRPr="000B0CA8">
        <w:rPr>
          <w:sz w:val="20"/>
          <w:szCs w:val="28"/>
        </w:rPr>
        <w:fldChar w:fldCharType="separate"/>
      </w:r>
      <w:r w:rsidR="00412C0D" w:rsidRPr="000B0CA8">
        <w:rPr>
          <w:kern w:val="0"/>
          <w:sz w:val="20"/>
          <w:szCs w:val="28"/>
          <w:vertAlign w:val="superscript"/>
        </w:rPr>
        <w:t>6</w:t>
      </w:r>
      <w:r w:rsidR="00412C0D" w:rsidRPr="000B0CA8">
        <w:rPr>
          <w:sz w:val="20"/>
          <w:szCs w:val="28"/>
        </w:rPr>
        <w:fldChar w:fldCharType="end"/>
      </w:r>
      <w:r w:rsidRPr="000B0CA8">
        <w:rPr>
          <w:sz w:val="20"/>
          <w:szCs w:val="28"/>
        </w:rPr>
        <w:t xml:space="preserve"> as below</w:t>
      </w:r>
      <w:r w:rsidR="0024576B" w:rsidRPr="000B0CA8">
        <w:rPr>
          <w:sz w:val="20"/>
          <w:szCs w:val="28"/>
        </w:rPr>
        <w:t xml:space="preserve">. </w:t>
      </w:r>
    </w:p>
    <w:p w14:paraId="2992BEB1" w14:textId="0698A383" w:rsidR="00B051E2" w:rsidRDefault="0024576B" w:rsidP="002B2169">
      <w:pPr>
        <w:rPr>
          <w:sz w:val="20"/>
          <w:szCs w:val="28"/>
        </w:rPr>
      </w:pPr>
      <w:r w:rsidRPr="000B0CA8">
        <w:rPr>
          <w:sz w:val="20"/>
          <w:szCs w:val="28"/>
        </w:rPr>
        <w:t xml:space="preserve">1. HG00438; </w:t>
      </w:r>
      <w:r w:rsidR="00B051E2">
        <w:rPr>
          <w:sz w:val="20"/>
          <w:szCs w:val="28"/>
        </w:rPr>
        <w:tab/>
      </w:r>
      <w:r w:rsidRPr="000B0CA8">
        <w:rPr>
          <w:sz w:val="20"/>
          <w:szCs w:val="28"/>
        </w:rPr>
        <w:t xml:space="preserve">2. HG00621; </w:t>
      </w:r>
      <w:r w:rsidR="00B051E2">
        <w:rPr>
          <w:sz w:val="20"/>
          <w:szCs w:val="28"/>
        </w:rPr>
        <w:tab/>
      </w:r>
      <w:r w:rsidRPr="000B0CA8">
        <w:rPr>
          <w:sz w:val="20"/>
          <w:szCs w:val="28"/>
        </w:rPr>
        <w:t xml:space="preserve">3. HG00673; </w:t>
      </w:r>
      <w:r w:rsidR="00B051E2">
        <w:rPr>
          <w:sz w:val="20"/>
          <w:szCs w:val="28"/>
        </w:rPr>
        <w:tab/>
      </w:r>
      <w:r w:rsidRPr="000B0CA8">
        <w:rPr>
          <w:sz w:val="20"/>
          <w:szCs w:val="28"/>
        </w:rPr>
        <w:t xml:space="preserve">4. HG00735; </w:t>
      </w:r>
    </w:p>
    <w:p w14:paraId="3C9B4809" w14:textId="180780F7" w:rsidR="00B051E2" w:rsidRDefault="0024576B" w:rsidP="002B2169">
      <w:pPr>
        <w:rPr>
          <w:sz w:val="20"/>
          <w:szCs w:val="28"/>
        </w:rPr>
      </w:pPr>
      <w:r w:rsidRPr="000B0CA8">
        <w:rPr>
          <w:sz w:val="20"/>
          <w:szCs w:val="28"/>
        </w:rPr>
        <w:t xml:space="preserve">5. HG00741; </w:t>
      </w:r>
      <w:r w:rsidR="00B051E2">
        <w:rPr>
          <w:sz w:val="20"/>
          <w:szCs w:val="28"/>
        </w:rPr>
        <w:tab/>
      </w:r>
      <w:r w:rsidRPr="000B0CA8">
        <w:rPr>
          <w:sz w:val="20"/>
          <w:szCs w:val="28"/>
        </w:rPr>
        <w:t xml:space="preserve">6. HG01071; </w:t>
      </w:r>
      <w:r w:rsidR="00B051E2">
        <w:rPr>
          <w:sz w:val="20"/>
          <w:szCs w:val="28"/>
        </w:rPr>
        <w:tab/>
      </w:r>
      <w:r w:rsidRPr="000B0CA8">
        <w:rPr>
          <w:sz w:val="20"/>
          <w:szCs w:val="28"/>
        </w:rPr>
        <w:t xml:space="preserve">7. HG01106; </w:t>
      </w:r>
      <w:r w:rsidR="00B051E2">
        <w:rPr>
          <w:sz w:val="20"/>
          <w:szCs w:val="28"/>
        </w:rPr>
        <w:tab/>
      </w:r>
      <w:r w:rsidRPr="000B0CA8">
        <w:rPr>
          <w:sz w:val="20"/>
          <w:szCs w:val="28"/>
        </w:rPr>
        <w:t xml:space="preserve">8. HG01123; </w:t>
      </w:r>
    </w:p>
    <w:p w14:paraId="6CAF97EF" w14:textId="310CFA43" w:rsidR="00B051E2" w:rsidRDefault="0024576B" w:rsidP="002B2169">
      <w:pPr>
        <w:rPr>
          <w:sz w:val="20"/>
          <w:szCs w:val="28"/>
        </w:rPr>
      </w:pPr>
      <w:r w:rsidRPr="000B0CA8">
        <w:rPr>
          <w:sz w:val="20"/>
          <w:szCs w:val="28"/>
        </w:rPr>
        <w:t xml:space="preserve">9. HG01175; </w:t>
      </w:r>
      <w:r w:rsidR="00B051E2">
        <w:rPr>
          <w:sz w:val="20"/>
          <w:szCs w:val="28"/>
        </w:rPr>
        <w:tab/>
      </w:r>
      <w:r w:rsidRPr="000B0CA8">
        <w:rPr>
          <w:sz w:val="20"/>
          <w:szCs w:val="28"/>
        </w:rPr>
        <w:t xml:space="preserve">10. HG01258; </w:t>
      </w:r>
      <w:r w:rsidR="00B051E2">
        <w:rPr>
          <w:sz w:val="20"/>
          <w:szCs w:val="28"/>
        </w:rPr>
        <w:tab/>
      </w:r>
      <w:r w:rsidRPr="000B0CA8">
        <w:rPr>
          <w:sz w:val="20"/>
          <w:szCs w:val="28"/>
        </w:rPr>
        <w:t xml:space="preserve">11. HG01358; </w:t>
      </w:r>
      <w:r w:rsidR="00B051E2">
        <w:rPr>
          <w:sz w:val="20"/>
          <w:szCs w:val="28"/>
        </w:rPr>
        <w:tab/>
      </w:r>
      <w:r w:rsidRPr="000B0CA8">
        <w:rPr>
          <w:sz w:val="20"/>
          <w:szCs w:val="28"/>
        </w:rPr>
        <w:t xml:space="preserve">12. HG01891; </w:t>
      </w:r>
    </w:p>
    <w:p w14:paraId="3801A15C" w14:textId="089E5D00" w:rsidR="00B051E2" w:rsidRDefault="0024576B" w:rsidP="002B2169">
      <w:pPr>
        <w:rPr>
          <w:sz w:val="20"/>
          <w:szCs w:val="28"/>
        </w:rPr>
      </w:pPr>
      <w:r w:rsidRPr="000B0CA8">
        <w:rPr>
          <w:sz w:val="20"/>
          <w:szCs w:val="28"/>
        </w:rPr>
        <w:t xml:space="preserve">13. HG01928; </w:t>
      </w:r>
      <w:r w:rsidR="00B051E2">
        <w:rPr>
          <w:sz w:val="20"/>
          <w:szCs w:val="28"/>
        </w:rPr>
        <w:tab/>
      </w:r>
      <w:r w:rsidRPr="000B0CA8">
        <w:rPr>
          <w:sz w:val="20"/>
          <w:szCs w:val="28"/>
        </w:rPr>
        <w:t xml:space="preserve">14. HG01952; </w:t>
      </w:r>
      <w:r w:rsidR="00B051E2">
        <w:rPr>
          <w:sz w:val="20"/>
          <w:szCs w:val="28"/>
        </w:rPr>
        <w:tab/>
      </w:r>
      <w:r w:rsidRPr="000B0CA8">
        <w:rPr>
          <w:sz w:val="20"/>
          <w:szCs w:val="28"/>
        </w:rPr>
        <w:t xml:space="preserve">15. HG01978; </w:t>
      </w:r>
      <w:r w:rsidR="00B051E2">
        <w:rPr>
          <w:sz w:val="20"/>
          <w:szCs w:val="28"/>
        </w:rPr>
        <w:tab/>
      </w:r>
      <w:r w:rsidRPr="000B0CA8">
        <w:rPr>
          <w:sz w:val="20"/>
          <w:szCs w:val="28"/>
        </w:rPr>
        <w:t xml:space="preserve">16. HG02148; </w:t>
      </w:r>
    </w:p>
    <w:p w14:paraId="1AFBCBBD" w14:textId="697E0B08" w:rsidR="00B051E2" w:rsidRDefault="0024576B" w:rsidP="002B2169">
      <w:pPr>
        <w:rPr>
          <w:sz w:val="20"/>
          <w:szCs w:val="28"/>
        </w:rPr>
      </w:pPr>
      <w:r w:rsidRPr="000B0CA8">
        <w:rPr>
          <w:sz w:val="20"/>
          <w:szCs w:val="28"/>
        </w:rPr>
        <w:t xml:space="preserve">17. HG02257; </w:t>
      </w:r>
      <w:r w:rsidR="00B051E2">
        <w:rPr>
          <w:sz w:val="20"/>
          <w:szCs w:val="28"/>
        </w:rPr>
        <w:tab/>
      </w:r>
      <w:r w:rsidRPr="000B0CA8">
        <w:rPr>
          <w:sz w:val="20"/>
          <w:szCs w:val="28"/>
        </w:rPr>
        <w:t xml:space="preserve">18. HG02486; </w:t>
      </w:r>
      <w:r w:rsidR="00B051E2">
        <w:rPr>
          <w:sz w:val="20"/>
          <w:szCs w:val="28"/>
        </w:rPr>
        <w:tab/>
      </w:r>
      <w:r w:rsidRPr="000B0CA8">
        <w:rPr>
          <w:sz w:val="20"/>
          <w:szCs w:val="28"/>
        </w:rPr>
        <w:t xml:space="preserve">19. HG02559; </w:t>
      </w:r>
      <w:r w:rsidR="00B051E2">
        <w:rPr>
          <w:sz w:val="20"/>
          <w:szCs w:val="28"/>
        </w:rPr>
        <w:tab/>
      </w:r>
      <w:r w:rsidRPr="000B0CA8">
        <w:rPr>
          <w:sz w:val="20"/>
          <w:szCs w:val="28"/>
        </w:rPr>
        <w:t xml:space="preserve">20. HG02572; </w:t>
      </w:r>
    </w:p>
    <w:p w14:paraId="5DAAFC4B" w14:textId="71B57414" w:rsidR="00B051E2" w:rsidRDefault="0024576B" w:rsidP="002B2169">
      <w:pPr>
        <w:rPr>
          <w:sz w:val="20"/>
          <w:szCs w:val="28"/>
        </w:rPr>
      </w:pPr>
      <w:r w:rsidRPr="000B0CA8">
        <w:rPr>
          <w:sz w:val="20"/>
          <w:szCs w:val="28"/>
        </w:rPr>
        <w:t xml:space="preserve">21. HG02622; </w:t>
      </w:r>
      <w:r w:rsidR="00B051E2">
        <w:rPr>
          <w:sz w:val="20"/>
          <w:szCs w:val="28"/>
        </w:rPr>
        <w:tab/>
      </w:r>
      <w:r w:rsidRPr="000B0CA8">
        <w:rPr>
          <w:sz w:val="20"/>
          <w:szCs w:val="28"/>
        </w:rPr>
        <w:t xml:space="preserve">22. HG02630; </w:t>
      </w:r>
      <w:r w:rsidR="00B051E2">
        <w:rPr>
          <w:sz w:val="20"/>
          <w:szCs w:val="28"/>
        </w:rPr>
        <w:tab/>
      </w:r>
      <w:r w:rsidRPr="000B0CA8">
        <w:rPr>
          <w:sz w:val="20"/>
          <w:szCs w:val="28"/>
        </w:rPr>
        <w:t xml:space="preserve">23. HG02717; </w:t>
      </w:r>
      <w:r w:rsidR="00B051E2">
        <w:rPr>
          <w:sz w:val="20"/>
          <w:szCs w:val="28"/>
        </w:rPr>
        <w:tab/>
      </w:r>
      <w:r w:rsidRPr="000B0CA8">
        <w:rPr>
          <w:sz w:val="20"/>
          <w:szCs w:val="28"/>
        </w:rPr>
        <w:t xml:space="preserve">24. HG02886; </w:t>
      </w:r>
    </w:p>
    <w:p w14:paraId="1C24F689" w14:textId="62DB3BCB" w:rsidR="00B051E2" w:rsidRDefault="0024576B" w:rsidP="002B2169">
      <w:pPr>
        <w:rPr>
          <w:sz w:val="20"/>
          <w:szCs w:val="28"/>
        </w:rPr>
      </w:pPr>
      <w:r w:rsidRPr="000B0CA8">
        <w:rPr>
          <w:sz w:val="20"/>
          <w:szCs w:val="28"/>
        </w:rPr>
        <w:t xml:space="preserve">25. HG03453; </w:t>
      </w:r>
      <w:r w:rsidR="00B051E2">
        <w:rPr>
          <w:sz w:val="20"/>
          <w:szCs w:val="28"/>
        </w:rPr>
        <w:tab/>
      </w:r>
      <w:r w:rsidRPr="000B0CA8">
        <w:rPr>
          <w:sz w:val="20"/>
          <w:szCs w:val="28"/>
        </w:rPr>
        <w:t xml:space="preserve">26. HG03516; </w:t>
      </w:r>
      <w:r w:rsidR="00B051E2">
        <w:rPr>
          <w:sz w:val="20"/>
          <w:szCs w:val="28"/>
        </w:rPr>
        <w:tab/>
      </w:r>
      <w:r w:rsidRPr="000B0CA8">
        <w:rPr>
          <w:sz w:val="20"/>
          <w:szCs w:val="28"/>
        </w:rPr>
        <w:t>27. HG03540;</w:t>
      </w:r>
      <w:r w:rsidR="00B051E2">
        <w:rPr>
          <w:sz w:val="20"/>
          <w:szCs w:val="28"/>
        </w:rPr>
        <w:tab/>
      </w:r>
      <w:r w:rsidRPr="000B0CA8">
        <w:rPr>
          <w:sz w:val="20"/>
          <w:szCs w:val="28"/>
        </w:rPr>
        <w:t xml:space="preserve">28. HG03579; </w:t>
      </w:r>
    </w:p>
    <w:p w14:paraId="2232885F" w14:textId="0E0E0FCC" w:rsidR="00B051E2" w:rsidRDefault="0024576B" w:rsidP="002B2169">
      <w:pPr>
        <w:rPr>
          <w:sz w:val="20"/>
          <w:szCs w:val="28"/>
        </w:rPr>
      </w:pPr>
      <w:r w:rsidRPr="000B0CA8">
        <w:rPr>
          <w:sz w:val="20"/>
          <w:szCs w:val="28"/>
        </w:rPr>
        <w:t xml:space="preserve">29. HG002; </w:t>
      </w:r>
      <w:r w:rsidR="00B051E2">
        <w:rPr>
          <w:sz w:val="20"/>
          <w:szCs w:val="28"/>
        </w:rPr>
        <w:tab/>
      </w:r>
      <w:r w:rsidRPr="000B0CA8">
        <w:rPr>
          <w:sz w:val="20"/>
          <w:szCs w:val="28"/>
        </w:rPr>
        <w:t xml:space="preserve">30. HG005; </w:t>
      </w:r>
      <w:r w:rsidR="00B051E2">
        <w:rPr>
          <w:sz w:val="20"/>
          <w:szCs w:val="28"/>
        </w:rPr>
        <w:tab/>
      </w:r>
      <w:r w:rsidRPr="000B0CA8">
        <w:rPr>
          <w:sz w:val="20"/>
          <w:szCs w:val="28"/>
        </w:rPr>
        <w:t>31. HG00733;</w:t>
      </w:r>
      <w:r w:rsidR="00B051E2">
        <w:rPr>
          <w:sz w:val="20"/>
          <w:szCs w:val="28"/>
        </w:rPr>
        <w:tab/>
      </w:r>
      <w:r w:rsidRPr="000B0CA8">
        <w:rPr>
          <w:sz w:val="20"/>
          <w:szCs w:val="28"/>
        </w:rPr>
        <w:t xml:space="preserve">32. HG01109; </w:t>
      </w:r>
    </w:p>
    <w:p w14:paraId="30A01CDE" w14:textId="580C72FF" w:rsidR="00B051E2" w:rsidRDefault="0024576B" w:rsidP="002B2169">
      <w:pPr>
        <w:rPr>
          <w:sz w:val="20"/>
          <w:szCs w:val="28"/>
        </w:rPr>
      </w:pPr>
      <w:r w:rsidRPr="000B0CA8">
        <w:rPr>
          <w:sz w:val="20"/>
          <w:szCs w:val="28"/>
        </w:rPr>
        <w:t xml:space="preserve">33. HG01243; </w:t>
      </w:r>
      <w:r w:rsidR="00B051E2">
        <w:rPr>
          <w:sz w:val="20"/>
          <w:szCs w:val="28"/>
        </w:rPr>
        <w:tab/>
      </w:r>
      <w:r w:rsidRPr="000B0CA8">
        <w:rPr>
          <w:sz w:val="20"/>
          <w:szCs w:val="28"/>
        </w:rPr>
        <w:t xml:space="preserve">34. HG02055; </w:t>
      </w:r>
      <w:r w:rsidR="00B051E2">
        <w:rPr>
          <w:sz w:val="20"/>
          <w:szCs w:val="28"/>
        </w:rPr>
        <w:tab/>
      </w:r>
      <w:r w:rsidRPr="000B0CA8">
        <w:rPr>
          <w:sz w:val="20"/>
          <w:szCs w:val="28"/>
        </w:rPr>
        <w:t xml:space="preserve">35. HG02080; </w:t>
      </w:r>
      <w:r w:rsidR="00B051E2">
        <w:rPr>
          <w:sz w:val="20"/>
          <w:szCs w:val="28"/>
        </w:rPr>
        <w:tab/>
      </w:r>
      <w:r w:rsidRPr="000B0CA8">
        <w:rPr>
          <w:sz w:val="20"/>
          <w:szCs w:val="28"/>
        </w:rPr>
        <w:t xml:space="preserve">36. HG02109; </w:t>
      </w:r>
    </w:p>
    <w:p w14:paraId="73AA40FC" w14:textId="107D8ED9" w:rsidR="00B051E2" w:rsidRDefault="0024576B" w:rsidP="002B2169">
      <w:pPr>
        <w:rPr>
          <w:sz w:val="20"/>
          <w:szCs w:val="28"/>
        </w:rPr>
      </w:pPr>
      <w:r w:rsidRPr="000B0CA8">
        <w:rPr>
          <w:sz w:val="20"/>
          <w:szCs w:val="28"/>
        </w:rPr>
        <w:t xml:space="preserve">37. HG02145; </w:t>
      </w:r>
      <w:r w:rsidR="00B051E2">
        <w:rPr>
          <w:sz w:val="20"/>
          <w:szCs w:val="28"/>
        </w:rPr>
        <w:tab/>
      </w:r>
      <w:r w:rsidRPr="000B0CA8">
        <w:rPr>
          <w:sz w:val="20"/>
          <w:szCs w:val="28"/>
        </w:rPr>
        <w:t xml:space="preserve">38. HG02723; </w:t>
      </w:r>
      <w:r w:rsidR="00B051E2">
        <w:rPr>
          <w:sz w:val="20"/>
          <w:szCs w:val="28"/>
        </w:rPr>
        <w:tab/>
      </w:r>
      <w:r w:rsidRPr="000B0CA8">
        <w:rPr>
          <w:sz w:val="20"/>
          <w:szCs w:val="28"/>
        </w:rPr>
        <w:t xml:space="preserve">39. HG02818; </w:t>
      </w:r>
      <w:r w:rsidR="00B051E2">
        <w:rPr>
          <w:sz w:val="20"/>
          <w:szCs w:val="28"/>
        </w:rPr>
        <w:tab/>
      </w:r>
      <w:r w:rsidRPr="000B0CA8">
        <w:rPr>
          <w:sz w:val="20"/>
          <w:szCs w:val="28"/>
        </w:rPr>
        <w:t xml:space="preserve">40. HG03098; </w:t>
      </w:r>
    </w:p>
    <w:p w14:paraId="7D66496C" w14:textId="5F79EA02" w:rsidR="00B051E2" w:rsidRDefault="0024576B" w:rsidP="002B2169">
      <w:pPr>
        <w:rPr>
          <w:sz w:val="20"/>
          <w:szCs w:val="28"/>
        </w:rPr>
      </w:pPr>
      <w:r w:rsidRPr="000B0CA8">
        <w:rPr>
          <w:sz w:val="20"/>
          <w:szCs w:val="28"/>
        </w:rPr>
        <w:t xml:space="preserve">41. HG03486; </w:t>
      </w:r>
      <w:r w:rsidR="00B051E2">
        <w:rPr>
          <w:sz w:val="20"/>
          <w:szCs w:val="28"/>
        </w:rPr>
        <w:tab/>
      </w:r>
      <w:r w:rsidRPr="000B0CA8">
        <w:rPr>
          <w:sz w:val="20"/>
          <w:szCs w:val="28"/>
        </w:rPr>
        <w:t xml:space="preserve">42. HG03492; </w:t>
      </w:r>
      <w:r w:rsidR="00B051E2">
        <w:rPr>
          <w:sz w:val="20"/>
          <w:szCs w:val="28"/>
        </w:rPr>
        <w:tab/>
      </w:r>
      <w:r w:rsidRPr="000B0CA8">
        <w:rPr>
          <w:sz w:val="20"/>
          <w:szCs w:val="28"/>
        </w:rPr>
        <w:t xml:space="preserve">43. NA18906; </w:t>
      </w:r>
      <w:r w:rsidR="00B051E2">
        <w:rPr>
          <w:sz w:val="20"/>
          <w:szCs w:val="28"/>
        </w:rPr>
        <w:tab/>
      </w:r>
      <w:r w:rsidRPr="000B0CA8">
        <w:rPr>
          <w:sz w:val="20"/>
          <w:szCs w:val="28"/>
        </w:rPr>
        <w:t xml:space="preserve">44. NA19240; </w:t>
      </w:r>
    </w:p>
    <w:p w14:paraId="7628C61B" w14:textId="6DF7E000" w:rsidR="00D52C47" w:rsidRPr="000B0CA8" w:rsidRDefault="0024576B" w:rsidP="002B2169">
      <w:pPr>
        <w:rPr>
          <w:sz w:val="20"/>
          <w:szCs w:val="28"/>
        </w:rPr>
      </w:pPr>
      <w:r w:rsidRPr="000B0CA8">
        <w:rPr>
          <w:sz w:val="20"/>
          <w:szCs w:val="28"/>
        </w:rPr>
        <w:t xml:space="preserve">45. NA20129; </w:t>
      </w:r>
      <w:r w:rsidR="00B051E2">
        <w:rPr>
          <w:sz w:val="20"/>
          <w:szCs w:val="28"/>
        </w:rPr>
        <w:tab/>
      </w:r>
      <w:r w:rsidRPr="000B0CA8">
        <w:rPr>
          <w:sz w:val="20"/>
          <w:szCs w:val="28"/>
        </w:rPr>
        <w:t>46. NA21309</w:t>
      </w:r>
      <w:r w:rsidR="00D52C47" w:rsidRPr="000B0CA8">
        <w:rPr>
          <w:sz w:val="20"/>
          <w:szCs w:val="28"/>
        </w:rPr>
        <w:t>.</w:t>
      </w:r>
    </w:p>
    <w:p w14:paraId="1EA526AE" w14:textId="2C840362" w:rsidR="006D04AB" w:rsidRPr="000B0CA8" w:rsidRDefault="006D04AB" w:rsidP="006D04AB">
      <w:pPr>
        <w:rPr>
          <w:sz w:val="20"/>
          <w:szCs w:val="28"/>
        </w:rPr>
      </w:pPr>
      <w:r w:rsidRPr="000B0CA8">
        <w:rPr>
          <w:sz w:val="20"/>
          <w:szCs w:val="28"/>
        </w:rPr>
        <w:t xml:space="preserve">Sequencing data for 1-28 of the above samples can be downloaded at </w:t>
      </w:r>
      <w:hyperlink r:id="rId9" w:history="1">
        <w:r w:rsidRPr="000B0CA8">
          <w:rPr>
            <w:rStyle w:val="ab"/>
            <w:sz w:val="20"/>
            <w:szCs w:val="28"/>
          </w:rPr>
          <w:t>https://s3-us-west-2.amazonaws.com/human-pangenomics/index.html?prefix=working/HPRC</w:t>
        </w:r>
      </w:hyperlink>
      <w:r w:rsidRPr="000B0CA8">
        <w:rPr>
          <w:sz w:val="20"/>
          <w:szCs w:val="28"/>
        </w:rPr>
        <w:t xml:space="preserve">. The index of the above samples from 29 to 46 can be downloaded at </w:t>
      </w:r>
      <w:hyperlink r:id="rId10" w:history="1">
        <w:r w:rsidRPr="000B0CA8">
          <w:rPr>
            <w:rStyle w:val="ab"/>
            <w:sz w:val="20"/>
            <w:szCs w:val="28"/>
          </w:rPr>
          <w:t>https://s3-us-west-2.amazonaws.com/human-pangenomics/index.html?prefix=working/HPRC_PLUS</w:t>
        </w:r>
      </w:hyperlink>
      <w:r w:rsidRPr="000B0CA8">
        <w:rPr>
          <w:sz w:val="20"/>
          <w:szCs w:val="28"/>
        </w:rPr>
        <w:t xml:space="preserve">. After collecting the bam files of </w:t>
      </w:r>
      <w:r w:rsidR="00D52C47" w:rsidRPr="000B0CA8">
        <w:rPr>
          <w:sz w:val="20"/>
          <w:szCs w:val="28"/>
        </w:rPr>
        <w:t xml:space="preserve">the </w:t>
      </w:r>
      <w:r w:rsidRPr="000B0CA8">
        <w:rPr>
          <w:sz w:val="20"/>
          <w:szCs w:val="28"/>
        </w:rPr>
        <w:t>above samples, w</w:t>
      </w:r>
      <w:r w:rsidR="00D52C47" w:rsidRPr="000B0CA8">
        <w:rPr>
          <w:sz w:val="20"/>
          <w:szCs w:val="28"/>
        </w:rPr>
        <w:t>e called the SVs from these files separately using CuteSV2 and Sniffles.</w:t>
      </w:r>
    </w:p>
    <w:p w14:paraId="0C6194C6" w14:textId="77777777" w:rsidR="00116ED6" w:rsidRPr="000B0CA8" w:rsidRDefault="00116ED6" w:rsidP="002B2169">
      <w:pPr>
        <w:rPr>
          <w:sz w:val="20"/>
          <w:szCs w:val="28"/>
        </w:rPr>
      </w:pPr>
    </w:p>
    <w:p w14:paraId="6A7705AE" w14:textId="78E4671E" w:rsidR="00596931" w:rsidRDefault="00596931" w:rsidP="006213D5">
      <w:pPr>
        <w:pStyle w:val="3"/>
        <w:spacing w:after="312"/>
      </w:pPr>
      <w:r w:rsidRPr="00596931">
        <w:lastRenderedPageBreak/>
        <w:t xml:space="preserve">Supplementary Note </w:t>
      </w:r>
      <w:r>
        <w:t>4</w:t>
      </w:r>
      <w:r w:rsidRPr="00596931">
        <w:t xml:space="preserve">. The Mann-Whitney U tests on </w:t>
      </w:r>
      <w:r>
        <w:t xml:space="preserve">merged </w:t>
      </w:r>
      <w:r w:rsidRPr="00596931">
        <w:t>SV length between SDFA and other tools.</w:t>
      </w:r>
    </w:p>
    <w:p w14:paraId="792D60AC" w14:textId="77777777" w:rsidR="0048487E" w:rsidRPr="0048487E" w:rsidRDefault="0048487E" w:rsidP="0048487E">
      <w:pPr>
        <w:pStyle w:val="af4"/>
        <w:keepNext/>
        <w:jc w:val="center"/>
        <w:rPr>
          <w:rFonts w:ascii="Arial" w:hAnsi="Arial" w:cs="Arial"/>
        </w:rPr>
      </w:pPr>
      <w:r w:rsidRPr="00953335">
        <w:rPr>
          <w:rFonts w:ascii="Arial" w:hAnsi="Arial" w:cs="Arial"/>
        </w:rPr>
        <w:t xml:space="preserve">Table </w:t>
      </w:r>
      <w:r w:rsidRPr="00953335">
        <w:rPr>
          <w:rFonts w:ascii="Arial" w:hAnsi="Arial" w:cs="Arial"/>
        </w:rPr>
        <w:fldChar w:fldCharType="begin"/>
      </w:r>
      <w:r w:rsidRPr="00953335">
        <w:rPr>
          <w:rFonts w:ascii="Arial" w:hAnsi="Arial" w:cs="Arial"/>
        </w:rPr>
        <w:instrText xml:space="preserve"> SEQ Table \* ARABIC </w:instrText>
      </w:r>
      <w:r w:rsidRPr="00953335">
        <w:rPr>
          <w:rFonts w:ascii="Arial" w:hAnsi="Arial" w:cs="Arial"/>
        </w:rPr>
        <w:fldChar w:fldCharType="separate"/>
      </w:r>
      <w:r w:rsidRPr="00953335">
        <w:rPr>
          <w:rFonts w:ascii="Arial" w:hAnsi="Arial" w:cs="Arial"/>
          <w:noProof/>
        </w:rPr>
        <w:t>1</w:t>
      </w:r>
      <w:r w:rsidRPr="00953335">
        <w:rPr>
          <w:rFonts w:ascii="Arial" w:hAnsi="Arial" w:cs="Arial"/>
        </w:rPr>
        <w:fldChar w:fldCharType="end"/>
      </w:r>
      <w:r w:rsidRPr="00953335">
        <w:rPr>
          <w:rFonts w:ascii="Arial" w:hAnsi="Arial" w:cs="Arial"/>
        </w:rPr>
        <w:t>.</w:t>
      </w:r>
      <w:r w:rsidRPr="0048487E">
        <w:rPr>
          <w:rFonts w:ascii="Arial" w:hAnsi="Arial" w:cs="Arial"/>
        </w:rPr>
        <w:t xml:space="preserve"> </w:t>
      </w:r>
      <w:r w:rsidRPr="00953335">
        <w:rPr>
          <w:rFonts w:ascii="Arial" w:hAnsi="Arial" w:cs="Arial"/>
        </w:rPr>
        <w:t>Mann-Whitney U tests on SV length between SDFA and other tools.</w:t>
      </w:r>
    </w:p>
    <w:tbl>
      <w:tblPr>
        <w:tblStyle w:val="a7"/>
        <w:tblW w:w="0" w:type="auto"/>
        <w:jc w:val="center"/>
        <w:tblLook w:val="04A0" w:firstRow="1" w:lastRow="0" w:firstColumn="1" w:lastColumn="0" w:noHBand="0" w:noVBand="1"/>
      </w:tblPr>
      <w:tblGrid>
        <w:gridCol w:w="2765"/>
        <w:gridCol w:w="2765"/>
      </w:tblGrid>
      <w:tr w:rsidR="0048487E" w:rsidRPr="0048487E" w14:paraId="2B69EB85" w14:textId="77777777" w:rsidTr="007F5408">
        <w:trPr>
          <w:jc w:val="center"/>
        </w:trPr>
        <w:tc>
          <w:tcPr>
            <w:tcW w:w="2765" w:type="dxa"/>
            <w:tcBorders>
              <w:top w:val="single" w:sz="12" w:space="0" w:color="auto"/>
              <w:left w:val="nil"/>
              <w:bottom w:val="single" w:sz="6" w:space="0" w:color="auto"/>
              <w:right w:val="nil"/>
            </w:tcBorders>
            <w:vAlign w:val="center"/>
          </w:tcPr>
          <w:p w14:paraId="5CE299F3" w14:textId="77777777" w:rsidR="0048487E" w:rsidRPr="00953335" w:rsidRDefault="0048487E" w:rsidP="007F5408">
            <w:pPr>
              <w:jc w:val="center"/>
            </w:pPr>
            <w:r w:rsidRPr="00953335">
              <w:t>Comparison</w:t>
            </w:r>
          </w:p>
        </w:tc>
        <w:tc>
          <w:tcPr>
            <w:tcW w:w="2765" w:type="dxa"/>
            <w:tcBorders>
              <w:top w:val="single" w:sz="12" w:space="0" w:color="auto"/>
              <w:left w:val="nil"/>
              <w:bottom w:val="single" w:sz="6" w:space="0" w:color="auto"/>
              <w:right w:val="nil"/>
            </w:tcBorders>
            <w:vAlign w:val="center"/>
          </w:tcPr>
          <w:p w14:paraId="7C38D5AB" w14:textId="77777777" w:rsidR="0048487E" w:rsidRPr="00953335" w:rsidRDefault="0048487E" w:rsidP="007F5408">
            <w:pPr>
              <w:jc w:val="center"/>
            </w:pPr>
            <w:r w:rsidRPr="00953335">
              <w:t>Adjusted P-Value</w:t>
            </w:r>
          </w:p>
        </w:tc>
      </w:tr>
      <w:tr w:rsidR="0048487E" w:rsidRPr="0048487E" w14:paraId="3BF1EF37" w14:textId="77777777" w:rsidTr="007F5408">
        <w:trPr>
          <w:jc w:val="center"/>
        </w:trPr>
        <w:tc>
          <w:tcPr>
            <w:tcW w:w="2765" w:type="dxa"/>
            <w:tcBorders>
              <w:top w:val="single" w:sz="6" w:space="0" w:color="auto"/>
              <w:left w:val="nil"/>
              <w:bottom w:val="nil"/>
              <w:right w:val="nil"/>
            </w:tcBorders>
            <w:vAlign w:val="center"/>
          </w:tcPr>
          <w:p w14:paraId="197D2476" w14:textId="77777777" w:rsidR="0048487E" w:rsidRPr="00953335" w:rsidRDefault="0048487E" w:rsidP="007F5408">
            <w:pPr>
              <w:jc w:val="center"/>
            </w:pPr>
            <w:r w:rsidRPr="00953335">
              <w:t>SDFA vs jasmine</w:t>
            </w:r>
          </w:p>
        </w:tc>
        <w:tc>
          <w:tcPr>
            <w:tcW w:w="2765" w:type="dxa"/>
            <w:tcBorders>
              <w:top w:val="single" w:sz="6" w:space="0" w:color="auto"/>
              <w:left w:val="nil"/>
              <w:bottom w:val="nil"/>
              <w:right w:val="nil"/>
            </w:tcBorders>
            <w:vAlign w:val="center"/>
          </w:tcPr>
          <w:p w14:paraId="70EC7FDB" w14:textId="77777777" w:rsidR="0048487E" w:rsidRPr="00953335" w:rsidRDefault="0048487E" w:rsidP="007F5408">
            <w:pPr>
              <w:jc w:val="center"/>
            </w:pPr>
            <m:oMathPara>
              <m:oMath>
                <m:r>
                  <w:rPr>
                    <w:rFonts w:ascii="Cambria Math" w:hAnsi="Cambria Math"/>
                  </w:rPr>
                  <m:t>&lt;1×</m:t>
                </m:r>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tc>
      </w:tr>
      <w:tr w:rsidR="0048487E" w:rsidRPr="0048487E" w14:paraId="640F964B" w14:textId="77777777" w:rsidTr="007F5408">
        <w:trPr>
          <w:jc w:val="center"/>
        </w:trPr>
        <w:tc>
          <w:tcPr>
            <w:tcW w:w="2765" w:type="dxa"/>
            <w:tcBorders>
              <w:top w:val="nil"/>
              <w:left w:val="nil"/>
              <w:bottom w:val="nil"/>
              <w:right w:val="nil"/>
            </w:tcBorders>
            <w:vAlign w:val="center"/>
          </w:tcPr>
          <w:p w14:paraId="4B72F828" w14:textId="77777777" w:rsidR="0048487E" w:rsidRPr="00953335" w:rsidRDefault="0048487E" w:rsidP="007F5408">
            <w:pPr>
              <w:jc w:val="center"/>
            </w:pPr>
            <w:r w:rsidRPr="00953335">
              <w:t>SDFA vs svimmer</w:t>
            </w:r>
          </w:p>
        </w:tc>
        <w:tc>
          <w:tcPr>
            <w:tcW w:w="2765" w:type="dxa"/>
            <w:tcBorders>
              <w:top w:val="nil"/>
              <w:left w:val="nil"/>
              <w:bottom w:val="nil"/>
              <w:right w:val="nil"/>
            </w:tcBorders>
            <w:vAlign w:val="center"/>
          </w:tcPr>
          <w:p w14:paraId="14A6F4F2" w14:textId="77777777" w:rsidR="0048487E" w:rsidRPr="00953335" w:rsidRDefault="0048487E" w:rsidP="007F5408">
            <w:pPr>
              <w:jc w:val="center"/>
            </w:pPr>
            <m:oMathPara>
              <m:oMath>
                <m:r>
                  <w:rPr>
                    <w:rFonts w:ascii="Cambria Math" w:hAnsi="Cambria Math"/>
                  </w:rPr>
                  <m:t>2.26×</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tc>
      </w:tr>
      <w:tr w:rsidR="0048487E" w:rsidRPr="0048487E" w14:paraId="5F0816C3" w14:textId="77777777" w:rsidTr="007F5408">
        <w:trPr>
          <w:jc w:val="center"/>
        </w:trPr>
        <w:tc>
          <w:tcPr>
            <w:tcW w:w="2765" w:type="dxa"/>
            <w:tcBorders>
              <w:top w:val="nil"/>
              <w:left w:val="nil"/>
              <w:bottom w:val="single" w:sz="12" w:space="0" w:color="auto"/>
              <w:right w:val="nil"/>
            </w:tcBorders>
            <w:vAlign w:val="center"/>
          </w:tcPr>
          <w:p w14:paraId="4505A5CB" w14:textId="77777777" w:rsidR="0048487E" w:rsidRPr="00953335" w:rsidRDefault="0048487E" w:rsidP="007F5408">
            <w:pPr>
              <w:jc w:val="center"/>
            </w:pPr>
            <w:r w:rsidRPr="00953335">
              <w:t xml:space="preserve">SDFA vs </w:t>
            </w:r>
            <w:proofErr w:type="spellStart"/>
            <w:r w:rsidRPr="00953335">
              <w:t>Truvari</w:t>
            </w:r>
            <w:proofErr w:type="spellEnd"/>
          </w:p>
        </w:tc>
        <w:tc>
          <w:tcPr>
            <w:tcW w:w="2765" w:type="dxa"/>
            <w:tcBorders>
              <w:top w:val="nil"/>
              <w:left w:val="nil"/>
              <w:bottom w:val="single" w:sz="12" w:space="0" w:color="auto"/>
              <w:right w:val="nil"/>
            </w:tcBorders>
            <w:vAlign w:val="center"/>
          </w:tcPr>
          <w:p w14:paraId="04B641D4" w14:textId="77777777" w:rsidR="0048487E" w:rsidRPr="00953335" w:rsidRDefault="0048487E" w:rsidP="007F5408">
            <w:pPr>
              <w:jc w:val="center"/>
            </w:pPr>
            <m:oMathPara>
              <m:oMath>
                <m:r>
                  <w:rPr>
                    <w:rFonts w:ascii="Cambria Math" w:hAnsi="Cambria Math"/>
                  </w:rPr>
                  <m:t>&lt;1×</m:t>
                </m:r>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tc>
      </w:tr>
    </w:tbl>
    <w:p w14:paraId="545E323F" w14:textId="77777777" w:rsidR="0048487E" w:rsidRPr="0025266F" w:rsidRDefault="0048487E" w:rsidP="0048487E">
      <w:pPr>
        <w:rPr>
          <w:color w:val="4472C4" w:themeColor="accent1"/>
        </w:rPr>
      </w:pPr>
    </w:p>
    <w:p w14:paraId="3CBA7AF2" w14:textId="77777777" w:rsidR="0048487E" w:rsidRPr="00953335" w:rsidRDefault="0048487E" w:rsidP="0048487E">
      <w:pPr>
        <w:rPr>
          <w:color w:val="FF0000"/>
          <w:sz w:val="20"/>
          <w:szCs w:val="28"/>
        </w:rPr>
      </w:pPr>
      <w:r w:rsidRPr="00953335">
        <w:rPr>
          <w:color w:val="FF0000"/>
          <w:sz w:val="20"/>
          <w:szCs w:val="28"/>
        </w:rPr>
        <w:t xml:space="preserve">The adjusted </w:t>
      </w:r>
      <w:r w:rsidRPr="00953335">
        <w:rPr>
          <w:i/>
          <w:iCs/>
          <w:color w:val="FF0000"/>
          <w:sz w:val="20"/>
          <w:szCs w:val="28"/>
        </w:rPr>
        <w:t>p</w:t>
      </w:r>
      <w:r w:rsidRPr="00953335">
        <w:rPr>
          <w:color w:val="FF0000"/>
          <w:sz w:val="20"/>
          <w:szCs w:val="28"/>
        </w:rPr>
        <w:t xml:space="preserve">-values confirm statistically significant shorter SV lengths for SDFA (all </w:t>
      </w:r>
      <m:oMath>
        <m:r>
          <w:rPr>
            <w:rFonts w:ascii="Cambria Math" w:hAnsi="Cambria Math"/>
            <w:color w:val="FF0000"/>
            <w:sz w:val="20"/>
            <w:szCs w:val="28"/>
          </w:rPr>
          <m:t>p&lt;0.01</m:t>
        </m:r>
      </m:oMath>
      <w:r w:rsidRPr="00953335">
        <w:rPr>
          <w:color w:val="FF0000"/>
          <w:sz w:val="20"/>
          <w:szCs w:val="28"/>
        </w:rPr>
        <w:t xml:space="preserve">). This aligns with SDFA’s sample-wide algorithm, which reduces fragmentation by consistently merging overlapping SVs under fixed criteria (start/end differences </w:t>
      </w:r>
      <w:r w:rsidRPr="00953335">
        <w:rPr>
          <w:rFonts w:hint="eastAsia"/>
          <w:color w:val="FF0000"/>
          <w:sz w:val="20"/>
          <w:szCs w:val="28"/>
        </w:rPr>
        <w:t>≤</w:t>
      </w:r>
      <w:r w:rsidRPr="00953335">
        <w:rPr>
          <w:rFonts w:hint="eastAsia"/>
          <w:color w:val="FF0000"/>
          <w:sz w:val="20"/>
          <w:szCs w:val="28"/>
        </w:rPr>
        <w:t>1,000</w:t>
      </w:r>
      <w:r w:rsidRPr="00953335">
        <w:rPr>
          <w:color w:val="FF0000"/>
          <w:sz w:val="20"/>
          <w:szCs w:val="28"/>
        </w:rPr>
        <w:t xml:space="preserve"> bp). SURVIVOR’s median lengths were comparable but excluded from comparisons due to input-order dependency as discussed in Line 221.</w:t>
      </w:r>
    </w:p>
    <w:p w14:paraId="6D54DAAF" w14:textId="77777777" w:rsidR="0048487E" w:rsidRPr="0048487E" w:rsidRDefault="0048487E" w:rsidP="00953335"/>
    <w:p w14:paraId="509DFC58" w14:textId="3C3FB41D" w:rsidR="000416D9" w:rsidRPr="00D555AA" w:rsidRDefault="000416D9" w:rsidP="006213D5">
      <w:pPr>
        <w:pStyle w:val="3"/>
        <w:spacing w:after="312"/>
      </w:pPr>
      <w:r w:rsidRPr="00D555AA">
        <w:lastRenderedPageBreak/>
        <w:t xml:space="preserve">Supplementary Note </w:t>
      </w:r>
      <w:r w:rsidR="00596931">
        <w:t>5</w:t>
      </w:r>
      <w:r w:rsidRPr="00D555AA">
        <w:t xml:space="preserve">. </w:t>
      </w:r>
      <w:r w:rsidR="00C91933" w:rsidRPr="00D555AA">
        <w:t>Annotation Resource</w:t>
      </w:r>
      <w:r w:rsidR="00BC39E6" w:rsidRPr="00D555AA">
        <w:t>s</w:t>
      </w:r>
      <w:r w:rsidRPr="00D555AA">
        <w:t xml:space="preserve"> </w:t>
      </w:r>
      <w:r w:rsidR="0088574F" w:rsidRPr="00D555AA">
        <w:t>for</w:t>
      </w:r>
      <w:r w:rsidRPr="00D555AA">
        <w:t xml:space="preserve"> SDFA</w:t>
      </w:r>
    </w:p>
    <w:p w14:paraId="20E1042A" w14:textId="77777777" w:rsidR="006F0496" w:rsidRDefault="006F0496" w:rsidP="00E14287">
      <w:pPr>
        <w:rPr>
          <w:sz w:val="20"/>
          <w:szCs w:val="28"/>
        </w:rPr>
      </w:pPr>
    </w:p>
    <w:p w14:paraId="3E0F69DE" w14:textId="79147532" w:rsidR="00B310E9" w:rsidRPr="000B0CA8" w:rsidRDefault="00D106D5" w:rsidP="00E14287">
      <w:pPr>
        <w:rPr>
          <w:sz w:val="20"/>
          <w:szCs w:val="28"/>
        </w:rPr>
      </w:pPr>
      <w:r w:rsidRPr="000B0CA8">
        <w:rPr>
          <w:sz w:val="20"/>
          <w:szCs w:val="28"/>
        </w:rPr>
        <w:t>SDFA supports the integration of external databases for SV annotation, provided that the external data files adhere to the following basic format requirements:</w:t>
      </w:r>
    </w:p>
    <w:p w14:paraId="7FB0D3A7" w14:textId="77777777" w:rsidR="00D106D5" w:rsidRPr="000B0CA8" w:rsidRDefault="00D106D5" w:rsidP="00E14287">
      <w:pPr>
        <w:pStyle w:val="aa"/>
        <w:numPr>
          <w:ilvl w:val="0"/>
          <w:numId w:val="3"/>
        </w:numPr>
        <w:ind w:firstLineChars="0"/>
        <w:rPr>
          <w:b/>
          <w:bCs/>
          <w:sz w:val="20"/>
          <w:szCs w:val="28"/>
        </w:rPr>
      </w:pPr>
      <w:r w:rsidRPr="000B0CA8">
        <w:rPr>
          <w:sz w:val="20"/>
          <w:szCs w:val="28"/>
        </w:rPr>
        <w:t>The annotation file must use a tab character (\t) as a delimiter.</w:t>
      </w:r>
    </w:p>
    <w:p w14:paraId="1700CA7B" w14:textId="2D7F1762" w:rsidR="00D106D5" w:rsidRPr="000B0CA8" w:rsidRDefault="00D106D5" w:rsidP="00E14287">
      <w:pPr>
        <w:pStyle w:val="aa"/>
        <w:numPr>
          <w:ilvl w:val="0"/>
          <w:numId w:val="3"/>
        </w:numPr>
        <w:ind w:firstLineChars="0"/>
        <w:rPr>
          <w:b/>
          <w:bCs/>
          <w:sz w:val="20"/>
          <w:szCs w:val="28"/>
        </w:rPr>
      </w:pPr>
      <w:r w:rsidRPr="000B0CA8">
        <w:rPr>
          <w:sz w:val="20"/>
          <w:szCs w:val="28"/>
        </w:rPr>
        <w:t>The annotation file must include a header line with column names, beginning with a number sign (#). Lines that begin with double number signs (##) will be ignored.</w:t>
      </w:r>
    </w:p>
    <w:p w14:paraId="0563C90E" w14:textId="1CB7AB8A" w:rsidR="00D106D5" w:rsidRDefault="00D106D5" w:rsidP="00E14287">
      <w:pPr>
        <w:rPr>
          <w:sz w:val="20"/>
          <w:szCs w:val="28"/>
        </w:rPr>
      </w:pPr>
      <w:r w:rsidRPr="000B0CA8">
        <w:rPr>
          <w:sz w:val="20"/>
          <w:szCs w:val="28"/>
        </w:rPr>
        <w:t>Additionally, for SDFA to process interval annotation files and reference SV annotation files, these files must also meet the following specific criteria:</w:t>
      </w:r>
    </w:p>
    <w:p w14:paraId="4D3C97E9" w14:textId="77777777" w:rsidR="000B4A27" w:rsidRPr="008733AC" w:rsidRDefault="000B4A27" w:rsidP="00E14287">
      <w:pPr>
        <w:rPr>
          <w:sz w:val="20"/>
          <w:szCs w:val="28"/>
        </w:rPr>
      </w:pPr>
    </w:p>
    <w:p w14:paraId="2E0DB2F4" w14:textId="72ED8FC7" w:rsidR="00881730" w:rsidRPr="000B0CA8" w:rsidRDefault="00B310E9" w:rsidP="00953335">
      <w:pPr>
        <w:rPr>
          <w:sz w:val="20"/>
          <w:szCs w:val="28"/>
        </w:rPr>
      </w:pPr>
      <w:r w:rsidRPr="00D555AA">
        <w:rPr>
          <w:b/>
          <w:bCs/>
          <w:sz w:val="20"/>
          <w:szCs w:val="28"/>
        </w:rPr>
        <w:t>Interval File:</w:t>
      </w:r>
      <w:r w:rsidR="00761655">
        <w:rPr>
          <w:b/>
          <w:bCs/>
          <w:sz w:val="20"/>
          <w:szCs w:val="28"/>
        </w:rPr>
        <w:t xml:space="preserve"> </w:t>
      </w:r>
      <w:r w:rsidR="00881730" w:rsidRPr="000B0CA8">
        <w:rPr>
          <w:rFonts w:hint="eastAsia"/>
          <w:sz w:val="20"/>
          <w:szCs w:val="28"/>
        </w:rPr>
        <w:t>T</w:t>
      </w:r>
      <w:r w:rsidR="00881730" w:rsidRPr="000B0CA8">
        <w:rPr>
          <w:sz w:val="20"/>
          <w:szCs w:val="28"/>
        </w:rPr>
        <w:t xml:space="preserve">he first three columns in the </w:t>
      </w:r>
      <w:r w:rsidR="00A32B94" w:rsidRPr="000B0CA8">
        <w:rPr>
          <w:sz w:val="20"/>
          <w:szCs w:val="28"/>
        </w:rPr>
        <w:t xml:space="preserve">interval </w:t>
      </w:r>
      <w:r w:rsidR="00881730" w:rsidRPr="000B0CA8">
        <w:rPr>
          <w:sz w:val="20"/>
          <w:szCs w:val="28"/>
        </w:rPr>
        <w:t xml:space="preserve">annotation file </w:t>
      </w:r>
      <w:r w:rsidR="00A32B94" w:rsidRPr="000B0CA8">
        <w:rPr>
          <w:sz w:val="20"/>
          <w:szCs w:val="28"/>
        </w:rPr>
        <w:t>must</w:t>
      </w:r>
      <w:r w:rsidR="00881730" w:rsidRPr="000B0CA8">
        <w:rPr>
          <w:sz w:val="20"/>
          <w:szCs w:val="28"/>
        </w:rPr>
        <w:t xml:space="preserve"> meet the following requirements.</w:t>
      </w:r>
    </w:p>
    <w:p w14:paraId="1FBDE073" w14:textId="4FE90C78" w:rsidR="006F0496" w:rsidRPr="00953335" w:rsidRDefault="006F0496" w:rsidP="00953335">
      <w:pPr>
        <w:pStyle w:val="af4"/>
        <w:keepNext/>
        <w:jc w:val="center"/>
        <w:rPr>
          <w:b/>
          <w:bCs/>
          <w:color w:val="FF0000"/>
        </w:rPr>
      </w:pPr>
      <w:r w:rsidRPr="00953335">
        <w:rPr>
          <w:rFonts w:ascii="Arial" w:hAnsi="Arial" w:cs="Arial"/>
          <w:b/>
          <w:bCs/>
          <w:color w:val="FF0000"/>
          <w:sz w:val="21"/>
          <w:szCs w:val="21"/>
        </w:rPr>
        <w:t xml:space="preserve">Table </w:t>
      </w:r>
      <w:r w:rsidRPr="00953335">
        <w:rPr>
          <w:rFonts w:ascii="Arial" w:hAnsi="Arial" w:cs="Arial"/>
          <w:b/>
          <w:bCs/>
          <w:color w:val="FF0000"/>
          <w:sz w:val="21"/>
          <w:szCs w:val="21"/>
        </w:rPr>
        <w:fldChar w:fldCharType="begin"/>
      </w:r>
      <w:r w:rsidRPr="00953335">
        <w:rPr>
          <w:rFonts w:ascii="Arial" w:hAnsi="Arial" w:cs="Arial"/>
          <w:b/>
          <w:bCs/>
          <w:color w:val="FF0000"/>
          <w:sz w:val="21"/>
          <w:szCs w:val="21"/>
        </w:rPr>
        <w:instrText xml:space="preserve"> SEQ Table \* ARABIC </w:instrText>
      </w:r>
      <w:r w:rsidRPr="00953335">
        <w:rPr>
          <w:rFonts w:ascii="Arial" w:hAnsi="Arial" w:cs="Arial"/>
          <w:b/>
          <w:bCs/>
          <w:color w:val="FF0000"/>
          <w:sz w:val="21"/>
          <w:szCs w:val="21"/>
        </w:rPr>
        <w:fldChar w:fldCharType="separate"/>
      </w:r>
      <w:r w:rsidR="00F455C2" w:rsidRPr="00953335">
        <w:rPr>
          <w:rFonts w:ascii="Arial" w:hAnsi="Arial" w:cs="Arial"/>
          <w:b/>
          <w:bCs/>
          <w:noProof/>
          <w:color w:val="FF0000"/>
          <w:sz w:val="21"/>
          <w:szCs w:val="21"/>
        </w:rPr>
        <w:t>4</w:t>
      </w:r>
      <w:r w:rsidRPr="00953335">
        <w:rPr>
          <w:rFonts w:ascii="Arial" w:hAnsi="Arial" w:cs="Arial"/>
          <w:b/>
          <w:bCs/>
          <w:color w:val="FF0000"/>
          <w:sz w:val="21"/>
          <w:szCs w:val="21"/>
        </w:rPr>
        <w:fldChar w:fldCharType="end"/>
      </w:r>
      <w:r w:rsidRPr="00953335">
        <w:rPr>
          <w:rFonts w:ascii="Arial" w:hAnsi="Arial" w:cs="Arial"/>
          <w:b/>
          <w:bCs/>
          <w:color w:val="FF0000"/>
          <w:sz w:val="21"/>
          <w:szCs w:val="21"/>
        </w:rPr>
        <w:t>.</w:t>
      </w:r>
      <w:r w:rsidRPr="00953335">
        <w:rPr>
          <w:rFonts w:ascii="Arial" w:hAnsi="Arial" w:cs="Arial"/>
          <w:b/>
          <w:bCs/>
          <w:color w:val="FF0000"/>
        </w:rPr>
        <w:t xml:space="preserve"> </w:t>
      </w:r>
      <w:r w:rsidR="00F455C2" w:rsidRPr="00953335">
        <w:rPr>
          <w:rFonts w:ascii="Arial" w:hAnsi="Arial" w:cs="Arial"/>
          <w:b/>
          <w:bCs/>
          <w:color w:val="FF0000"/>
        </w:rPr>
        <w:t>Interval annotation file format</w:t>
      </w:r>
    </w:p>
    <w:tbl>
      <w:tblPr>
        <w:tblStyle w:val="a9"/>
        <w:tblW w:w="4438" w:type="pct"/>
        <w:jc w:val="center"/>
        <w:tblInd w:w="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750"/>
        <w:gridCol w:w="1750"/>
        <w:gridCol w:w="1274"/>
        <w:gridCol w:w="2598"/>
      </w:tblGrid>
      <w:tr w:rsidR="00881730" w:rsidRPr="000B0CA8" w14:paraId="183FDD31" w14:textId="77777777" w:rsidTr="00953335">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single" w:sz="6" w:space="0" w:color="auto"/>
              <w:left w:val="nil"/>
              <w:bottom w:val="single" w:sz="6" w:space="0" w:color="auto"/>
              <w:right w:val="nil"/>
            </w:tcBorders>
            <w:shd w:val="clear" w:color="auto" w:fill="auto"/>
          </w:tcPr>
          <w:p w14:paraId="0F8182CE" w14:textId="363C370B" w:rsidR="00881730" w:rsidRPr="000B0CA8" w:rsidRDefault="00881730" w:rsidP="00D555AA">
            <w:pPr>
              <w:spacing w:line="240" w:lineRule="exact"/>
              <w:jc w:val="center"/>
              <w:rPr>
                <w:rFonts w:ascii="Times New Roman" w:hAnsi="Times New Roman" w:cs="Times New Roman"/>
                <w:color w:val="000000" w:themeColor="text1"/>
                <w:sz w:val="16"/>
                <w:szCs w:val="16"/>
              </w:rPr>
            </w:pPr>
            <w:bookmarkStart w:id="3" w:name="_Hlk172506895"/>
            <w:r w:rsidRPr="000B0CA8">
              <w:rPr>
                <w:rFonts w:ascii="Times New Roman" w:hAnsi="Times New Roman" w:cs="Times New Roman" w:hint="eastAsia"/>
                <w:color w:val="000000" w:themeColor="text1"/>
                <w:sz w:val="16"/>
                <w:szCs w:val="16"/>
                <w:lang w:val="zh-CN"/>
              </w:rPr>
              <w:t>C</w:t>
            </w:r>
            <w:proofErr w:type="spellStart"/>
            <w:r w:rsidRPr="000B0CA8">
              <w:rPr>
                <w:rFonts w:ascii="Times New Roman" w:hAnsi="Times New Roman" w:cs="Times New Roman"/>
                <w:color w:val="000000" w:themeColor="text1"/>
                <w:sz w:val="16"/>
                <w:szCs w:val="16"/>
              </w:rPr>
              <w:t>olumn</w:t>
            </w:r>
            <w:proofErr w:type="spellEnd"/>
          </w:p>
        </w:tc>
        <w:tc>
          <w:tcPr>
            <w:tcW w:w="1187" w:type="pct"/>
            <w:tcBorders>
              <w:top w:val="single" w:sz="6" w:space="0" w:color="auto"/>
              <w:left w:val="nil"/>
              <w:bottom w:val="single" w:sz="6" w:space="0" w:color="auto"/>
              <w:right w:val="nil"/>
            </w:tcBorders>
            <w:shd w:val="clear" w:color="auto" w:fill="auto"/>
            <w:hideMark/>
          </w:tcPr>
          <w:p w14:paraId="582C34BE" w14:textId="795D6891"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6"/>
                <w:szCs w:val="16"/>
              </w:rPr>
            </w:pPr>
            <w:r w:rsidRPr="000B0CA8">
              <w:rPr>
                <w:rFonts w:ascii="Times New Roman" w:hAnsi="Times New Roman" w:cs="Times New Roman"/>
                <w:color w:val="000000" w:themeColor="text1"/>
                <w:sz w:val="16"/>
                <w:szCs w:val="16"/>
                <w:lang w:val="zh-CN"/>
              </w:rPr>
              <w:t>Name</w:t>
            </w:r>
          </w:p>
        </w:tc>
        <w:tc>
          <w:tcPr>
            <w:tcW w:w="864" w:type="pct"/>
            <w:tcBorders>
              <w:top w:val="single" w:sz="6" w:space="0" w:color="auto"/>
              <w:left w:val="nil"/>
              <w:bottom w:val="single" w:sz="6" w:space="0" w:color="auto"/>
              <w:right w:val="nil"/>
            </w:tcBorders>
            <w:shd w:val="clear" w:color="auto" w:fill="auto"/>
            <w:hideMark/>
          </w:tcPr>
          <w:p w14:paraId="32F032E4" w14:textId="658E08F2"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hint="eastAsia"/>
                <w:color w:val="000000"/>
                <w:sz w:val="16"/>
                <w:szCs w:val="16"/>
              </w:rPr>
              <w:t>T</w:t>
            </w:r>
            <w:r w:rsidRPr="000B0CA8">
              <w:rPr>
                <w:rFonts w:ascii="Times New Roman" w:hAnsi="Times New Roman"/>
                <w:color w:val="000000"/>
                <w:sz w:val="16"/>
                <w:szCs w:val="16"/>
              </w:rPr>
              <w:t>ype</w:t>
            </w:r>
          </w:p>
        </w:tc>
        <w:tc>
          <w:tcPr>
            <w:tcW w:w="1762" w:type="pct"/>
            <w:tcBorders>
              <w:top w:val="single" w:sz="6" w:space="0" w:color="auto"/>
              <w:left w:val="nil"/>
              <w:bottom w:val="single" w:sz="6" w:space="0" w:color="auto"/>
              <w:right w:val="nil"/>
            </w:tcBorders>
            <w:shd w:val="clear" w:color="auto" w:fill="auto"/>
            <w:hideMark/>
          </w:tcPr>
          <w:p w14:paraId="43DD34D0" w14:textId="39EC9BFA"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rPr>
              <w:t>Example</w:t>
            </w:r>
          </w:p>
        </w:tc>
      </w:tr>
      <w:tr w:rsidR="00881730" w:rsidRPr="000B0CA8" w14:paraId="73612BB7"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nil"/>
            </w:tcBorders>
          </w:tcPr>
          <w:p w14:paraId="3CBD02A5" w14:textId="73877E97"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1</w:t>
            </w:r>
          </w:p>
        </w:tc>
        <w:tc>
          <w:tcPr>
            <w:tcW w:w="1187" w:type="pct"/>
            <w:tcBorders>
              <w:top w:val="nil"/>
            </w:tcBorders>
            <w:hideMark/>
          </w:tcPr>
          <w:p w14:paraId="65155B2B" w14:textId="7683E389"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Chromosome</w:t>
            </w:r>
          </w:p>
        </w:tc>
        <w:tc>
          <w:tcPr>
            <w:tcW w:w="864" w:type="pct"/>
            <w:tcBorders>
              <w:top w:val="nil"/>
            </w:tcBorders>
            <w:hideMark/>
          </w:tcPr>
          <w:p w14:paraId="7F576D90" w14:textId="0541E16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String</w:t>
            </w:r>
          </w:p>
        </w:tc>
        <w:tc>
          <w:tcPr>
            <w:tcW w:w="1762" w:type="pct"/>
            <w:tcBorders>
              <w:top w:val="nil"/>
            </w:tcBorders>
            <w:hideMark/>
          </w:tcPr>
          <w:p w14:paraId="5813318F" w14:textId="488A69D8"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Chr1</w:t>
            </w:r>
          </w:p>
        </w:tc>
      </w:tr>
      <w:tr w:rsidR="00881730" w:rsidRPr="000B0CA8" w14:paraId="3C77DC65"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Pr>
          <w:p w14:paraId="42B7D805" w14:textId="301061F7" w:rsidR="00881730" w:rsidRPr="000B0CA8" w:rsidRDefault="00881730" w:rsidP="00D555AA">
            <w:pPr>
              <w:spacing w:line="240" w:lineRule="exact"/>
              <w:jc w:val="center"/>
              <w:rPr>
                <w:rFonts w:ascii="Times New Roman" w:hAnsi="Times New Roman"/>
                <w:sz w:val="16"/>
                <w:szCs w:val="16"/>
              </w:rPr>
            </w:pPr>
            <w:r w:rsidRPr="000B0CA8">
              <w:rPr>
                <w:rFonts w:ascii="Times New Roman" w:hAnsi="Times New Roman" w:hint="eastAsia"/>
                <w:sz w:val="16"/>
                <w:szCs w:val="16"/>
              </w:rPr>
              <w:t>2</w:t>
            </w:r>
          </w:p>
        </w:tc>
        <w:tc>
          <w:tcPr>
            <w:tcW w:w="1187" w:type="pct"/>
            <w:hideMark/>
          </w:tcPr>
          <w:p w14:paraId="71D6F37A" w14:textId="3A1B41CB"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Start Position</w:t>
            </w:r>
          </w:p>
        </w:tc>
        <w:tc>
          <w:tcPr>
            <w:tcW w:w="864" w:type="pct"/>
            <w:hideMark/>
          </w:tcPr>
          <w:p w14:paraId="5E479404" w14:textId="297D20C3"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Integer</w:t>
            </w:r>
          </w:p>
        </w:tc>
        <w:tc>
          <w:tcPr>
            <w:tcW w:w="1762" w:type="pct"/>
            <w:hideMark/>
          </w:tcPr>
          <w:p w14:paraId="7B0651AA" w14:textId="6E6554EE"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1000</w:t>
            </w:r>
          </w:p>
        </w:tc>
      </w:tr>
      <w:tr w:rsidR="00881730" w:rsidRPr="000B0CA8" w14:paraId="7F4E3880"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Pr>
          <w:p w14:paraId="399FE011" w14:textId="7F8B04FD"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3</w:t>
            </w:r>
          </w:p>
        </w:tc>
        <w:tc>
          <w:tcPr>
            <w:tcW w:w="1187" w:type="pct"/>
            <w:hideMark/>
          </w:tcPr>
          <w:p w14:paraId="5D4EEF46" w14:textId="21E7186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End Position</w:t>
            </w:r>
          </w:p>
        </w:tc>
        <w:tc>
          <w:tcPr>
            <w:tcW w:w="864" w:type="pct"/>
            <w:hideMark/>
          </w:tcPr>
          <w:p w14:paraId="383E2F71" w14:textId="3BD8037A"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Integer</w:t>
            </w:r>
          </w:p>
        </w:tc>
        <w:tc>
          <w:tcPr>
            <w:tcW w:w="1762" w:type="pct"/>
            <w:hideMark/>
          </w:tcPr>
          <w:p w14:paraId="44AEC1D1" w14:textId="4DB82DF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3000</w:t>
            </w:r>
          </w:p>
        </w:tc>
      </w:tr>
      <w:tr w:rsidR="00881730" w:rsidRPr="000B0CA8" w14:paraId="38F74D67"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bottom w:val="nil"/>
            </w:tcBorders>
          </w:tcPr>
          <w:p w14:paraId="1BC80622" w14:textId="134B49F6"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4</w:t>
            </w:r>
          </w:p>
        </w:tc>
        <w:tc>
          <w:tcPr>
            <w:tcW w:w="1187" w:type="pct"/>
            <w:tcBorders>
              <w:bottom w:val="nil"/>
            </w:tcBorders>
            <w:hideMark/>
          </w:tcPr>
          <w:p w14:paraId="76DA94F0" w14:textId="4563ABF1"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[Feature 1]</w:t>
            </w:r>
          </w:p>
        </w:tc>
        <w:tc>
          <w:tcPr>
            <w:tcW w:w="864" w:type="pct"/>
            <w:tcBorders>
              <w:bottom w:val="nil"/>
            </w:tcBorders>
            <w:hideMark/>
          </w:tcPr>
          <w:p w14:paraId="3A90A091" w14:textId="04B114C5"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String[Optional]</w:t>
            </w:r>
          </w:p>
        </w:tc>
        <w:tc>
          <w:tcPr>
            <w:tcW w:w="1762" w:type="pct"/>
            <w:tcBorders>
              <w:bottom w:val="nil"/>
            </w:tcBorders>
            <w:hideMark/>
          </w:tcPr>
          <w:p w14:paraId="596CAB5F" w14:textId="41A17E8D"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F</w:t>
            </w:r>
            <w:r w:rsidRPr="000B0CA8">
              <w:rPr>
                <w:rFonts w:ascii="Times New Roman" w:hAnsi="Times New Roman"/>
                <w:sz w:val="16"/>
                <w:szCs w:val="16"/>
              </w:rPr>
              <w:t>eature_1</w:t>
            </w:r>
          </w:p>
        </w:tc>
      </w:tr>
      <w:tr w:rsidR="00881730" w:rsidRPr="000B0CA8" w14:paraId="308C37A0"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nil"/>
              <w:bottom w:val="single" w:sz="6" w:space="0" w:color="auto"/>
            </w:tcBorders>
          </w:tcPr>
          <w:p w14:paraId="11A9F485" w14:textId="77777777"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w:t>
            </w:r>
          </w:p>
          <w:p w14:paraId="0D62331E" w14:textId="401643B2"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N</w:t>
            </w:r>
          </w:p>
        </w:tc>
        <w:tc>
          <w:tcPr>
            <w:tcW w:w="1187" w:type="pct"/>
            <w:tcBorders>
              <w:top w:val="nil"/>
              <w:bottom w:val="single" w:sz="6" w:space="0" w:color="auto"/>
            </w:tcBorders>
            <w:hideMark/>
          </w:tcPr>
          <w:p w14:paraId="40DF6AA8" w14:textId="63A00810"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0B0CA8">
              <w:rPr>
                <w:rFonts w:ascii="Times New Roman" w:hAnsi="Times New Roman" w:cs="Times New Roman"/>
                <w:sz w:val="16"/>
                <w:szCs w:val="16"/>
              </w:rPr>
              <w:t>…</w:t>
            </w:r>
          </w:p>
          <w:p w14:paraId="026145DC" w14:textId="0D190EAD"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w:t>
            </w:r>
            <w:r w:rsidRPr="000B0CA8">
              <w:rPr>
                <w:rFonts w:ascii="Times New Roman" w:hAnsi="Times New Roman"/>
                <w:sz w:val="16"/>
                <w:szCs w:val="16"/>
              </w:rPr>
              <w:t>Feature N]</w:t>
            </w:r>
          </w:p>
        </w:tc>
        <w:tc>
          <w:tcPr>
            <w:tcW w:w="864" w:type="pct"/>
            <w:tcBorders>
              <w:top w:val="nil"/>
              <w:bottom w:val="single" w:sz="6" w:space="0" w:color="auto"/>
            </w:tcBorders>
            <w:hideMark/>
          </w:tcPr>
          <w:p w14:paraId="3AB93FC5" w14:textId="312FD20A"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w:t>
            </w:r>
          </w:p>
          <w:p w14:paraId="1299A353" w14:textId="6A01B0CD"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S</w:t>
            </w:r>
            <w:r w:rsidRPr="000B0CA8">
              <w:rPr>
                <w:rFonts w:ascii="Times New Roman" w:hAnsi="Times New Roman" w:cs="Times New Roman"/>
                <w:sz w:val="16"/>
                <w:szCs w:val="16"/>
              </w:rPr>
              <w:t>tring[Optional]</w:t>
            </w:r>
          </w:p>
          <w:p w14:paraId="68C1A970" w14:textId="4D907A86"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762" w:type="pct"/>
            <w:tcBorders>
              <w:top w:val="nil"/>
              <w:bottom w:val="single" w:sz="6" w:space="0" w:color="auto"/>
            </w:tcBorders>
            <w:hideMark/>
          </w:tcPr>
          <w:p w14:paraId="44F15AB1"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w:t>
            </w:r>
          </w:p>
          <w:p w14:paraId="688E2772" w14:textId="0F7DB76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0B0CA8">
              <w:rPr>
                <w:rFonts w:ascii="Times New Roman" w:hAnsi="Times New Roman" w:cs="Times New Roman" w:hint="eastAsia"/>
                <w:sz w:val="16"/>
                <w:szCs w:val="16"/>
              </w:rPr>
              <w:t>F</w:t>
            </w:r>
            <w:r w:rsidRPr="000B0CA8">
              <w:rPr>
                <w:rFonts w:ascii="Times New Roman" w:hAnsi="Times New Roman" w:cs="Times New Roman"/>
                <w:sz w:val="16"/>
                <w:szCs w:val="16"/>
              </w:rPr>
              <w:t>uture_N</w:t>
            </w:r>
            <w:proofErr w:type="spellEnd"/>
          </w:p>
        </w:tc>
      </w:tr>
      <w:bookmarkEnd w:id="3"/>
    </w:tbl>
    <w:p w14:paraId="42EA6D85" w14:textId="77777777" w:rsidR="00C86F0B" w:rsidRPr="000B0CA8" w:rsidRDefault="00C86F0B" w:rsidP="00881730">
      <w:pPr>
        <w:rPr>
          <w:b/>
          <w:bCs/>
          <w:sz w:val="20"/>
          <w:szCs w:val="28"/>
        </w:rPr>
      </w:pPr>
    </w:p>
    <w:p w14:paraId="66E5D017" w14:textId="4082AA9A" w:rsidR="00881730" w:rsidRPr="000B0CA8" w:rsidRDefault="00D52C47" w:rsidP="00953335">
      <w:pPr>
        <w:rPr>
          <w:b/>
          <w:bCs/>
          <w:sz w:val="20"/>
          <w:szCs w:val="28"/>
        </w:rPr>
      </w:pPr>
      <w:r w:rsidRPr="00D555AA">
        <w:rPr>
          <w:b/>
          <w:bCs/>
          <w:sz w:val="20"/>
          <w:szCs w:val="28"/>
        </w:rPr>
        <w:t>Reference</w:t>
      </w:r>
      <w:r w:rsidR="00881730" w:rsidRPr="00D555AA">
        <w:rPr>
          <w:b/>
          <w:bCs/>
          <w:sz w:val="20"/>
          <w:szCs w:val="28"/>
        </w:rPr>
        <w:t xml:space="preserve"> SV File:</w:t>
      </w:r>
      <w:r w:rsidR="00761655">
        <w:rPr>
          <w:b/>
          <w:bCs/>
          <w:sz w:val="20"/>
          <w:szCs w:val="28"/>
        </w:rPr>
        <w:t xml:space="preserve"> </w:t>
      </w:r>
      <w:r w:rsidR="00881730" w:rsidRPr="000B0CA8">
        <w:rPr>
          <w:rFonts w:hint="eastAsia"/>
          <w:sz w:val="20"/>
          <w:szCs w:val="28"/>
        </w:rPr>
        <w:t>T</w:t>
      </w:r>
      <w:r w:rsidR="00881730" w:rsidRPr="000B0CA8">
        <w:rPr>
          <w:sz w:val="20"/>
          <w:szCs w:val="28"/>
        </w:rPr>
        <w:t xml:space="preserve">he first </w:t>
      </w:r>
      <w:r w:rsidR="00A32B94" w:rsidRPr="000B0CA8">
        <w:rPr>
          <w:sz w:val="20"/>
          <w:szCs w:val="28"/>
        </w:rPr>
        <w:t>five</w:t>
      </w:r>
      <w:r w:rsidR="00881730" w:rsidRPr="000B0CA8">
        <w:rPr>
          <w:sz w:val="20"/>
          <w:szCs w:val="28"/>
        </w:rPr>
        <w:t xml:space="preserve"> columns in the </w:t>
      </w:r>
      <w:r w:rsidR="00D9215C" w:rsidRPr="000B0CA8">
        <w:rPr>
          <w:sz w:val="20"/>
          <w:szCs w:val="28"/>
        </w:rPr>
        <w:t xml:space="preserve">known SV </w:t>
      </w:r>
      <w:r w:rsidR="00881730" w:rsidRPr="000B0CA8">
        <w:rPr>
          <w:sz w:val="20"/>
          <w:szCs w:val="28"/>
        </w:rPr>
        <w:t xml:space="preserve">annotation file </w:t>
      </w:r>
      <w:r w:rsidR="00A32B94" w:rsidRPr="000B0CA8">
        <w:rPr>
          <w:sz w:val="20"/>
          <w:szCs w:val="28"/>
        </w:rPr>
        <w:t xml:space="preserve">must </w:t>
      </w:r>
      <w:r w:rsidR="00881730" w:rsidRPr="000B0CA8">
        <w:rPr>
          <w:sz w:val="20"/>
          <w:szCs w:val="28"/>
        </w:rPr>
        <w:t>meet the following requirements.</w:t>
      </w:r>
    </w:p>
    <w:p w14:paraId="317E7E0F" w14:textId="2B370B6F" w:rsidR="006F0496" w:rsidRPr="00953335" w:rsidRDefault="006F0496" w:rsidP="00953335">
      <w:pPr>
        <w:pStyle w:val="af4"/>
        <w:keepNext/>
        <w:jc w:val="center"/>
        <w:rPr>
          <w:b/>
          <w:bCs/>
          <w:color w:val="FF0000"/>
          <w:szCs w:val="18"/>
        </w:rPr>
      </w:pPr>
      <w:r w:rsidRPr="00953335">
        <w:rPr>
          <w:rFonts w:ascii="Arial" w:hAnsi="Arial" w:cs="Arial"/>
          <w:b/>
          <w:bCs/>
          <w:color w:val="FF0000"/>
          <w:sz w:val="21"/>
          <w:szCs w:val="21"/>
        </w:rPr>
        <w:t xml:space="preserve">Table </w:t>
      </w:r>
      <w:r w:rsidRPr="00953335">
        <w:rPr>
          <w:rFonts w:ascii="Arial" w:hAnsi="Arial" w:cs="Arial"/>
          <w:b/>
          <w:bCs/>
          <w:color w:val="FF0000"/>
          <w:sz w:val="21"/>
          <w:szCs w:val="21"/>
        </w:rPr>
        <w:fldChar w:fldCharType="begin"/>
      </w:r>
      <w:r w:rsidRPr="00953335">
        <w:rPr>
          <w:rFonts w:ascii="Arial" w:hAnsi="Arial" w:cs="Arial"/>
          <w:b/>
          <w:bCs/>
          <w:color w:val="FF0000"/>
          <w:sz w:val="21"/>
          <w:szCs w:val="21"/>
        </w:rPr>
        <w:instrText xml:space="preserve"> SEQ Table \* ARABIC </w:instrText>
      </w:r>
      <w:r w:rsidRPr="00953335">
        <w:rPr>
          <w:rFonts w:ascii="Arial" w:hAnsi="Arial" w:cs="Arial"/>
          <w:b/>
          <w:bCs/>
          <w:color w:val="FF0000"/>
          <w:sz w:val="21"/>
          <w:szCs w:val="21"/>
        </w:rPr>
        <w:fldChar w:fldCharType="separate"/>
      </w:r>
      <w:r w:rsidR="00F455C2" w:rsidRPr="00953335">
        <w:rPr>
          <w:rFonts w:ascii="Arial" w:hAnsi="Arial" w:cs="Arial"/>
          <w:b/>
          <w:bCs/>
          <w:noProof/>
          <w:color w:val="FF0000"/>
          <w:sz w:val="21"/>
          <w:szCs w:val="21"/>
        </w:rPr>
        <w:t>5</w:t>
      </w:r>
      <w:r w:rsidRPr="00953335">
        <w:rPr>
          <w:rFonts w:ascii="Arial" w:hAnsi="Arial" w:cs="Arial"/>
          <w:b/>
          <w:bCs/>
          <w:color w:val="FF0000"/>
          <w:sz w:val="21"/>
          <w:szCs w:val="21"/>
        </w:rPr>
        <w:fldChar w:fldCharType="end"/>
      </w:r>
      <w:r w:rsidRPr="00953335">
        <w:rPr>
          <w:rFonts w:ascii="Arial" w:hAnsi="Arial" w:cs="Arial"/>
          <w:b/>
          <w:bCs/>
          <w:color w:val="FF0000"/>
          <w:sz w:val="21"/>
          <w:szCs w:val="21"/>
        </w:rPr>
        <w:t>.</w:t>
      </w:r>
      <w:r w:rsidRPr="00953335">
        <w:rPr>
          <w:rFonts w:ascii="Arial" w:hAnsi="Arial" w:cs="Arial"/>
          <w:b/>
          <w:bCs/>
          <w:color w:val="FF0000"/>
          <w:sz w:val="18"/>
          <w:szCs w:val="18"/>
        </w:rPr>
        <w:t xml:space="preserve"> </w:t>
      </w:r>
      <w:r w:rsidR="00F455C2" w:rsidRPr="00953335">
        <w:rPr>
          <w:rFonts w:ascii="Arial" w:hAnsi="Arial" w:cs="Arial"/>
          <w:b/>
          <w:bCs/>
          <w:color w:val="FF0000"/>
        </w:rPr>
        <w:t>Known SV annotation file format</w:t>
      </w:r>
    </w:p>
    <w:tbl>
      <w:tblPr>
        <w:tblStyle w:val="a9"/>
        <w:tblW w:w="4438" w:type="pct"/>
        <w:jc w:val="center"/>
        <w:tblInd w:w="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750"/>
        <w:gridCol w:w="1750"/>
        <w:gridCol w:w="1274"/>
        <w:gridCol w:w="2598"/>
      </w:tblGrid>
      <w:tr w:rsidR="00881730" w:rsidRPr="000B0CA8" w14:paraId="10FE2409" w14:textId="77777777" w:rsidTr="00953335">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single" w:sz="6" w:space="0" w:color="auto"/>
              <w:left w:val="nil"/>
              <w:bottom w:val="single" w:sz="6" w:space="0" w:color="auto"/>
              <w:right w:val="nil"/>
            </w:tcBorders>
            <w:shd w:val="clear" w:color="auto" w:fill="auto"/>
          </w:tcPr>
          <w:p w14:paraId="32D30FA5" w14:textId="2F62567C" w:rsidR="00881730" w:rsidRPr="000B0CA8" w:rsidRDefault="00881730" w:rsidP="00D555AA">
            <w:pPr>
              <w:spacing w:line="240" w:lineRule="exact"/>
              <w:jc w:val="center"/>
              <w:rPr>
                <w:rFonts w:ascii="Times New Roman" w:hAnsi="Times New Roman" w:cs="Times New Roman"/>
                <w:color w:val="000000" w:themeColor="text1"/>
                <w:sz w:val="16"/>
                <w:szCs w:val="16"/>
              </w:rPr>
            </w:pPr>
            <w:r w:rsidRPr="000B0CA8">
              <w:rPr>
                <w:rFonts w:ascii="Times New Roman" w:hAnsi="Times New Roman" w:cs="Times New Roman" w:hint="eastAsia"/>
                <w:color w:val="000000" w:themeColor="text1"/>
                <w:sz w:val="16"/>
                <w:szCs w:val="16"/>
                <w:lang w:val="zh-CN"/>
              </w:rPr>
              <w:t>C</w:t>
            </w:r>
            <w:proofErr w:type="spellStart"/>
            <w:r w:rsidRPr="000B0CA8">
              <w:rPr>
                <w:rFonts w:ascii="Times New Roman" w:hAnsi="Times New Roman" w:cs="Times New Roman"/>
                <w:color w:val="000000" w:themeColor="text1"/>
                <w:sz w:val="16"/>
                <w:szCs w:val="16"/>
              </w:rPr>
              <w:t>olumn</w:t>
            </w:r>
            <w:proofErr w:type="spellEnd"/>
          </w:p>
        </w:tc>
        <w:tc>
          <w:tcPr>
            <w:tcW w:w="1187" w:type="pct"/>
            <w:tcBorders>
              <w:top w:val="single" w:sz="6" w:space="0" w:color="auto"/>
              <w:left w:val="nil"/>
              <w:bottom w:val="single" w:sz="6" w:space="0" w:color="auto"/>
              <w:right w:val="nil"/>
            </w:tcBorders>
            <w:shd w:val="clear" w:color="auto" w:fill="auto"/>
            <w:hideMark/>
          </w:tcPr>
          <w:p w14:paraId="660BFD56" w14:textId="77777777"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6"/>
                <w:szCs w:val="16"/>
              </w:rPr>
            </w:pPr>
            <w:r w:rsidRPr="000B0CA8">
              <w:rPr>
                <w:rFonts w:ascii="Times New Roman" w:hAnsi="Times New Roman" w:cs="Times New Roman"/>
                <w:color w:val="000000" w:themeColor="text1"/>
                <w:sz w:val="16"/>
                <w:szCs w:val="16"/>
                <w:lang w:val="zh-CN"/>
              </w:rPr>
              <w:t>Name</w:t>
            </w:r>
          </w:p>
        </w:tc>
        <w:tc>
          <w:tcPr>
            <w:tcW w:w="864" w:type="pct"/>
            <w:tcBorders>
              <w:top w:val="single" w:sz="6" w:space="0" w:color="auto"/>
              <w:left w:val="nil"/>
              <w:bottom w:val="single" w:sz="6" w:space="0" w:color="auto"/>
              <w:right w:val="nil"/>
            </w:tcBorders>
            <w:shd w:val="clear" w:color="auto" w:fill="auto"/>
            <w:hideMark/>
          </w:tcPr>
          <w:p w14:paraId="7502C89F" w14:textId="77777777"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hint="eastAsia"/>
                <w:color w:val="000000"/>
                <w:sz w:val="16"/>
                <w:szCs w:val="16"/>
              </w:rPr>
              <w:t>T</w:t>
            </w:r>
            <w:r w:rsidRPr="000B0CA8">
              <w:rPr>
                <w:rFonts w:ascii="Times New Roman" w:hAnsi="Times New Roman"/>
                <w:color w:val="000000"/>
                <w:sz w:val="16"/>
                <w:szCs w:val="16"/>
              </w:rPr>
              <w:t>ype</w:t>
            </w:r>
          </w:p>
        </w:tc>
        <w:tc>
          <w:tcPr>
            <w:tcW w:w="1762" w:type="pct"/>
            <w:tcBorders>
              <w:top w:val="single" w:sz="6" w:space="0" w:color="auto"/>
              <w:left w:val="nil"/>
              <w:bottom w:val="single" w:sz="6" w:space="0" w:color="auto"/>
              <w:right w:val="nil"/>
            </w:tcBorders>
            <w:shd w:val="clear" w:color="auto" w:fill="auto"/>
            <w:hideMark/>
          </w:tcPr>
          <w:p w14:paraId="06D769AF" w14:textId="77777777" w:rsidR="00881730" w:rsidRPr="000B0CA8" w:rsidRDefault="00881730"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rPr>
              <w:t>Example</w:t>
            </w:r>
          </w:p>
        </w:tc>
      </w:tr>
      <w:tr w:rsidR="00881730" w:rsidRPr="000B0CA8" w14:paraId="2140BCCD"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nil"/>
            </w:tcBorders>
          </w:tcPr>
          <w:p w14:paraId="00B92F5C" w14:textId="77777777"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1</w:t>
            </w:r>
          </w:p>
        </w:tc>
        <w:tc>
          <w:tcPr>
            <w:tcW w:w="1187" w:type="pct"/>
            <w:tcBorders>
              <w:top w:val="nil"/>
            </w:tcBorders>
            <w:hideMark/>
          </w:tcPr>
          <w:p w14:paraId="5B5A97D7"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Chromosome</w:t>
            </w:r>
          </w:p>
        </w:tc>
        <w:tc>
          <w:tcPr>
            <w:tcW w:w="864" w:type="pct"/>
            <w:tcBorders>
              <w:top w:val="nil"/>
            </w:tcBorders>
            <w:hideMark/>
          </w:tcPr>
          <w:p w14:paraId="3D7FEE85"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String</w:t>
            </w:r>
          </w:p>
        </w:tc>
        <w:tc>
          <w:tcPr>
            <w:tcW w:w="1762" w:type="pct"/>
            <w:tcBorders>
              <w:top w:val="nil"/>
            </w:tcBorders>
            <w:hideMark/>
          </w:tcPr>
          <w:p w14:paraId="6FEE3A55"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Chr1</w:t>
            </w:r>
          </w:p>
        </w:tc>
      </w:tr>
      <w:tr w:rsidR="00881730" w:rsidRPr="000B0CA8" w14:paraId="58DE29A4"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Pr>
          <w:p w14:paraId="4B97C9EE" w14:textId="77777777" w:rsidR="00881730" w:rsidRPr="000B0CA8" w:rsidRDefault="00881730" w:rsidP="00D555AA">
            <w:pPr>
              <w:spacing w:line="240" w:lineRule="exact"/>
              <w:jc w:val="center"/>
              <w:rPr>
                <w:rFonts w:ascii="Times New Roman" w:hAnsi="Times New Roman"/>
                <w:sz w:val="16"/>
                <w:szCs w:val="16"/>
              </w:rPr>
            </w:pPr>
            <w:r w:rsidRPr="000B0CA8">
              <w:rPr>
                <w:rFonts w:ascii="Times New Roman" w:hAnsi="Times New Roman" w:hint="eastAsia"/>
                <w:sz w:val="16"/>
                <w:szCs w:val="16"/>
              </w:rPr>
              <w:t>2</w:t>
            </w:r>
          </w:p>
        </w:tc>
        <w:tc>
          <w:tcPr>
            <w:tcW w:w="1187" w:type="pct"/>
            <w:hideMark/>
          </w:tcPr>
          <w:p w14:paraId="192A97EA"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Start Position</w:t>
            </w:r>
          </w:p>
        </w:tc>
        <w:tc>
          <w:tcPr>
            <w:tcW w:w="864" w:type="pct"/>
            <w:hideMark/>
          </w:tcPr>
          <w:p w14:paraId="1212A76E"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Integer</w:t>
            </w:r>
          </w:p>
        </w:tc>
        <w:tc>
          <w:tcPr>
            <w:tcW w:w="1762" w:type="pct"/>
            <w:hideMark/>
          </w:tcPr>
          <w:p w14:paraId="70ADDC02"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1000</w:t>
            </w:r>
          </w:p>
        </w:tc>
      </w:tr>
      <w:tr w:rsidR="00881730" w:rsidRPr="000B0CA8" w14:paraId="49CFD7AB"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Pr>
          <w:p w14:paraId="5DF06E97" w14:textId="77777777"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3</w:t>
            </w:r>
          </w:p>
        </w:tc>
        <w:tc>
          <w:tcPr>
            <w:tcW w:w="1187" w:type="pct"/>
            <w:hideMark/>
          </w:tcPr>
          <w:p w14:paraId="6BCF73EA"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End Position</w:t>
            </w:r>
          </w:p>
        </w:tc>
        <w:tc>
          <w:tcPr>
            <w:tcW w:w="864" w:type="pct"/>
            <w:hideMark/>
          </w:tcPr>
          <w:p w14:paraId="109EC8C7"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Integer</w:t>
            </w:r>
          </w:p>
        </w:tc>
        <w:tc>
          <w:tcPr>
            <w:tcW w:w="1762" w:type="pct"/>
            <w:hideMark/>
          </w:tcPr>
          <w:p w14:paraId="36893C02"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3000</w:t>
            </w:r>
          </w:p>
        </w:tc>
      </w:tr>
      <w:tr w:rsidR="00881730" w:rsidRPr="000B0CA8" w14:paraId="112B0DB4"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bottom w:val="nil"/>
            </w:tcBorders>
          </w:tcPr>
          <w:p w14:paraId="459184C7" w14:textId="77777777"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4</w:t>
            </w:r>
          </w:p>
        </w:tc>
        <w:tc>
          <w:tcPr>
            <w:tcW w:w="1187" w:type="pct"/>
            <w:tcBorders>
              <w:bottom w:val="nil"/>
            </w:tcBorders>
            <w:hideMark/>
          </w:tcPr>
          <w:p w14:paraId="7A9F8EF8" w14:textId="290BC7D5"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SV Length</w:t>
            </w:r>
          </w:p>
        </w:tc>
        <w:tc>
          <w:tcPr>
            <w:tcW w:w="864" w:type="pct"/>
            <w:tcBorders>
              <w:bottom w:val="nil"/>
            </w:tcBorders>
            <w:hideMark/>
          </w:tcPr>
          <w:p w14:paraId="563CC7A3" w14:textId="4295D29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cs="Times New Roman"/>
                <w:sz w:val="16"/>
                <w:szCs w:val="16"/>
              </w:rPr>
              <w:t>Integer</w:t>
            </w:r>
          </w:p>
        </w:tc>
        <w:tc>
          <w:tcPr>
            <w:tcW w:w="1762" w:type="pct"/>
            <w:tcBorders>
              <w:bottom w:val="nil"/>
            </w:tcBorders>
            <w:hideMark/>
          </w:tcPr>
          <w:p w14:paraId="74C3A8AE" w14:textId="732B1116"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2000</w:t>
            </w:r>
          </w:p>
        </w:tc>
      </w:tr>
      <w:tr w:rsidR="00881730" w:rsidRPr="000B0CA8" w14:paraId="59928730" w14:textId="77777777" w:rsidTr="00953335">
        <w:trPr>
          <w:trHeight w:val="170"/>
          <w:jc w:val="center"/>
        </w:trPr>
        <w:tc>
          <w:tcPr>
            <w:cnfStyle w:val="001000000000" w:firstRow="0" w:lastRow="0" w:firstColumn="1" w:lastColumn="0" w:oddVBand="0" w:evenVBand="0" w:oddHBand="0" w:evenHBand="0" w:firstRowFirstColumn="0" w:firstRowLastColumn="0" w:lastRowFirstColumn="0" w:lastRowLastColumn="0"/>
            <w:tcW w:w="1187" w:type="pct"/>
            <w:tcBorders>
              <w:top w:val="nil"/>
              <w:bottom w:val="single" w:sz="6" w:space="0" w:color="auto"/>
            </w:tcBorders>
          </w:tcPr>
          <w:p w14:paraId="3BB97AD9" w14:textId="282B1759"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5</w:t>
            </w:r>
          </w:p>
          <w:p w14:paraId="762989B5" w14:textId="77777777"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6</w:t>
            </w:r>
          </w:p>
          <w:p w14:paraId="4B0AA44F" w14:textId="77777777" w:rsidR="00881730" w:rsidRPr="000B0CA8" w:rsidRDefault="00881730"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w:t>
            </w:r>
          </w:p>
          <w:p w14:paraId="55AAA31C" w14:textId="12F4A0EC" w:rsidR="00881730" w:rsidRPr="000B0CA8" w:rsidRDefault="00881730" w:rsidP="00D555AA">
            <w:pPr>
              <w:spacing w:line="240" w:lineRule="exact"/>
              <w:jc w:val="center"/>
              <w:rPr>
                <w:rFonts w:ascii="Times New Roman" w:hAnsi="Times New Roman" w:cs="Times New Roman"/>
                <w:sz w:val="16"/>
                <w:szCs w:val="16"/>
              </w:rPr>
            </w:pPr>
            <w:r w:rsidRPr="000B0CA8">
              <w:rPr>
                <w:rFonts w:ascii="Times New Roman" w:hAnsi="Times New Roman" w:cs="Times New Roman" w:hint="eastAsia"/>
                <w:sz w:val="16"/>
                <w:szCs w:val="16"/>
              </w:rPr>
              <w:t>N</w:t>
            </w:r>
          </w:p>
        </w:tc>
        <w:tc>
          <w:tcPr>
            <w:tcW w:w="1187" w:type="pct"/>
            <w:tcBorders>
              <w:top w:val="nil"/>
              <w:bottom w:val="single" w:sz="6" w:space="0" w:color="auto"/>
            </w:tcBorders>
            <w:hideMark/>
          </w:tcPr>
          <w:p w14:paraId="3323AC61"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SV Type</w:t>
            </w:r>
          </w:p>
          <w:p w14:paraId="7F7E72F7"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w:t>
            </w:r>
            <w:r w:rsidRPr="000B0CA8">
              <w:rPr>
                <w:rFonts w:ascii="Times New Roman" w:hAnsi="Times New Roman"/>
                <w:sz w:val="16"/>
                <w:szCs w:val="16"/>
              </w:rPr>
              <w:t>Feature 1]</w:t>
            </w:r>
          </w:p>
          <w:p w14:paraId="5C9C35C0"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w:t>
            </w:r>
          </w:p>
          <w:p w14:paraId="51D361B6" w14:textId="5F566F2C"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w:t>
            </w:r>
            <w:r w:rsidRPr="000B0CA8">
              <w:rPr>
                <w:rFonts w:ascii="Times New Roman" w:hAnsi="Times New Roman"/>
                <w:sz w:val="16"/>
                <w:szCs w:val="16"/>
              </w:rPr>
              <w:t>Feature N]</w:t>
            </w:r>
          </w:p>
        </w:tc>
        <w:tc>
          <w:tcPr>
            <w:tcW w:w="864" w:type="pct"/>
            <w:tcBorders>
              <w:top w:val="nil"/>
              <w:bottom w:val="single" w:sz="6" w:space="0" w:color="auto"/>
            </w:tcBorders>
            <w:hideMark/>
          </w:tcPr>
          <w:p w14:paraId="35585A43" w14:textId="2E4942FB"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Integer</w:t>
            </w:r>
          </w:p>
          <w:p w14:paraId="198B7956" w14:textId="7692AB0D"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S</w:t>
            </w:r>
            <w:r w:rsidRPr="000B0CA8">
              <w:rPr>
                <w:rFonts w:ascii="Times New Roman" w:hAnsi="Times New Roman" w:cs="Times New Roman"/>
                <w:sz w:val="16"/>
                <w:szCs w:val="16"/>
              </w:rPr>
              <w:t>tring[Optional]</w:t>
            </w:r>
          </w:p>
          <w:p w14:paraId="73B9046F" w14:textId="11F3CA85"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w:t>
            </w:r>
          </w:p>
          <w:p w14:paraId="50AD1A7F" w14:textId="044CBBC0"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S</w:t>
            </w:r>
            <w:r w:rsidRPr="000B0CA8">
              <w:rPr>
                <w:rFonts w:ascii="Times New Roman" w:hAnsi="Times New Roman" w:cs="Times New Roman"/>
                <w:sz w:val="16"/>
                <w:szCs w:val="16"/>
              </w:rPr>
              <w:t>tring[Optional]</w:t>
            </w:r>
          </w:p>
          <w:p w14:paraId="16BA862D"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762" w:type="pct"/>
            <w:tcBorders>
              <w:top w:val="nil"/>
              <w:bottom w:val="single" w:sz="6" w:space="0" w:color="auto"/>
            </w:tcBorders>
            <w:hideMark/>
          </w:tcPr>
          <w:p w14:paraId="0CBA2D17" w14:textId="366D893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sz w:val="16"/>
                <w:szCs w:val="16"/>
              </w:rPr>
              <w:t>DEL</w:t>
            </w:r>
          </w:p>
          <w:p w14:paraId="1F881346"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F</w:t>
            </w:r>
            <w:r w:rsidRPr="000B0CA8">
              <w:rPr>
                <w:rFonts w:ascii="Times New Roman" w:hAnsi="Times New Roman" w:cs="Times New Roman"/>
                <w:sz w:val="16"/>
                <w:szCs w:val="16"/>
              </w:rPr>
              <w:t>uture_1</w:t>
            </w:r>
          </w:p>
          <w:p w14:paraId="684F4EC3" w14:textId="77777777"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w:t>
            </w:r>
          </w:p>
          <w:p w14:paraId="5D607C6F" w14:textId="7A97AD09" w:rsidR="00881730" w:rsidRPr="000B0CA8" w:rsidRDefault="00881730"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0B0CA8">
              <w:rPr>
                <w:rFonts w:ascii="Times New Roman" w:hAnsi="Times New Roman" w:hint="eastAsia"/>
                <w:sz w:val="16"/>
                <w:szCs w:val="16"/>
              </w:rPr>
              <w:t>F</w:t>
            </w:r>
            <w:r w:rsidRPr="000B0CA8">
              <w:rPr>
                <w:rFonts w:ascii="Times New Roman" w:hAnsi="Times New Roman"/>
                <w:sz w:val="16"/>
                <w:szCs w:val="16"/>
              </w:rPr>
              <w:t>eature_N</w:t>
            </w:r>
            <w:proofErr w:type="spellEnd"/>
          </w:p>
        </w:tc>
      </w:tr>
    </w:tbl>
    <w:p w14:paraId="3707065D" w14:textId="77777777" w:rsidR="00C86F0B" w:rsidRPr="008733AC" w:rsidRDefault="00C86F0B" w:rsidP="00E14287">
      <w:pPr>
        <w:rPr>
          <w:sz w:val="20"/>
          <w:szCs w:val="28"/>
        </w:rPr>
      </w:pPr>
    </w:p>
    <w:p w14:paraId="211CD71E" w14:textId="62A96151" w:rsidR="00B30B5E" w:rsidRDefault="00D106D5" w:rsidP="00E14287">
      <w:pPr>
        <w:rPr>
          <w:sz w:val="20"/>
          <w:szCs w:val="28"/>
        </w:rPr>
      </w:pPr>
      <w:r w:rsidRPr="000B0CA8">
        <w:rPr>
          <w:sz w:val="20"/>
          <w:szCs w:val="28"/>
        </w:rPr>
        <w:t>Meanwhile, SDFA comes preloaded with multiple annotation resources based on the GRCh38 genome assembly, including:</w:t>
      </w:r>
    </w:p>
    <w:p w14:paraId="170753D6" w14:textId="460996D6" w:rsidR="006F0496" w:rsidRDefault="006F0496" w:rsidP="00E14287">
      <w:pPr>
        <w:rPr>
          <w:sz w:val="20"/>
          <w:szCs w:val="28"/>
        </w:rPr>
      </w:pPr>
    </w:p>
    <w:p w14:paraId="29657858" w14:textId="0CC2C12B" w:rsidR="006F0496" w:rsidRDefault="006F0496" w:rsidP="00E14287">
      <w:pPr>
        <w:rPr>
          <w:sz w:val="20"/>
          <w:szCs w:val="28"/>
        </w:rPr>
      </w:pPr>
    </w:p>
    <w:p w14:paraId="26793E0D" w14:textId="56FA111D" w:rsidR="006F0496" w:rsidRDefault="006F0496" w:rsidP="00E14287">
      <w:pPr>
        <w:rPr>
          <w:sz w:val="20"/>
          <w:szCs w:val="28"/>
        </w:rPr>
      </w:pPr>
    </w:p>
    <w:p w14:paraId="526F642B" w14:textId="40A9D0E6" w:rsidR="006F0496" w:rsidRDefault="006F0496" w:rsidP="00E14287">
      <w:pPr>
        <w:rPr>
          <w:sz w:val="20"/>
          <w:szCs w:val="28"/>
        </w:rPr>
      </w:pPr>
    </w:p>
    <w:p w14:paraId="4DBFE2E4" w14:textId="644F5534" w:rsidR="006F0496" w:rsidRDefault="006F0496" w:rsidP="00E14287">
      <w:pPr>
        <w:rPr>
          <w:sz w:val="20"/>
          <w:szCs w:val="28"/>
        </w:rPr>
      </w:pPr>
    </w:p>
    <w:p w14:paraId="5284873A" w14:textId="4B2FEF10" w:rsidR="006F0496" w:rsidRDefault="006F0496" w:rsidP="00E14287">
      <w:pPr>
        <w:rPr>
          <w:sz w:val="20"/>
          <w:szCs w:val="28"/>
        </w:rPr>
      </w:pPr>
    </w:p>
    <w:p w14:paraId="08F3229D" w14:textId="05446A47" w:rsidR="006F0496" w:rsidRDefault="006F0496" w:rsidP="00E14287">
      <w:pPr>
        <w:rPr>
          <w:sz w:val="20"/>
          <w:szCs w:val="28"/>
        </w:rPr>
      </w:pPr>
    </w:p>
    <w:p w14:paraId="2CADC710" w14:textId="1FFF25C1" w:rsidR="006F0496" w:rsidRDefault="006F0496" w:rsidP="00E14287">
      <w:pPr>
        <w:rPr>
          <w:sz w:val="20"/>
          <w:szCs w:val="28"/>
        </w:rPr>
      </w:pPr>
    </w:p>
    <w:p w14:paraId="1A58111E" w14:textId="683B0792" w:rsidR="006F0496" w:rsidRDefault="006F0496" w:rsidP="00E14287">
      <w:pPr>
        <w:rPr>
          <w:sz w:val="20"/>
          <w:szCs w:val="28"/>
        </w:rPr>
      </w:pPr>
    </w:p>
    <w:p w14:paraId="3B9E5311" w14:textId="6F7D6D8B" w:rsidR="006F0496" w:rsidRDefault="006F0496" w:rsidP="00E14287">
      <w:pPr>
        <w:rPr>
          <w:sz w:val="20"/>
          <w:szCs w:val="28"/>
        </w:rPr>
      </w:pPr>
    </w:p>
    <w:p w14:paraId="39E068C1" w14:textId="77777777" w:rsidR="006F0496" w:rsidRPr="000B0CA8" w:rsidRDefault="006F0496" w:rsidP="00E14287">
      <w:pPr>
        <w:rPr>
          <w:sz w:val="20"/>
          <w:szCs w:val="28"/>
        </w:rPr>
      </w:pPr>
    </w:p>
    <w:p w14:paraId="7271A5FE" w14:textId="41F09825" w:rsidR="006F0496" w:rsidRPr="00953335" w:rsidRDefault="006F0496" w:rsidP="00953335">
      <w:pPr>
        <w:pStyle w:val="af4"/>
        <w:keepNext/>
        <w:jc w:val="center"/>
        <w:rPr>
          <w:b/>
          <w:bCs/>
          <w:color w:val="FF0000"/>
          <w:szCs w:val="18"/>
        </w:rPr>
      </w:pPr>
      <w:r w:rsidRPr="00953335">
        <w:rPr>
          <w:rFonts w:ascii="Arial" w:hAnsi="Arial" w:cs="Arial"/>
          <w:b/>
          <w:bCs/>
          <w:color w:val="FF0000"/>
          <w:sz w:val="18"/>
          <w:szCs w:val="18"/>
        </w:rPr>
        <w:lastRenderedPageBreak/>
        <w:t xml:space="preserve">Table </w:t>
      </w:r>
      <w:r w:rsidRPr="00953335">
        <w:rPr>
          <w:rFonts w:ascii="Arial" w:hAnsi="Arial" w:cs="Arial"/>
          <w:b/>
          <w:bCs/>
          <w:color w:val="FF0000"/>
          <w:sz w:val="18"/>
          <w:szCs w:val="18"/>
        </w:rPr>
        <w:fldChar w:fldCharType="begin"/>
      </w:r>
      <w:r w:rsidRPr="00953335">
        <w:rPr>
          <w:rFonts w:ascii="Arial" w:hAnsi="Arial" w:cs="Arial"/>
          <w:b/>
          <w:bCs/>
          <w:color w:val="FF0000"/>
          <w:sz w:val="18"/>
          <w:szCs w:val="18"/>
        </w:rPr>
        <w:instrText xml:space="preserve"> SEQ Table \* ARABIC </w:instrText>
      </w:r>
      <w:r w:rsidRPr="00953335">
        <w:rPr>
          <w:rFonts w:ascii="Arial" w:hAnsi="Arial" w:cs="Arial"/>
          <w:b/>
          <w:bCs/>
          <w:color w:val="FF0000"/>
          <w:sz w:val="18"/>
          <w:szCs w:val="18"/>
        </w:rPr>
        <w:fldChar w:fldCharType="separate"/>
      </w:r>
      <w:r w:rsidR="00F455C2" w:rsidRPr="00953335">
        <w:rPr>
          <w:rFonts w:ascii="Arial" w:hAnsi="Arial" w:cs="Arial"/>
          <w:b/>
          <w:bCs/>
          <w:noProof/>
          <w:color w:val="FF0000"/>
          <w:sz w:val="18"/>
          <w:szCs w:val="18"/>
        </w:rPr>
        <w:t>6</w:t>
      </w:r>
      <w:r w:rsidRPr="00953335">
        <w:rPr>
          <w:rFonts w:ascii="Arial" w:hAnsi="Arial" w:cs="Arial"/>
          <w:b/>
          <w:bCs/>
          <w:color w:val="FF0000"/>
          <w:sz w:val="18"/>
          <w:szCs w:val="18"/>
        </w:rPr>
        <w:fldChar w:fldCharType="end"/>
      </w:r>
      <w:r w:rsidRPr="00953335">
        <w:rPr>
          <w:rFonts w:ascii="Arial" w:hAnsi="Arial" w:cs="Arial"/>
          <w:b/>
          <w:bCs/>
          <w:color w:val="FF0000"/>
          <w:sz w:val="18"/>
          <w:szCs w:val="18"/>
        </w:rPr>
        <w:t xml:space="preserve">. </w:t>
      </w:r>
      <w:r w:rsidR="00B26ED5" w:rsidRPr="00953335">
        <w:rPr>
          <w:rFonts w:ascii="Arial" w:hAnsi="Arial" w:cs="Arial"/>
          <w:b/>
          <w:bCs/>
          <w:color w:val="FF0000"/>
          <w:sz w:val="18"/>
          <w:szCs w:val="18"/>
        </w:rPr>
        <w:t>Annotation resources for benchmarking</w:t>
      </w:r>
    </w:p>
    <w:tbl>
      <w:tblPr>
        <w:tblStyle w:val="a9"/>
        <w:tblW w:w="8931" w:type="dxa"/>
        <w:jc w:val="center"/>
        <w:tblInd w:w="0" w:type="dxa"/>
        <w:tblBorders>
          <w:top w:val="single" w:sz="4" w:space="0" w:color="auto"/>
          <w:left w:val="none" w:sz="0" w:space="0" w:color="auto"/>
          <w:bottom w:val="single" w:sz="4" w:space="0" w:color="auto"/>
          <w:right w:val="none" w:sz="0" w:space="0" w:color="auto"/>
        </w:tblBorders>
        <w:tblLayout w:type="fixed"/>
        <w:tblLook w:val="04A0" w:firstRow="1" w:lastRow="0" w:firstColumn="1" w:lastColumn="0" w:noHBand="0" w:noVBand="1"/>
      </w:tblPr>
      <w:tblGrid>
        <w:gridCol w:w="1418"/>
        <w:gridCol w:w="992"/>
        <w:gridCol w:w="1134"/>
        <w:gridCol w:w="5387"/>
      </w:tblGrid>
      <w:tr w:rsidR="00CE5E20" w:rsidRPr="000B0CA8" w14:paraId="2B472C1B" w14:textId="77777777" w:rsidTr="00D555AA">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6" w:space="0" w:color="auto"/>
              <w:left w:val="nil"/>
              <w:bottom w:val="single" w:sz="6" w:space="0" w:color="auto"/>
              <w:right w:val="nil"/>
            </w:tcBorders>
            <w:shd w:val="clear" w:color="auto" w:fill="auto"/>
            <w:vAlign w:val="center"/>
          </w:tcPr>
          <w:p w14:paraId="1335C310" w14:textId="02631275" w:rsidR="00B30B5E" w:rsidRPr="000B0CA8" w:rsidRDefault="00B30B5E" w:rsidP="00D555AA">
            <w:pPr>
              <w:spacing w:line="240" w:lineRule="exact"/>
              <w:jc w:val="center"/>
              <w:rPr>
                <w:rFonts w:ascii="Times New Roman" w:hAnsi="Times New Roman" w:cs="Times New Roman"/>
                <w:color w:val="000000" w:themeColor="text1"/>
                <w:sz w:val="16"/>
                <w:szCs w:val="16"/>
              </w:rPr>
            </w:pPr>
            <w:r w:rsidRPr="000B0CA8">
              <w:rPr>
                <w:rFonts w:ascii="Times New Roman" w:hAnsi="Times New Roman" w:cs="Times New Roman"/>
                <w:color w:val="000000" w:themeColor="text1"/>
                <w:sz w:val="16"/>
                <w:szCs w:val="16"/>
              </w:rPr>
              <w:t>Resource</w:t>
            </w:r>
          </w:p>
        </w:tc>
        <w:tc>
          <w:tcPr>
            <w:tcW w:w="992" w:type="dxa"/>
            <w:tcBorders>
              <w:top w:val="single" w:sz="6" w:space="0" w:color="auto"/>
              <w:left w:val="nil"/>
              <w:bottom w:val="single" w:sz="6" w:space="0" w:color="auto"/>
              <w:right w:val="nil"/>
            </w:tcBorders>
            <w:shd w:val="clear" w:color="auto" w:fill="auto"/>
            <w:vAlign w:val="center"/>
            <w:hideMark/>
          </w:tcPr>
          <w:p w14:paraId="10890798" w14:textId="37A9197B" w:rsidR="00B30B5E" w:rsidRPr="000B0CA8" w:rsidRDefault="00B30B5E"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6"/>
                <w:szCs w:val="16"/>
              </w:rPr>
            </w:pPr>
            <w:r w:rsidRPr="000B0CA8">
              <w:rPr>
                <w:rFonts w:ascii="Times New Roman" w:hAnsi="Times New Roman" w:hint="eastAsia"/>
                <w:color w:val="000000"/>
                <w:sz w:val="16"/>
                <w:szCs w:val="16"/>
              </w:rPr>
              <w:t>A</w:t>
            </w:r>
            <w:r w:rsidRPr="000B0CA8">
              <w:rPr>
                <w:rFonts w:ascii="Times New Roman" w:hAnsi="Times New Roman"/>
                <w:color w:val="000000"/>
                <w:sz w:val="16"/>
                <w:szCs w:val="16"/>
              </w:rPr>
              <w:t>nnotation Records</w:t>
            </w:r>
          </w:p>
        </w:tc>
        <w:tc>
          <w:tcPr>
            <w:tcW w:w="1134" w:type="dxa"/>
            <w:tcBorders>
              <w:top w:val="single" w:sz="6" w:space="0" w:color="auto"/>
              <w:left w:val="nil"/>
              <w:bottom w:val="single" w:sz="6" w:space="0" w:color="auto"/>
              <w:right w:val="nil"/>
            </w:tcBorders>
            <w:shd w:val="clear" w:color="auto" w:fill="auto"/>
            <w:vAlign w:val="center"/>
            <w:hideMark/>
          </w:tcPr>
          <w:p w14:paraId="73F51055" w14:textId="75C8AABC" w:rsidR="00B30B5E" w:rsidRPr="000B0CA8" w:rsidRDefault="007304B9"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r w:rsidRPr="000B0CA8">
              <w:rPr>
                <w:rFonts w:ascii="Times New Roman" w:hAnsi="Times New Roman" w:hint="eastAsia"/>
                <w:color w:val="000000"/>
                <w:sz w:val="16"/>
                <w:szCs w:val="16"/>
              </w:rPr>
              <w:t>Source</w:t>
            </w:r>
          </w:p>
        </w:tc>
        <w:tc>
          <w:tcPr>
            <w:tcW w:w="5387" w:type="dxa"/>
            <w:tcBorders>
              <w:top w:val="single" w:sz="6" w:space="0" w:color="auto"/>
              <w:left w:val="nil"/>
              <w:bottom w:val="single" w:sz="6" w:space="0" w:color="auto"/>
              <w:right w:val="nil"/>
            </w:tcBorders>
            <w:shd w:val="clear" w:color="auto" w:fill="auto"/>
            <w:vAlign w:val="center"/>
            <w:hideMark/>
          </w:tcPr>
          <w:p w14:paraId="1B807CF9" w14:textId="6A57BEB5" w:rsidR="00B30B5E" w:rsidRPr="000B0CA8" w:rsidRDefault="00687ABC"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olor w:val="000000"/>
                <w:sz w:val="16"/>
                <w:szCs w:val="16"/>
              </w:rPr>
              <w:t>R</w:t>
            </w:r>
            <w:r w:rsidR="004F39A6" w:rsidRPr="000B0CA8">
              <w:rPr>
                <w:rFonts w:ascii="Times New Roman" w:hAnsi="Times New Roman"/>
                <w:color w:val="000000"/>
                <w:sz w:val="16"/>
                <w:szCs w:val="16"/>
              </w:rPr>
              <w:t>aw</w:t>
            </w:r>
            <w:r w:rsidRPr="000B0CA8">
              <w:rPr>
                <w:rFonts w:ascii="Times New Roman" w:hAnsi="Times New Roman"/>
                <w:color w:val="000000"/>
                <w:sz w:val="16"/>
                <w:szCs w:val="16"/>
              </w:rPr>
              <w:t xml:space="preserve"> URL</w:t>
            </w:r>
          </w:p>
        </w:tc>
      </w:tr>
      <w:tr w:rsidR="00CE5E20" w:rsidRPr="000B0CA8" w14:paraId="777D7E16" w14:textId="77777777" w:rsidTr="00D555AA">
        <w:trPr>
          <w:trHeight w:val="17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6" w:space="0" w:color="auto"/>
              <w:bottom w:val="single" w:sz="4" w:space="0" w:color="auto"/>
              <w:right w:val="nil"/>
            </w:tcBorders>
            <w:vAlign w:val="center"/>
          </w:tcPr>
          <w:p w14:paraId="6473E4DE" w14:textId="6B7E9D00" w:rsidR="00B30B5E" w:rsidRPr="000B0CA8" w:rsidRDefault="00B30B5E" w:rsidP="00D555AA">
            <w:pPr>
              <w:spacing w:line="240" w:lineRule="exact"/>
              <w:jc w:val="center"/>
              <w:rPr>
                <w:rFonts w:ascii="Times New Roman" w:hAnsi="Times New Roman" w:cs="Times New Roman"/>
                <w:b w:val="0"/>
                <w:bCs w:val="0"/>
                <w:sz w:val="16"/>
                <w:szCs w:val="16"/>
              </w:rPr>
            </w:pPr>
            <w:proofErr w:type="spellStart"/>
            <w:r w:rsidRPr="000B0CA8">
              <w:rPr>
                <w:rFonts w:ascii="Times New Roman" w:hAnsi="Times New Roman" w:cs="Times New Roman" w:hint="eastAsia"/>
                <w:sz w:val="16"/>
                <w:szCs w:val="16"/>
              </w:rPr>
              <w:t>C</w:t>
            </w:r>
            <w:r w:rsidRPr="000B0CA8">
              <w:rPr>
                <w:rFonts w:ascii="Times New Roman" w:hAnsi="Times New Roman" w:cs="Times New Roman"/>
                <w:sz w:val="16"/>
                <w:szCs w:val="16"/>
              </w:rPr>
              <w:t>ytoBand</w:t>
            </w:r>
            <w:proofErr w:type="spellEnd"/>
          </w:p>
        </w:tc>
        <w:tc>
          <w:tcPr>
            <w:tcW w:w="992" w:type="dxa"/>
            <w:tcBorders>
              <w:top w:val="single" w:sz="6" w:space="0" w:color="auto"/>
              <w:left w:val="nil"/>
              <w:bottom w:val="single" w:sz="4" w:space="0" w:color="auto"/>
            </w:tcBorders>
            <w:vAlign w:val="center"/>
            <w:hideMark/>
          </w:tcPr>
          <w:p w14:paraId="4D20096A" w14:textId="24CC1486" w:rsidR="00B30B5E"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1</w:t>
            </w:r>
            <w:r w:rsidRPr="000B0CA8">
              <w:rPr>
                <w:rFonts w:ascii="Times New Roman" w:hAnsi="Times New Roman"/>
                <w:sz w:val="16"/>
                <w:szCs w:val="16"/>
              </w:rPr>
              <w:t>,549</w:t>
            </w:r>
          </w:p>
        </w:tc>
        <w:tc>
          <w:tcPr>
            <w:tcW w:w="1134" w:type="dxa"/>
            <w:tcBorders>
              <w:top w:val="single" w:sz="6" w:space="0" w:color="auto"/>
              <w:bottom w:val="single" w:sz="4" w:space="0" w:color="auto"/>
            </w:tcBorders>
            <w:vAlign w:val="center"/>
            <w:hideMark/>
          </w:tcPr>
          <w:p w14:paraId="61160F82" w14:textId="41710928" w:rsidR="00B30B5E"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w:t>
            </w:r>
          </w:p>
        </w:tc>
        <w:tc>
          <w:tcPr>
            <w:tcW w:w="5387" w:type="dxa"/>
            <w:tcBorders>
              <w:top w:val="single" w:sz="6" w:space="0" w:color="auto"/>
              <w:bottom w:val="single" w:sz="4" w:space="0" w:color="auto"/>
            </w:tcBorders>
            <w:vAlign w:val="center"/>
            <w:hideMark/>
          </w:tcPr>
          <w:p w14:paraId="265DCC90" w14:textId="55317C8F" w:rsidR="00B30B5E"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hyperlink r:id="rId11" w:history="1">
              <w:r w:rsidRPr="000B0CA8">
                <w:rPr>
                  <w:rStyle w:val="ab"/>
                  <w:rFonts w:ascii="Times New Roman" w:hAnsi="Times New Roman"/>
                  <w:sz w:val="16"/>
                  <w:szCs w:val="16"/>
                </w:rPr>
                <w:t>http://hgdownload.cse.ucsc.edu/goldenpath/hg38/database/cytoBand.txt.gz</w:t>
              </w:r>
            </w:hyperlink>
            <w:r w:rsidRPr="000B0CA8">
              <w:rPr>
                <w:rFonts w:ascii="Times New Roman" w:hAnsi="Times New Roman"/>
                <w:sz w:val="16"/>
                <w:szCs w:val="16"/>
              </w:rPr>
              <w:t xml:space="preserve"> </w:t>
            </w:r>
          </w:p>
        </w:tc>
      </w:tr>
      <w:tr w:rsidR="00CE5E20" w:rsidRPr="000B0CA8" w14:paraId="7687BB5F" w14:textId="77777777" w:rsidTr="00D555AA">
        <w:trPr>
          <w:trHeight w:val="1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il"/>
              <w:bottom w:val="single" w:sz="4" w:space="0" w:color="auto"/>
              <w:right w:val="nil"/>
            </w:tcBorders>
            <w:vAlign w:val="center"/>
          </w:tcPr>
          <w:p w14:paraId="245B00AA" w14:textId="3847DE2E" w:rsidR="00B30B5E" w:rsidRPr="000B0CA8" w:rsidRDefault="00B30B5E" w:rsidP="00D555AA">
            <w:pPr>
              <w:spacing w:line="240" w:lineRule="exact"/>
              <w:jc w:val="center"/>
              <w:rPr>
                <w:rFonts w:ascii="Times New Roman" w:hAnsi="Times New Roman"/>
                <w:b w:val="0"/>
                <w:bCs w:val="0"/>
                <w:sz w:val="16"/>
                <w:szCs w:val="16"/>
              </w:rPr>
            </w:pPr>
            <w:r w:rsidRPr="000B0CA8">
              <w:rPr>
                <w:rFonts w:ascii="Times New Roman" w:hAnsi="Times New Roman" w:hint="eastAsia"/>
                <w:sz w:val="16"/>
                <w:szCs w:val="16"/>
              </w:rPr>
              <w:t>R</w:t>
            </w:r>
            <w:r w:rsidRPr="000B0CA8">
              <w:rPr>
                <w:rFonts w:ascii="Times New Roman" w:hAnsi="Times New Roman"/>
                <w:sz w:val="16"/>
                <w:szCs w:val="16"/>
              </w:rPr>
              <w:t>eference Genome</w:t>
            </w:r>
          </w:p>
        </w:tc>
        <w:tc>
          <w:tcPr>
            <w:tcW w:w="992" w:type="dxa"/>
            <w:tcBorders>
              <w:top w:val="single" w:sz="4" w:space="0" w:color="auto"/>
              <w:left w:val="nil"/>
              <w:bottom w:val="single" w:sz="4" w:space="0" w:color="auto"/>
            </w:tcBorders>
            <w:vAlign w:val="center"/>
            <w:hideMark/>
          </w:tcPr>
          <w:p w14:paraId="5235382C" w14:textId="5E7EAB02" w:rsidR="00B30B5E"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1</w:t>
            </w:r>
            <w:r w:rsidRPr="000B0CA8">
              <w:rPr>
                <w:rFonts w:ascii="Times New Roman" w:hAnsi="Times New Roman"/>
                <w:sz w:val="16"/>
                <w:szCs w:val="16"/>
              </w:rPr>
              <w:t>04,726</w:t>
            </w:r>
          </w:p>
        </w:tc>
        <w:tc>
          <w:tcPr>
            <w:tcW w:w="1134" w:type="dxa"/>
            <w:tcBorders>
              <w:top w:val="single" w:sz="4" w:space="0" w:color="auto"/>
              <w:bottom w:val="single" w:sz="4" w:space="0" w:color="auto"/>
            </w:tcBorders>
            <w:vAlign w:val="center"/>
            <w:hideMark/>
          </w:tcPr>
          <w:p w14:paraId="5EB8D596" w14:textId="01C2505A" w:rsidR="00B30B5E" w:rsidRPr="000B0CA8" w:rsidRDefault="00B30B5E"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0B0CA8">
              <w:rPr>
                <w:rFonts w:ascii="Times New Roman" w:hAnsi="Times New Roman"/>
                <w:sz w:val="16"/>
                <w:szCs w:val="16"/>
              </w:rPr>
              <w:t>RefGene</w:t>
            </w:r>
            <w:proofErr w:type="spellEnd"/>
          </w:p>
        </w:tc>
        <w:tc>
          <w:tcPr>
            <w:tcW w:w="5387" w:type="dxa"/>
            <w:tcBorders>
              <w:top w:val="single" w:sz="4" w:space="0" w:color="auto"/>
              <w:bottom w:val="single" w:sz="4" w:space="0" w:color="auto"/>
            </w:tcBorders>
            <w:vAlign w:val="center"/>
            <w:hideMark/>
          </w:tcPr>
          <w:p w14:paraId="73E6C104" w14:textId="0063C1B5" w:rsidR="00B30B5E" w:rsidRPr="000B0CA8" w:rsidRDefault="00D719ED"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hyperlink r:id="rId12" w:history="1">
              <w:r w:rsidRPr="000B0CA8">
                <w:rPr>
                  <w:rStyle w:val="ab"/>
                  <w:rFonts w:ascii="Times New Roman" w:hAnsi="Times New Roman"/>
                  <w:sz w:val="16"/>
                  <w:szCs w:val="16"/>
                </w:rPr>
                <w:t>http://hgdownload.cse.ucsc.edu/goldenPath/hg19/database/refGene.txt.gz</w:t>
              </w:r>
            </w:hyperlink>
            <w:r w:rsidRPr="000B0CA8">
              <w:rPr>
                <w:rStyle w:val="ab"/>
                <w:rFonts w:ascii="Times New Roman" w:hAnsi="Times New Roman"/>
                <w:sz w:val="16"/>
                <w:szCs w:val="16"/>
              </w:rPr>
              <w:t xml:space="preserve">  </w:t>
            </w:r>
          </w:p>
        </w:tc>
      </w:tr>
      <w:tr w:rsidR="00CE5E20" w:rsidRPr="000B0CA8" w14:paraId="65CA35D8" w14:textId="77777777" w:rsidTr="00D555AA">
        <w:trPr>
          <w:trHeight w:val="17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nil"/>
              <w:bottom w:val="single" w:sz="4" w:space="0" w:color="auto"/>
              <w:right w:val="nil"/>
            </w:tcBorders>
            <w:vAlign w:val="center"/>
          </w:tcPr>
          <w:p w14:paraId="502C348E" w14:textId="1E8F61F0" w:rsidR="00B30B5E" w:rsidRPr="000B0CA8" w:rsidRDefault="00B30B5E" w:rsidP="00D555AA">
            <w:pPr>
              <w:spacing w:line="240" w:lineRule="exact"/>
              <w:jc w:val="center"/>
              <w:rPr>
                <w:rFonts w:ascii="Times New Roman" w:hAnsi="Times New Roman" w:cs="Times New Roman"/>
                <w:b w:val="0"/>
                <w:bCs w:val="0"/>
                <w:sz w:val="16"/>
                <w:szCs w:val="16"/>
              </w:rPr>
            </w:pPr>
          </w:p>
        </w:tc>
        <w:tc>
          <w:tcPr>
            <w:tcW w:w="992" w:type="dxa"/>
            <w:tcBorders>
              <w:top w:val="single" w:sz="4" w:space="0" w:color="auto"/>
              <w:left w:val="nil"/>
              <w:bottom w:val="single" w:sz="4" w:space="0" w:color="auto"/>
            </w:tcBorders>
            <w:vAlign w:val="center"/>
            <w:hideMark/>
          </w:tcPr>
          <w:p w14:paraId="4AE90DF7" w14:textId="6EBC3F31" w:rsidR="00B30B5E"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3</w:t>
            </w:r>
            <w:r w:rsidRPr="000B0CA8">
              <w:rPr>
                <w:rFonts w:ascii="Times New Roman" w:hAnsi="Times New Roman"/>
                <w:sz w:val="16"/>
                <w:szCs w:val="16"/>
              </w:rPr>
              <w:t>06,860</w:t>
            </w:r>
          </w:p>
        </w:tc>
        <w:tc>
          <w:tcPr>
            <w:tcW w:w="1134" w:type="dxa"/>
            <w:tcBorders>
              <w:top w:val="single" w:sz="4" w:space="0" w:color="auto"/>
              <w:bottom w:val="single" w:sz="4" w:space="0" w:color="auto"/>
            </w:tcBorders>
            <w:vAlign w:val="center"/>
            <w:hideMark/>
          </w:tcPr>
          <w:p w14:paraId="69C9A986" w14:textId="3B834FAF" w:rsidR="00B30B5E" w:rsidRPr="000B0CA8" w:rsidRDefault="00B30B5E"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0B0CA8">
              <w:rPr>
                <w:rFonts w:ascii="Times New Roman" w:hAnsi="Times New Roman" w:cs="Times New Roman"/>
                <w:sz w:val="16"/>
                <w:szCs w:val="16"/>
              </w:rPr>
              <w:t>GEncode</w:t>
            </w:r>
            <w:proofErr w:type="spellEnd"/>
          </w:p>
        </w:tc>
        <w:tc>
          <w:tcPr>
            <w:tcW w:w="5387" w:type="dxa"/>
            <w:tcBorders>
              <w:top w:val="single" w:sz="4" w:space="0" w:color="auto"/>
              <w:bottom w:val="single" w:sz="4" w:space="0" w:color="auto"/>
            </w:tcBorders>
            <w:vAlign w:val="center"/>
            <w:hideMark/>
          </w:tcPr>
          <w:p w14:paraId="78796FFD" w14:textId="46908BF5" w:rsidR="00B30B5E" w:rsidRPr="000B0CA8" w:rsidRDefault="00D719ED"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hyperlink r:id="rId13" w:history="1">
              <w:r w:rsidRPr="000B0CA8">
                <w:rPr>
                  <w:rStyle w:val="ab"/>
                  <w:rFonts w:ascii="Times New Roman" w:hAnsi="Times New Roman"/>
                  <w:sz w:val="16"/>
                  <w:szCs w:val="16"/>
                </w:rPr>
                <w:t>https://www.gencodegenes.org</w:t>
              </w:r>
            </w:hyperlink>
            <w:r w:rsidR="00F32A39" w:rsidRPr="000B0CA8">
              <w:rPr>
                <w:rFonts w:ascii="Times New Roman" w:hAnsi="Times New Roman"/>
                <w:sz w:val="16"/>
                <w:szCs w:val="16"/>
              </w:rPr>
              <w:t xml:space="preserve"> </w:t>
            </w:r>
          </w:p>
        </w:tc>
      </w:tr>
      <w:tr w:rsidR="00CE5E20" w:rsidRPr="000B0CA8" w14:paraId="16715ACD" w14:textId="77777777" w:rsidTr="00D555AA">
        <w:trPr>
          <w:trHeight w:val="17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nil"/>
              <w:bottom w:val="single" w:sz="4" w:space="0" w:color="auto"/>
              <w:right w:val="nil"/>
            </w:tcBorders>
            <w:vAlign w:val="center"/>
          </w:tcPr>
          <w:p w14:paraId="19807FC1" w14:textId="08FA4435" w:rsidR="00B30B5E" w:rsidRPr="000B0CA8" w:rsidRDefault="00B30B5E" w:rsidP="00D555AA">
            <w:pPr>
              <w:spacing w:line="240" w:lineRule="exact"/>
              <w:jc w:val="center"/>
              <w:rPr>
                <w:rFonts w:ascii="Times New Roman" w:hAnsi="Times New Roman" w:cs="Times New Roman"/>
                <w:b w:val="0"/>
                <w:bCs w:val="0"/>
                <w:sz w:val="16"/>
                <w:szCs w:val="16"/>
              </w:rPr>
            </w:pPr>
          </w:p>
        </w:tc>
        <w:tc>
          <w:tcPr>
            <w:tcW w:w="992" w:type="dxa"/>
            <w:tcBorders>
              <w:top w:val="single" w:sz="4" w:space="0" w:color="auto"/>
              <w:left w:val="nil"/>
              <w:bottom w:val="single" w:sz="4" w:space="0" w:color="auto"/>
            </w:tcBorders>
            <w:vAlign w:val="center"/>
            <w:hideMark/>
          </w:tcPr>
          <w:p w14:paraId="71B1D23F" w14:textId="10132E82" w:rsidR="00B30B5E"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hint="eastAsia"/>
                <w:sz w:val="16"/>
                <w:szCs w:val="16"/>
              </w:rPr>
              <w:t>3</w:t>
            </w:r>
            <w:r w:rsidRPr="000B0CA8">
              <w:rPr>
                <w:rFonts w:ascii="Times New Roman" w:hAnsi="Times New Roman"/>
                <w:sz w:val="16"/>
                <w:szCs w:val="16"/>
              </w:rPr>
              <w:t>29732</w:t>
            </w:r>
          </w:p>
        </w:tc>
        <w:tc>
          <w:tcPr>
            <w:tcW w:w="1134" w:type="dxa"/>
            <w:tcBorders>
              <w:top w:val="single" w:sz="4" w:space="0" w:color="auto"/>
              <w:bottom w:val="single" w:sz="4" w:space="0" w:color="auto"/>
            </w:tcBorders>
            <w:vAlign w:val="center"/>
            <w:hideMark/>
          </w:tcPr>
          <w:p w14:paraId="4DDBB17F" w14:textId="53E7A393" w:rsidR="00B30B5E" w:rsidRPr="000B0CA8" w:rsidRDefault="00B30B5E"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0B0CA8">
              <w:rPr>
                <w:rFonts w:ascii="Times New Roman" w:hAnsi="Times New Roman" w:cs="Times New Roman"/>
                <w:sz w:val="16"/>
                <w:szCs w:val="16"/>
              </w:rPr>
              <w:t>KnownGene</w:t>
            </w:r>
            <w:proofErr w:type="spellEnd"/>
          </w:p>
        </w:tc>
        <w:tc>
          <w:tcPr>
            <w:tcW w:w="5387" w:type="dxa"/>
            <w:tcBorders>
              <w:top w:val="single" w:sz="4" w:space="0" w:color="auto"/>
              <w:bottom w:val="single" w:sz="4" w:space="0" w:color="auto"/>
            </w:tcBorders>
            <w:vAlign w:val="center"/>
            <w:hideMark/>
          </w:tcPr>
          <w:p w14:paraId="003543A9" w14:textId="1237EEF3" w:rsidR="00B30B5E"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hyperlink r:id="rId14" w:history="1">
              <w:r w:rsidRPr="000B0CA8">
                <w:rPr>
                  <w:rStyle w:val="ab"/>
                  <w:rFonts w:ascii="Times New Roman" w:hAnsi="Times New Roman"/>
                  <w:sz w:val="16"/>
                  <w:szCs w:val="16"/>
                </w:rPr>
                <w:t>http://hgdownload.cse.ucsc.edu/goldenPath/hg19/database/knownGene.txt.gz</w:t>
              </w:r>
            </w:hyperlink>
            <w:r w:rsidRPr="000B0CA8">
              <w:rPr>
                <w:rFonts w:ascii="Times New Roman" w:hAnsi="Times New Roman"/>
                <w:sz w:val="16"/>
                <w:szCs w:val="16"/>
              </w:rPr>
              <w:t xml:space="preserve"> </w:t>
            </w:r>
          </w:p>
        </w:tc>
      </w:tr>
      <w:tr w:rsidR="00F32A39" w:rsidRPr="000B0CA8" w14:paraId="06751DE4" w14:textId="77777777" w:rsidTr="00D555AA">
        <w:trPr>
          <w:trHeight w:val="241"/>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auto"/>
              <w:right w:val="nil"/>
            </w:tcBorders>
            <w:vAlign w:val="center"/>
          </w:tcPr>
          <w:p w14:paraId="6CC7DD45" w14:textId="77777777" w:rsidR="002D7111" w:rsidRPr="000B0CA8" w:rsidRDefault="00F32A39" w:rsidP="00D555AA">
            <w:pPr>
              <w:spacing w:line="240" w:lineRule="exact"/>
              <w:jc w:val="center"/>
              <w:rPr>
                <w:rFonts w:ascii="Times New Roman" w:hAnsi="Times New Roman" w:cs="Times New Roman"/>
                <w:b w:val="0"/>
                <w:bCs w:val="0"/>
                <w:sz w:val="16"/>
                <w:szCs w:val="16"/>
              </w:rPr>
            </w:pPr>
            <w:proofErr w:type="spellStart"/>
            <w:r w:rsidRPr="000B0CA8">
              <w:rPr>
                <w:rFonts w:ascii="Times New Roman" w:hAnsi="Times New Roman" w:cs="Times New Roman" w:hint="eastAsia"/>
                <w:sz w:val="16"/>
                <w:szCs w:val="16"/>
              </w:rPr>
              <w:t>G</w:t>
            </w:r>
            <w:r w:rsidRPr="000B0CA8">
              <w:rPr>
                <w:rFonts w:ascii="Times New Roman" w:hAnsi="Times New Roman" w:cs="Times New Roman"/>
                <w:sz w:val="16"/>
                <w:szCs w:val="16"/>
              </w:rPr>
              <w:t>eneHancer</w:t>
            </w:r>
            <w:proofErr w:type="spellEnd"/>
          </w:p>
          <w:p w14:paraId="2C81FD2F" w14:textId="7AC4056D" w:rsidR="002D7111" w:rsidRPr="000B0CA8" w:rsidRDefault="002D7111"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v</w:t>
            </w:r>
            <w:r w:rsidRPr="000B0CA8">
              <w:rPr>
                <w:rFonts w:ascii="Times New Roman" w:hAnsi="Times New Roman" w:cs="Times New Roman"/>
                <w:sz w:val="16"/>
                <w:szCs w:val="16"/>
              </w:rPr>
              <w:t>5.14</w:t>
            </w:r>
            <w:r w:rsidR="00E71B3E" w:rsidRPr="000B0CA8">
              <w:rPr>
                <w:rFonts w:ascii="Times New Roman" w:hAnsi="Times New Roman" w:cs="Times New Roman"/>
                <w:sz w:val="16"/>
                <w:szCs w:val="16"/>
              </w:rPr>
              <w:fldChar w:fldCharType="begin"/>
            </w:r>
            <w:r w:rsidR="00E71B3E" w:rsidRPr="000B0CA8">
              <w:rPr>
                <w:rFonts w:ascii="Times New Roman" w:hAnsi="Times New Roman" w:cs="Times New Roman"/>
                <w:sz w:val="16"/>
                <w:szCs w:val="16"/>
              </w:rPr>
              <w:instrText xml:space="preserve"> ADDIN ZOTERO_ITEM CSL_CITATION {"citationID":"FZSOzSDb","properties":{"formattedCitation":"\\super 23,24\\nosupersub{}","plainCitation":"23,24","noteIndex":0},"citationItems":[{"id":277,"uris":["http://zotero.org/users/local/isDXystY/items/MVJMBP53"],"itemData":{"id":277,"type":"article-journal","abstract":"A major challenge in understanding gene regulation is the unequivocal identification of enhancer elements and uncovering their connections to genes. We present GeneHancer, a novel database of human enhancers and their inferred target genes, in the framework of GeneCards. First, we integrated a total of 434 000 reported enhancers from four different genome-wide databases: the Encyclopedia of DNA Elements (ENCODE), the Ensembl regulatory build, the functional annotation of the mammalian genome (FANTOM) project and the VISTA Enhancer Browser. Employing an integration algorithm that aims to remove redundancy, GeneHancer portrays 285 000 integrated candidate enhancers (covering 12.4% of the genome), 94 000 of which are derived from more than one source, and each assigned an annotation-derived confidence score. GeneHancer subsequently links enhancers to genes, using: tissue co-expression correlation between genes and enhancer RNAs, as well as enhancer-targeted transcription factor genes; expression quantitative trait loci for variants within enhancers; and capture Hi-C, a promoter-specific genome conformation assay. The individual scores based on each of these four methods, along with gene–enhancer genomic distances, form the basis for GeneHancer’s combinatorial likelihood-based scores for enhancer–gene pairing. Finally, we define ‘elite’ enhancer–gene relations reflecting both a high-likelihood enhancer definition and a strong enhancer–gene association. GeneHancer predictions are fully integrated in the widely used GeneCards Suite, whereby candidate enhancers and their annotations are displayed on every relevant GeneCard. This assists in the mapping of non-coding variants to enhancers, and via the linked genes, forms a basis for variant–phenotype interpretation of whole-genome sequences in health and disease.\nDATABASE URL: http://www.genecards.org/.","container-title":"Database: The Journal of Biological Databases and Curation","DOI":"10.1093/database/bax028","ISSN":"1758-0463","journalAbbreviation":"Database (Oxford)","language":"eng","note":"PMID: 28605766\nPMCID: PMC5467550","page":"bax028","source":"PubMed","title":"GeneHancer: genome-wide integration of enhancers and target genes in GeneCards","title-short":"GeneHancer","volume":"2017","author":[{"family":"Fishilevich","given":"Simon"},{"family":"Nudel","given":"Ron"},{"family":"Rappaport","given":"Noa"},{"family":"Hadar","given":"Rotem"},{"family":"Plaschkes","given":"Inbar"},{"family":"Iny Stein","given":"Tsippi"},{"family":"Rosen","given":"Naomi"},{"family":"Kohn","given":"Asher"},{"family":"Twik","given":"Michal"},{"family":"Safran","given":"Marilyn"},{"family":"Lancet","given":"Doron"},{"family":"Cohen","given":"Dana"}],"issued":{"date-parts":[["2017",1,1]]}},"label":"page"},{"id":278,"uris":["http://zotero.org/users/local/isDXystY/items/FNZM89VG"],"itemData":{"id":278,"type":"article-journal","abstract":"SUMMARY: Structural Variations (SV) are a major source of variability in the human genome that shaped its actual structure during evolution. Moreover, many human diseases are caused by SV, highlighting the need to accurately detect those genomic events but also to annotate them and assist their biological interpretation. Therefore, we developed AnnotSV that compiles functionally, regulatory and clinically relevant information and aims at providing annotations useful to (i) interpret SV potential pathogenicity and (ii) filter out SV potential false positive. In particular, AnnotSV reports heterozygous and homozygous counts of single nucleotide variations (SNVs) and small insertions/deletions called within each SV for the analyzed patients, this genomic information being extremely useful to support or question the existence of an SV. We also report the computed allelic frequency relative to overlapping variants from DGV (MacDonald et al., 2014), that is especially powerful to filter out common SV. To delineate the strength of AnnotSV, we annotated the 4751 SV from one sample of the 1000 Genomes Project, integrating the sample information of four million of SNV/indel, in less than 60 s.\nAVAILABILITY AND IMPLEMENTATION: AnnotSV is implemented in Tcl and runs in command line on all platforms. The source code is available under the GNU GPL license. Source code, README and Supplementary data are available at http://lbgi.fr/AnnotSV/.\nSUPPLEMENTARY INFORMATION: Supplementary data are available at Bioinformatics online.","container-title":"Bioinformatics (Oxford, England)","DOI":"10.1093/bioinformatics/bty304","ISSN":"1367-4811","issue":"20","journalAbbreviation":"Bioinformatics","language":"eng","note":"PMID: 29669011","page":"3572-3574","source":"PubMed","title":"AnnotSV: an integrated tool for structural variations annotation","title-short":"AnnotSV","volume":"34","author":[{"family":"Geoffroy","given":"Véronique"},{"family":"Herenger","given":"Yvan"},{"family":"Kress","given":"Arnaud"},{"family":"Stoetzel","given":"Corinne"},{"family":"Piton","given":"Amélie"},{"family":"Dollfus","given":"Hélène"},{"family":"Muller","given":"Jean"}],"issued":{"date-parts":[["2018",10,15]]}},"label":"page"}],"schema":"https://github.com/citation-style-language/schema/raw/master/csl-citation.json"} </w:instrText>
            </w:r>
            <w:r w:rsidR="00E71B3E" w:rsidRPr="000B0CA8">
              <w:rPr>
                <w:rFonts w:ascii="Times New Roman" w:hAnsi="Times New Roman" w:cs="Times New Roman"/>
                <w:sz w:val="16"/>
                <w:szCs w:val="16"/>
              </w:rPr>
              <w:fldChar w:fldCharType="separate"/>
            </w:r>
            <w:r w:rsidR="00E71B3E" w:rsidRPr="000B0CA8">
              <w:rPr>
                <w:rFonts w:ascii="Times New Roman" w:hAnsi="Times New Roman" w:cs="Times New Roman"/>
                <w:sz w:val="16"/>
                <w:szCs w:val="28"/>
                <w:vertAlign w:val="superscript"/>
              </w:rPr>
              <w:t>23,24</w:t>
            </w:r>
            <w:r w:rsidR="00E71B3E" w:rsidRPr="000B0CA8">
              <w:rPr>
                <w:rFonts w:ascii="Times New Roman" w:hAnsi="Times New Roman" w:cs="Times New Roman"/>
                <w:sz w:val="16"/>
                <w:szCs w:val="16"/>
              </w:rPr>
              <w:fldChar w:fldCharType="end"/>
            </w:r>
          </w:p>
        </w:tc>
        <w:tc>
          <w:tcPr>
            <w:tcW w:w="992" w:type="dxa"/>
            <w:tcBorders>
              <w:top w:val="single" w:sz="4" w:space="0" w:color="auto"/>
              <w:left w:val="nil"/>
            </w:tcBorders>
            <w:vAlign w:val="center"/>
            <w:hideMark/>
          </w:tcPr>
          <w:p w14:paraId="16514BDA" w14:textId="6C33A6FF"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3</w:t>
            </w:r>
            <w:r w:rsidRPr="000B0CA8">
              <w:rPr>
                <w:rFonts w:ascii="Times New Roman" w:hAnsi="Times New Roman"/>
                <w:sz w:val="16"/>
                <w:szCs w:val="16"/>
              </w:rPr>
              <w:t>93,464</w:t>
            </w:r>
          </w:p>
          <w:p w14:paraId="61A44B6B" w14:textId="25ED89E0"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34" w:type="dxa"/>
            <w:tcBorders>
              <w:top w:val="single" w:sz="4" w:space="0" w:color="auto"/>
              <w:bottom w:val="nil"/>
            </w:tcBorders>
            <w:vAlign w:val="center"/>
            <w:hideMark/>
          </w:tcPr>
          <w:p w14:paraId="715963C9" w14:textId="544F91FD"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w:t>
            </w:r>
          </w:p>
          <w:p w14:paraId="75E8EA22" w14:textId="002D5634"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387" w:type="dxa"/>
            <w:tcBorders>
              <w:top w:val="single" w:sz="4" w:space="0" w:color="auto"/>
            </w:tcBorders>
            <w:vAlign w:val="center"/>
            <w:hideMark/>
          </w:tcPr>
          <w:p w14:paraId="2FB67A0D" w14:textId="6EBC71ED" w:rsidR="00F32A39" w:rsidRPr="000B0CA8" w:rsidRDefault="002D7111"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15" w:history="1">
              <w:r w:rsidRPr="000B0CA8">
                <w:rPr>
                  <w:rStyle w:val="ab"/>
                  <w:rFonts w:ascii="Times New Roman" w:hAnsi="Times New Roman" w:cs="Times New Roman"/>
                  <w:sz w:val="16"/>
                  <w:szCs w:val="16"/>
                </w:rPr>
                <w:t>https://www.genecards.org/Guide/DatasetRequest</w:t>
              </w:r>
            </w:hyperlink>
            <w:r w:rsidRPr="000B0CA8">
              <w:rPr>
                <w:rFonts w:ascii="Times New Roman" w:hAnsi="Times New Roman" w:cs="Times New Roman"/>
                <w:sz w:val="16"/>
                <w:szCs w:val="16"/>
              </w:rPr>
              <w:t xml:space="preserve"> </w:t>
            </w:r>
          </w:p>
        </w:tc>
      </w:tr>
      <w:tr w:rsidR="00F32A39" w:rsidRPr="000B0CA8" w14:paraId="2335E036" w14:textId="77777777" w:rsidTr="00D555AA">
        <w:trPr>
          <w:trHeight w:val="4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il"/>
              <w:bottom w:val="single" w:sz="4" w:space="0" w:color="auto"/>
              <w:right w:val="nil"/>
            </w:tcBorders>
            <w:vAlign w:val="center"/>
          </w:tcPr>
          <w:p w14:paraId="05714A57" w14:textId="1F698C90" w:rsidR="00F32A39" w:rsidRPr="000B0CA8" w:rsidRDefault="00F32A39"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EnhanceAtlas</w:t>
            </w:r>
            <w:r w:rsidR="00AE3273" w:rsidRPr="000B0CA8">
              <w:rPr>
                <w:rFonts w:ascii="Times New Roman" w:hAnsi="Times New Roman" w:cs="Times New Roman"/>
                <w:sz w:val="16"/>
                <w:szCs w:val="16"/>
              </w:rPr>
              <w:fldChar w:fldCharType="begin"/>
            </w:r>
            <w:r w:rsidR="00AE3273" w:rsidRPr="000B0CA8">
              <w:rPr>
                <w:rFonts w:ascii="Times New Roman" w:hAnsi="Times New Roman" w:cs="Times New Roman"/>
                <w:sz w:val="16"/>
                <w:szCs w:val="16"/>
              </w:rPr>
              <w:instrText xml:space="preserve"> ADDIN ZOTERO_ITEM CSL_CITATION {"citationID":"a2YQuR3u","properties":{"formattedCitation":"\\super 25\\nosupersub{}","plainCitation":"25","noteIndex":0},"citationItems":[{"id":279,"uris":["http://zotero.org/users/local/isDXystY/items/RX9HGW28"],"itemData":{"id":279,"type":"article-journal","abstract":"Enhancers are distal cis-regulatory elements that activate the transcription of their target genes. They regulate a wide range of important biological functions and processes, including embryogenesis, development, and homeostasis. As more and more large-scale technologies were developed for enhancer identification, a comprehensive database is highly desirable for enhancer annotation based on various genome-wide profiling datasets across different species. Here, we present an updated database EnhancerAtlas 2.0 (http://www.enhanceratlas.org/indexv2.php), covering 586 tissue/cell types that include a large number of normal tissues, cancer cell lines, and cells at different development stages across nine species. Overall, the database contains 13 494 603 enhancers, which were obtained from 16 055 datasets using 12 high-throughput experiment methods (e.g. H3K4me1/H3K27ac, DNase-seq/ATAC-seq, P300, POLR2A, CAGE, ChIA-PET, GRO-seq, STARR-seq and MPRA). The updated version is a huge expansion of the first version, which only contains the enhancers in human cells. In addition, we predicted enhancer-target gene relationships in human, mouse and fly. Finally, the users can search enhancers and enhancer-target gene relationships through five user-friendly, interactive modules. We believe the new annotation of enhancers in EnhancerAtlas 2.0 will facilitate users to perform useful functional analysis of enhancers in various genomes.","container-title":"Nucleic Acids Research","DOI":"10.1093/nar/gkz980","ISSN":"1362-4962","issue":"D1","journalAbbreviation":"Nucleic Acids Res","language":"eng","note":"PMID: 31740966\nPMCID: PMC7145677","page":"D58-D64","source":"PubMed","title":"EnhancerAtlas 2.0: an updated resource with enhancer annotation in 586 tissue/cell types across nine species","title-short":"EnhancerAtlas 2.0","volume":"48","author":[{"family":"Gao","given":"Tianshun"},{"family":"Qian","given":"Jiang"}],"issued":{"date-parts":[["2020",1,8]]}}}],"schema":"https://github.com/citation-style-language/schema/raw/master/csl-citation.json"} </w:instrText>
            </w:r>
            <w:r w:rsidR="00AE3273" w:rsidRPr="000B0CA8">
              <w:rPr>
                <w:rFonts w:ascii="Times New Roman" w:hAnsi="Times New Roman" w:cs="Times New Roman"/>
                <w:sz w:val="16"/>
                <w:szCs w:val="16"/>
              </w:rPr>
              <w:fldChar w:fldCharType="separate"/>
            </w:r>
            <w:r w:rsidR="00AE3273" w:rsidRPr="000B0CA8">
              <w:rPr>
                <w:rFonts w:ascii="Times New Roman" w:hAnsi="Times New Roman" w:cs="Times New Roman"/>
                <w:sz w:val="16"/>
                <w:szCs w:val="28"/>
                <w:vertAlign w:val="superscript"/>
              </w:rPr>
              <w:t>25</w:t>
            </w:r>
            <w:r w:rsidR="00AE3273" w:rsidRPr="000B0CA8">
              <w:rPr>
                <w:rFonts w:ascii="Times New Roman" w:hAnsi="Times New Roman" w:cs="Times New Roman"/>
                <w:sz w:val="16"/>
                <w:szCs w:val="16"/>
              </w:rPr>
              <w:fldChar w:fldCharType="end"/>
            </w:r>
          </w:p>
        </w:tc>
        <w:tc>
          <w:tcPr>
            <w:tcW w:w="992" w:type="dxa"/>
            <w:tcBorders>
              <w:top w:val="single" w:sz="4" w:space="0" w:color="auto"/>
              <w:left w:val="nil"/>
              <w:bottom w:val="nil"/>
              <w:right w:val="nil"/>
            </w:tcBorders>
            <w:vAlign w:val="center"/>
          </w:tcPr>
          <w:p w14:paraId="663D999C" w14:textId="349EF738"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63,859</w:t>
            </w:r>
          </w:p>
        </w:tc>
        <w:tc>
          <w:tcPr>
            <w:tcW w:w="1134" w:type="dxa"/>
            <w:tcBorders>
              <w:top w:val="single" w:sz="4" w:space="0" w:color="auto"/>
              <w:left w:val="nil"/>
              <w:bottom w:val="nil"/>
              <w:right w:val="nil"/>
            </w:tcBorders>
            <w:vAlign w:val="center"/>
          </w:tcPr>
          <w:p w14:paraId="643AE3BD" w14:textId="22D3D799"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0B0CA8">
              <w:rPr>
                <w:rFonts w:ascii="Times New Roman" w:hAnsi="Times New Roman" w:cs="Times New Roman" w:hint="eastAsia"/>
                <w:sz w:val="16"/>
                <w:szCs w:val="16"/>
              </w:rPr>
              <w:t>R</w:t>
            </w:r>
            <w:r w:rsidRPr="000B0CA8">
              <w:rPr>
                <w:rFonts w:ascii="Times New Roman" w:hAnsi="Times New Roman" w:cs="Times New Roman"/>
                <w:sz w:val="16"/>
                <w:szCs w:val="16"/>
              </w:rPr>
              <w:t>efSeq</w:t>
            </w:r>
            <w:proofErr w:type="spellEnd"/>
          </w:p>
        </w:tc>
        <w:tc>
          <w:tcPr>
            <w:tcW w:w="5387" w:type="dxa"/>
            <w:tcBorders>
              <w:top w:val="single" w:sz="4" w:space="0" w:color="auto"/>
              <w:left w:val="nil"/>
              <w:bottom w:val="nil"/>
            </w:tcBorders>
          </w:tcPr>
          <w:p w14:paraId="423FC358" w14:textId="4CD12EC3"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16" w:history="1">
              <w:r w:rsidRPr="000B0CA8">
                <w:rPr>
                  <w:rStyle w:val="ab"/>
                  <w:rFonts w:ascii="Times New Roman" w:hAnsi="Times New Roman" w:cs="Times New Roman"/>
                  <w:sz w:val="16"/>
                  <w:szCs w:val="16"/>
                </w:rPr>
                <w:t>https://github.com/lgmgeo/AnnotSV/blob/master/bin/INSTALL_annotations.sh</w:t>
              </w:r>
            </w:hyperlink>
          </w:p>
        </w:tc>
      </w:tr>
      <w:tr w:rsidR="00F32A39" w:rsidRPr="000B0CA8" w14:paraId="1FD50165" w14:textId="77777777" w:rsidTr="00D555AA">
        <w:trPr>
          <w:trHeight w:val="42"/>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nil"/>
              <w:bottom w:val="single" w:sz="4" w:space="0" w:color="auto"/>
              <w:right w:val="nil"/>
            </w:tcBorders>
            <w:vAlign w:val="center"/>
          </w:tcPr>
          <w:p w14:paraId="64E737E7" w14:textId="77777777" w:rsidR="00F32A39" w:rsidRPr="000B0CA8" w:rsidRDefault="00F32A39" w:rsidP="00D555AA">
            <w:pPr>
              <w:spacing w:line="240" w:lineRule="exact"/>
              <w:jc w:val="center"/>
              <w:rPr>
                <w:rFonts w:ascii="Times New Roman" w:hAnsi="Times New Roman" w:cs="Times New Roman"/>
                <w:b w:val="0"/>
                <w:bCs w:val="0"/>
                <w:sz w:val="16"/>
                <w:szCs w:val="16"/>
              </w:rPr>
            </w:pPr>
          </w:p>
        </w:tc>
        <w:tc>
          <w:tcPr>
            <w:tcW w:w="992" w:type="dxa"/>
            <w:tcBorders>
              <w:top w:val="nil"/>
              <w:left w:val="nil"/>
              <w:bottom w:val="single" w:sz="4" w:space="0" w:color="auto"/>
              <w:right w:val="nil"/>
            </w:tcBorders>
            <w:vAlign w:val="center"/>
          </w:tcPr>
          <w:p w14:paraId="15589347" w14:textId="169F6A9F"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63,834</w:t>
            </w:r>
          </w:p>
        </w:tc>
        <w:tc>
          <w:tcPr>
            <w:tcW w:w="1134" w:type="dxa"/>
            <w:tcBorders>
              <w:top w:val="nil"/>
              <w:left w:val="nil"/>
              <w:bottom w:val="single" w:sz="4" w:space="0" w:color="auto"/>
              <w:right w:val="nil"/>
            </w:tcBorders>
            <w:vAlign w:val="center"/>
          </w:tcPr>
          <w:p w14:paraId="0216D606" w14:textId="08F2769D"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E</w:t>
            </w:r>
            <w:r w:rsidRPr="000B0CA8">
              <w:rPr>
                <w:rFonts w:ascii="Times New Roman" w:hAnsi="Times New Roman" w:cs="Times New Roman"/>
                <w:sz w:val="16"/>
                <w:szCs w:val="16"/>
              </w:rPr>
              <w:t>NSEMBL</w:t>
            </w:r>
          </w:p>
        </w:tc>
        <w:tc>
          <w:tcPr>
            <w:tcW w:w="5387" w:type="dxa"/>
            <w:tcBorders>
              <w:top w:val="nil"/>
              <w:left w:val="nil"/>
              <w:bottom w:val="single" w:sz="4" w:space="0" w:color="auto"/>
            </w:tcBorders>
          </w:tcPr>
          <w:p w14:paraId="411D65BE" w14:textId="647CE72A"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17" w:history="1">
              <w:r w:rsidRPr="000B0CA8">
                <w:rPr>
                  <w:rStyle w:val="ab"/>
                  <w:rFonts w:ascii="Times New Roman" w:hAnsi="Times New Roman" w:cs="Times New Roman"/>
                  <w:sz w:val="16"/>
                  <w:szCs w:val="16"/>
                </w:rPr>
                <w:t>https://github.com/lgmgeo/AnnotSV/blob/master/bin/INSTALL_annotations.sh</w:t>
              </w:r>
            </w:hyperlink>
          </w:p>
        </w:tc>
      </w:tr>
      <w:tr w:rsidR="00F32A39" w:rsidRPr="000B0CA8" w14:paraId="4A0B228E" w14:textId="77777777" w:rsidTr="00D555AA">
        <w:trPr>
          <w:trHeight w:val="4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il"/>
              <w:bottom w:val="single" w:sz="4" w:space="0" w:color="auto"/>
              <w:right w:val="nil"/>
            </w:tcBorders>
            <w:vAlign w:val="center"/>
          </w:tcPr>
          <w:p w14:paraId="69D3BF3F" w14:textId="0F842A1F" w:rsidR="00F32A39" w:rsidRPr="000B0CA8" w:rsidRDefault="00F32A39"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miRTargetLink</w:t>
            </w:r>
            <w:r w:rsidR="00AE3273" w:rsidRPr="000B0CA8">
              <w:rPr>
                <w:rFonts w:ascii="Times New Roman" w:hAnsi="Times New Roman" w:cs="Times New Roman"/>
                <w:sz w:val="16"/>
                <w:szCs w:val="16"/>
              </w:rPr>
              <w:fldChar w:fldCharType="begin"/>
            </w:r>
            <w:r w:rsidR="00AE3273" w:rsidRPr="000B0CA8">
              <w:rPr>
                <w:rFonts w:ascii="Times New Roman" w:hAnsi="Times New Roman" w:cs="Times New Roman"/>
                <w:sz w:val="16"/>
                <w:szCs w:val="16"/>
              </w:rPr>
              <w:instrText xml:space="preserve"> ADDIN ZOTERO_ITEM CSL_CITATION {"citationID":"9C0iDUSY","properties":{"formattedCitation":"\\super 26\\nosupersub{}","plainCitation":"26","noteIndex":0},"citationItems":[{"id":324,"uris":["http://zotero.org/users/local/isDXystY/items/XZJK7R63"],"itemData":{"id":324,"type":"article-journal","abstract":"Which genes, gene sets or pathways are regulated by certain miRNAs? Which miRNAs regulate a particular target gene or target pathway in a certain physiological context? Answering such common research questions can be time consuming and labor intensive. Especially for researchers without computational experience, the integration of different data sources, selection of the right parameters and concise visualization can be demanding. A comprehensive analysis should be central to present adequate answers to complex biological questions. With miRTargetLink 2.0, we develop an all-in-one solution for human, mouse and rat miRNA networks. Users input in the unidirectional search mode either a single gene, gene set or gene pathway, alternatively a single miRNA, a set of miRNAs or an miRNA pathway. Moreover, genes and miRNAs can jointly be provided to the tool in the bidirectional search mode. For the selected entities, interaction graphs are generated from different data sources and dynamically presented. Connected application programming interfaces (APIs) to the tailored enrichment tools miEAA and GeneTrail facilitate downstream analysis of pathways and context-annotated categories of network nodes. MiRTargetLink 2.0 is freely accessible at https://www.ccb.uni-saarland.de/mirtargetlink2.","container-title":"Nucleic Acids Research","DOI":"10.1093/nar/gkab297","ISSN":"1362-4962","issue":"W1","journalAbbreviation":"Nucleic Acids Res","language":"eng","note":"PMID: 34009375\nPMCID: PMC8262750","page":"W409-W416","source":"PubMed","title":"miRTargetLink 2.0-interactive miRNA target gene and target pathway networks","volume":"49","author":[{"family":"Kern","given":"Fabian"},{"family":"Aparicio-Puerta","given":"Ernesto"},{"family":"Li","given":"Yongping"},{"family":"Fehlmann","given":"Tobias"},{"family":"Kehl","given":"Tim"},{"family":"Wagner","given":"Viktoria"},{"family":"Ray","given":"Kamalika"},{"family":"Ludwig","given":"Nicole"},{"family":"Lenhof","given":"Hans-Peter"},{"family":"Meese","given":"Eckart"},{"family":"Keller","given":"Andreas"}],"issued":{"date-parts":[["2021",7,2]]}}}],"schema":"https://github.com/citation-style-language/schema/raw/master/csl-citation.json"} </w:instrText>
            </w:r>
            <w:r w:rsidR="00AE3273" w:rsidRPr="000B0CA8">
              <w:rPr>
                <w:rFonts w:ascii="Times New Roman" w:hAnsi="Times New Roman" w:cs="Times New Roman"/>
                <w:sz w:val="16"/>
                <w:szCs w:val="16"/>
              </w:rPr>
              <w:fldChar w:fldCharType="separate"/>
            </w:r>
            <w:r w:rsidR="00AE3273" w:rsidRPr="000B0CA8">
              <w:rPr>
                <w:rFonts w:ascii="Times New Roman" w:hAnsi="Times New Roman" w:cs="Times New Roman"/>
                <w:sz w:val="16"/>
                <w:szCs w:val="28"/>
                <w:vertAlign w:val="superscript"/>
              </w:rPr>
              <w:t>26</w:t>
            </w:r>
            <w:r w:rsidR="00AE3273" w:rsidRPr="000B0CA8">
              <w:rPr>
                <w:rFonts w:ascii="Times New Roman" w:hAnsi="Times New Roman" w:cs="Times New Roman"/>
                <w:sz w:val="16"/>
                <w:szCs w:val="16"/>
              </w:rPr>
              <w:fldChar w:fldCharType="end"/>
            </w:r>
          </w:p>
        </w:tc>
        <w:tc>
          <w:tcPr>
            <w:tcW w:w="992" w:type="dxa"/>
            <w:tcBorders>
              <w:top w:val="single" w:sz="4" w:space="0" w:color="auto"/>
              <w:left w:val="nil"/>
              <w:bottom w:val="nil"/>
              <w:right w:val="nil"/>
            </w:tcBorders>
            <w:vAlign w:val="center"/>
          </w:tcPr>
          <w:p w14:paraId="7B5CCC25" w14:textId="18DD09E9"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,756</w:t>
            </w:r>
          </w:p>
        </w:tc>
        <w:tc>
          <w:tcPr>
            <w:tcW w:w="1134" w:type="dxa"/>
            <w:tcBorders>
              <w:top w:val="single" w:sz="4" w:space="0" w:color="auto"/>
              <w:left w:val="nil"/>
              <w:bottom w:val="nil"/>
              <w:right w:val="nil"/>
            </w:tcBorders>
            <w:vAlign w:val="center"/>
          </w:tcPr>
          <w:p w14:paraId="321095BD" w14:textId="0E60279D"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0B0CA8">
              <w:rPr>
                <w:rFonts w:ascii="Times New Roman" w:hAnsi="Times New Roman" w:cs="Times New Roman" w:hint="eastAsia"/>
                <w:sz w:val="16"/>
                <w:szCs w:val="16"/>
              </w:rPr>
              <w:t>R</w:t>
            </w:r>
            <w:r w:rsidRPr="000B0CA8">
              <w:rPr>
                <w:rFonts w:ascii="Times New Roman" w:hAnsi="Times New Roman" w:cs="Times New Roman"/>
                <w:sz w:val="16"/>
                <w:szCs w:val="16"/>
              </w:rPr>
              <w:t>efSeq</w:t>
            </w:r>
            <w:proofErr w:type="spellEnd"/>
          </w:p>
        </w:tc>
        <w:tc>
          <w:tcPr>
            <w:tcW w:w="5387" w:type="dxa"/>
            <w:vMerge w:val="restart"/>
            <w:tcBorders>
              <w:top w:val="single" w:sz="4" w:space="0" w:color="auto"/>
              <w:left w:val="nil"/>
            </w:tcBorders>
            <w:vAlign w:val="center"/>
          </w:tcPr>
          <w:p w14:paraId="414D3586" w14:textId="2090A180"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18" w:history="1">
              <w:r w:rsidRPr="000B0CA8">
                <w:rPr>
                  <w:rStyle w:val="ab"/>
                  <w:rFonts w:ascii="Times New Roman" w:hAnsi="Times New Roman" w:cs="Times New Roman"/>
                  <w:sz w:val="16"/>
                  <w:szCs w:val="16"/>
                </w:rPr>
                <w:t>https://github.com/lgmgeo/AnnotSV/blob/master/bin/INSTALL_annotations.sh</w:t>
              </w:r>
            </w:hyperlink>
          </w:p>
        </w:tc>
      </w:tr>
      <w:tr w:rsidR="00F32A39" w:rsidRPr="000B0CA8" w14:paraId="44E76852" w14:textId="77777777" w:rsidTr="00D555AA">
        <w:trPr>
          <w:trHeight w:val="42"/>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nil"/>
              <w:bottom w:val="single" w:sz="4" w:space="0" w:color="auto"/>
              <w:right w:val="nil"/>
            </w:tcBorders>
            <w:vAlign w:val="center"/>
          </w:tcPr>
          <w:p w14:paraId="2839895D" w14:textId="77777777" w:rsidR="00F32A39" w:rsidRPr="000B0CA8" w:rsidRDefault="00F32A39" w:rsidP="00D555AA">
            <w:pPr>
              <w:spacing w:line="240" w:lineRule="exact"/>
              <w:jc w:val="center"/>
              <w:rPr>
                <w:rFonts w:ascii="Times New Roman" w:hAnsi="Times New Roman" w:cs="Times New Roman"/>
                <w:b w:val="0"/>
                <w:bCs w:val="0"/>
                <w:sz w:val="16"/>
                <w:szCs w:val="16"/>
              </w:rPr>
            </w:pPr>
          </w:p>
        </w:tc>
        <w:tc>
          <w:tcPr>
            <w:tcW w:w="992" w:type="dxa"/>
            <w:tcBorders>
              <w:top w:val="nil"/>
              <w:left w:val="nil"/>
              <w:bottom w:val="single" w:sz="4" w:space="0" w:color="auto"/>
              <w:right w:val="nil"/>
            </w:tcBorders>
            <w:vAlign w:val="center"/>
          </w:tcPr>
          <w:p w14:paraId="42577E37" w14:textId="7322CB45"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2</w:t>
            </w:r>
            <w:r w:rsidRPr="000B0CA8">
              <w:rPr>
                <w:rFonts w:ascii="Times New Roman" w:hAnsi="Times New Roman" w:cs="Times New Roman"/>
                <w:sz w:val="16"/>
                <w:szCs w:val="16"/>
              </w:rPr>
              <w:t>,756</w:t>
            </w:r>
          </w:p>
        </w:tc>
        <w:tc>
          <w:tcPr>
            <w:tcW w:w="1134" w:type="dxa"/>
            <w:tcBorders>
              <w:top w:val="nil"/>
              <w:left w:val="nil"/>
              <w:bottom w:val="single" w:sz="4" w:space="0" w:color="auto"/>
              <w:right w:val="nil"/>
            </w:tcBorders>
            <w:vAlign w:val="center"/>
          </w:tcPr>
          <w:p w14:paraId="3191DE1F" w14:textId="19DC6A3C"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E</w:t>
            </w:r>
            <w:r w:rsidRPr="000B0CA8">
              <w:rPr>
                <w:rFonts w:ascii="Times New Roman" w:hAnsi="Times New Roman" w:cs="Times New Roman"/>
                <w:sz w:val="16"/>
                <w:szCs w:val="16"/>
              </w:rPr>
              <w:t>NSEMBL</w:t>
            </w:r>
          </w:p>
        </w:tc>
        <w:tc>
          <w:tcPr>
            <w:tcW w:w="5387" w:type="dxa"/>
            <w:vMerge/>
            <w:tcBorders>
              <w:left w:val="nil"/>
              <w:bottom w:val="single" w:sz="4" w:space="0" w:color="auto"/>
            </w:tcBorders>
            <w:vAlign w:val="center"/>
          </w:tcPr>
          <w:p w14:paraId="44031272" w14:textId="77777777" w:rsidR="00F32A39"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F32A39" w:rsidRPr="000B0CA8" w14:paraId="39D07B94" w14:textId="77777777" w:rsidTr="00D555AA">
        <w:trPr>
          <w:trHeight w:val="29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auto"/>
              <w:right w:val="nil"/>
            </w:tcBorders>
            <w:vAlign w:val="center"/>
          </w:tcPr>
          <w:p w14:paraId="2D05CB18" w14:textId="368A3F58" w:rsidR="001811C8" w:rsidRPr="000B0CA8" w:rsidRDefault="001811C8"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sz w:val="16"/>
                <w:szCs w:val="16"/>
              </w:rPr>
              <w:t>SVAFotate</w:t>
            </w:r>
            <w:r w:rsidR="00AE3273" w:rsidRPr="000B0CA8">
              <w:rPr>
                <w:rFonts w:ascii="Times New Roman" w:hAnsi="Times New Roman" w:cs="Times New Roman"/>
                <w:sz w:val="16"/>
                <w:szCs w:val="16"/>
              </w:rPr>
              <w:fldChar w:fldCharType="begin"/>
            </w:r>
            <w:r w:rsidR="00AE3273" w:rsidRPr="000B0CA8">
              <w:rPr>
                <w:rFonts w:ascii="Times New Roman" w:hAnsi="Times New Roman" w:cs="Times New Roman"/>
                <w:sz w:val="16"/>
                <w:szCs w:val="16"/>
              </w:rPr>
              <w:instrText xml:space="preserve"> ADDIN ZOTERO_ITEM CSL_CITATION {"citationID":"BPufvybF","properties":{"formattedCitation":"\\super 27\\nosupersub{}","plainCitation":"27","noteIndex":0},"citationItems":[{"id":280,"uris":["http://zotero.org/users/local/isDXystY/items/8M368QJE"],"itemData":{"id":280,"type":"article-journal","abstract":"BACKGROUND: Identification of deleterious genetic variants using DNA sequencing data relies on increasingly detailed filtering strategies to isolate the small subset of variants that are more likely to underlie a disease phenotype. Datasets reflecting population allele frequencies of different types of variants serve as powerful filtering tools, especially in the context of rare disease analysis. While such population-scale allele frequency datasets now exist for structural variants (SVs), it remains a challenge to match SV calls between multiple datasets, thereby complicating estimates of a putative SV's population allele frequency.\nRESULTS: We introduce SVAFotate, a software tool that enables the annotation of SVs with variant allele frequency and related information from existing SV datasets. As a result, VCF files annotated by SVAFotate offer a variety of metrics to aid in the stratification of SVs as common or rare in the broader human population.\nCONCLUSIONS: Here we demonstrate the use of SVAFotate in the classification of SVs with regards to their population frequency and illustrate how SVAFotate's annotations can be used to filter and prioritize SVs. Lastly, we detail how best to utilize these SV annotations in the analysis of genetic variation in studies of rare disease.","container-title":"BMC bioinformatics","DOI":"10.1186/s12859-022-05008-y","ISSN":"1471-2105","issue":"1","journalAbbreviation":"BMC Bioinformatics","language":"eng","note":"PMID: 36384437\nPMCID: PMC9670370","page":"490","source":"PubMed","title":"Annotation of structural variants with reported allele frequencies and related metrics from multiple datasets using SVAFotate","volume":"23","author":[{"family":"Nicholas","given":"Thomas J."},{"family":"Cormier","given":"Michael J."},{"family":"Quinlan","given":"Aaron R."}],"issued":{"date-parts":[["2022",11,16]]}}}],"schema":"https://github.com/citation-style-language/schema/raw/master/csl-citation.json"} </w:instrText>
            </w:r>
            <w:r w:rsidR="00AE3273" w:rsidRPr="000B0CA8">
              <w:rPr>
                <w:rFonts w:ascii="Times New Roman" w:hAnsi="Times New Roman" w:cs="Times New Roman"/>
                <w:sz w:val="16"/>
                <w:szCs w:val="16"/>
              </w:rPr>
              <w:fldChar w:fldCharType="separate"/>
            </w:r>
            <w:r w:rsidR="00AE3273" w:rsidRPr="000B0CA8">
              <w:rPr>
                <w:rFonts w:ascii="Times New Roman" w:hAnsi="Times New Roman" w:cs="Times New Roman"/>
                <w:sz w:val="16"/>
                <w:szCs w:val="28"/>
                <w:vertAlign w:val="superscript"/>
              </w:rPr>
              <w:t>27</w:t>
            </w:r>
            <w:r w:rsidR="00AE3273" w:rsidRPr="000B0CA8">
              <w:rPr>
                <w:rFonts w:ascii="Times New Roman" w:hAnsi="Times New Roman" w:cs="Times New Roman"/>
                <w:sz w:val="16"/>
                <w:szCs w:val="16"/>
              </w:rPr>
              <w:fldChar w:fldCharType="end"/>
            </w:r>
          </w:p>
        </w:tc>
        <w:tc>
          <w:tcPr>
            <w:tcW w:w="992" w:type="dxa"/>
            <w:tcBorders>
              <w:top w:val="single" w:sz="4" w:space="0" w:color="auto"/>
              <w:left w:val="nil"/>
              <w:right w:val="nil"/>
            </w:tcBorders>
            <w:vAlign w:val="center"/>
          </w:tcPr>
          <w:p w14:paraId="524D1409" w14:textId="5AAC34C5" w:rsidR="001811C8"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1</w:t>
            </w:r>
            <w:r w:rsidR="00F937F2">
              <w:rPr>
                <w:rFonts w:ascii="Times New Roman" w:hAnsi="Times New Roman" w:cs="Times New Roman" w:hint="eastAsia"/>
                <w:sz w:val="16"/>
                <w:szCs w:val="16"/>
              </w:rPr>
              <w:t>,</w:t>
            </w:r>
            <w:r w:rsidRPr="000B0CA8">
              <w:rPr>
                <w:rFonts w:ascii="Times New Roman" w:hAnsi="Times New Roman" w:cs="Times New Roman"/>
                <w:sz w:val="16"/>
                <w:szCs w:val="16"/>
              </w:rPr>
              <w:t>310</w:t>
            </w:r>
            <w:r w:rsidR="006213D5">
              <w:rPr>
                <w:rFonts w:ascii="Times New Roman" w:hAnsi="Times New Roman" w:cs="Times New Roman"/>
                <w:sz w:val="16"/>
                <w:szCs w:val="16"/>
              </w:rPr>
              <w:t>,</w:t>
            </w:r>
            <w:r w:rsidRPr="000B0CA8">
              <w:rPr>
                <w:rFonts w:ascii="Times New Roman" w:hAnsi="Times New Roman" w:cs="Times New Roman"/>
                <w:sz w:val="16"/>
                <w:szCs w:val="16"/>
              </w:rPr>
              <w:t>802</w:t>
            </w:r>
          </w:p>
        </w:tc>
        <w:tc>
          <w:tcPr>
            <w:tcW w:w="1134" w:type="dxa"/>
            <w:tcBorders>
              <w:top w:val="single" w:sz="4" w:space="0" w:color="auto"/>
              <w:left w:val="nil"/>
              <w:right w:val="nil"/>
            </w:tcBorders>
            <w:vAlign w:val="center"/>
          </w:tcPr>
          <w:p w14:paraId="72067F93" w14:textId="7A9F821D" w:rsidR="001811C8"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w:t>
            </w:r>
          </w:p>
        </w:tc>
        <w:tc>
          <w:tcPr>
            <w:tcW w:w="5387" w:type="dxa"/>
            <w:tcBorders>
              <w:top w:val="single" w:sz="4" w:space="0" w:color="auto"/>
              <w:left w:val="nil"/>
            </w:tcBorders>
            <w:vAlign w:val="center"/>
          </w:tcPr>
          <w:p w14:paraId="7E59103A" w14:textId="6B78BCEE" w:rsidR="001811C8"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19" w:history="1">
              <w:r w:rsidRPr="000B0CA8">
                <w:rPr>
                  <w:rStyle w:val="ab"/>
                  <w:rFonts w:ascii="Times New Roman" w:hAnsi="Times New Roman" w:cs="Times New Roman"/>
                  <w:sz w:val="16"/>
                  <w:szCs w:val="16"/>
                </w:rPr>
                <w:t>https://github.com/fakedrtom/SVAFotate/blob/master/supporting_data/SVAFotate_core_SV_popAFs.GRCh38.bed.gz</w:t>
              </w:r>
            </w:hyperlink>
            <w:r w:rsidRPr="000B0CA8">
              <w:rPr>
                <w:rFonts w:ascii="Times New Roman" w:hAnsi="Times New Roman" w:cs="Times New Roman"/>
                <w:sz w:val="16"/>
                <w:szCs w:val="16"/>
              </w:rPr>
              <w:t xml:space="preserve"> </w:t>
            </w:r>
          </w:p>
        </w:tc>
      </w:tr>
      <w:tr w:rsidR="00F32A39" w:rsidRPr="000B0CA8" w14:paraId="0AFC1404" w14:textId="77777777" w:rsidTr="00D555AA">
        <w:trPr>
          <w:trHeight w:val="29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auto"/>
              <w:right w:val="nil"/>
            </w:tcBorders>
            <w:vAlign w:val="center"/>
          </w:tcPr>
          <w:p w14:paraId="46C83409" w14:textId="45E267E2" w:rsidR="001811C8" w:rsidRPr="000B0CA8" w:rsidRDefault="001811C8" w:rsidP="00D555AA">
            <w:pPr>
              <w:spacing w:line="240" w:lineRule="exact"/>
              <w:jc w:val="center"/>
              <w:rPr>
                <w:rFonts w:ascii="Times New Roman" w:hAnsi="Times New Roman" w:cs="Times New Roman"/>
                <w:b w:val="0"/>
                <w:bCs w:val="0"/>
                <w:sz w:val="16"/>
                <w:szCs w:val="16"/>
              </w:rPr>
            </w:pPr>
            <w:r w:rsidRPr="000B0CA8">
              <w:rPr>
                <w:rFonts w:ascii="Times New Roman" w:hAnsi="Times New Roman" w:cs="Times New Roman" w:hint="eastAsia"/>
                <w:sz w:val="16"/>
                <w:szCs w:val="16"/>
              </w:rPr>
              <w:t>T</w:t>
            </w:r>
            <w:r w:rsidRPr="000B0CA8">
              <w:rPr>
                <w:rFonts w:ascii="Times New Roman" w:hAnsi="Times New Roman" w:cs="Times New Roman"/>
                <w:sz w:val="16"/>
                <w:szCs w:val="16"/>
              </w:rPr>
              <w:t>AD</w:t>
            </w:r>
            <w:r w:rsidR="00AE3273" w:rsidRPr="000B0CA8">
              <w:rPr>
                <w:rFonts w:ascii="Times New Roman" w:hAnsi="Times New Roman" w:cs="Times New Roman"/>
                <w:sz w:val="16"/>
                <w:szCs w:val="16"/>
              </w:rPr>
              <w:fldChar w:fldCharType="begin"/>
            </w:r>
            <w:r w:rsidR="00AE3273" w:rsidRPr="000B0CA8">
              <w:rPr>
                <w:rFonts w:ascii="Times New Roman" w:hAnsi="Times New Roman" w:cs="Times New Roman"/>
                <w:sz w:val="16"/>
                <w:szCs w:val="16"/>
              </w:rPr>
              <w:instrText xml:space="preserve"> ADDIN ZOTERO_ITEM CSL_CITATION {"citationID":"w8dMag4E","properties":{"formattedCitation":"\\super 24\\nosupersub{}","plainCitation":"24","noteIndex":0},"citationItems":[{"id":278,"uris":["http://zotero.org/users/local/isDXystY/items/FNZM89VG"],"itemData":{"id":278,"type":"article-journal","abstract":"SUMMARY: Structural Variations (SV) are a major source of variability in the human genome that shaped its actual structure during evolution. Moreover, many human diseases are caused by SV, highlighting the need to accurately detect those genomic events but also to annotate them and assist their biological interpretation. Therefore, we developed AnnotSV that compiles functionally, regulatory and clinically relevant information and aims at providing annotations useful to (i) interpret SV potential pathogenicity and (ii) filter out SV potential false positive. In particular, AnnotSV reports heterozygous and homozygous counts of single nucleotide variations (SNVs) and small insertions/deletions called within each SV for the analyzed patients, this genomic information being extremely useful to support or question the existence of an SV. We also report the computed allelic frequency relative to overlapping variants from DGV (MacDonald et al., 2014), that is especially powerful to filter out common SV. To delineate the strength of AnnotSV, we annotated the 4751 SV from one sample of the 1000 Genomes Project, integrating the sample information of four million of SNV/indel, in less than 60 s.\nAVAILABILITY AND IMPLEMENTATION: AnnotSV is implemented in Tcl and runs in command line on all platforms. The source code is available under the GNU GPL license. Source code, README and Supplementary data are available at http://lbgi.fr/AnnotSV/.\nSUPPLEMENTARY INFORMATION: Supplementary data are available at Bioinformatics online.","container-title":"Bioinformatics (Oxford, England)","DOI":"10.1093/bioinformatics/bty304","ISSN":"1367-4811","issue":"20","journalAbbreviation":"Bioinformatics","language":"eng","note":"PMID: 29669011","page":"3572-3574","source":"PubMed","title":"AnnotSV: an integrated tool for structural variations annotation","title-short":"AnnotSV","volume":"34","author":[{"family":"Geoffroy","given":"Véronique"},{"family":"Herenger","given":"Yvan"},{"family":"Kress","given":"Arnaud"},{"family":"Stoetzel","given":"Corinne"},{"family":"Piton","given":"Amélie"},{"family":"Dollfus","given":"Hélène"},{"family":"Muller","given":"Jean"}],"issued":{"date-parts":[["2018",10,15]]}}}],"schema":"https://github.com/citation-style-language/schema/raw/master/csl-citation.json"} </w:instrText>
            </w:r>
            <w:r w:rsidR="00AE3273" w:rsidRPr="000B0CA8">
              <w:rPr>
                <w:rFonts w:ascii="Times New Roman" w:hAnsi="Times New Roman" w:cs="Times New Roman"/>
                <w:sz w:val="16"/>
                <w:szCs w:val="16"/>
              </w:rPr>
              <w:fldChar w:fldCharType="separate"/>
            </w:r>
            <w:r w:rsidR="00AE3273" w:rsidRPr="000B0CA8">
              <w:rPr>
                <w:rFonts w:ascii="Times New Roman" w:hAnsi="Times New Roman" w:cs="Times New Roman"/>
                <w:sz w:val="16"/>
                <w:szCs w:val="28"/>
                <w:vertAlign w:val="superscript"/>
              </w:rPr>
              <w:t>24</w:t>
            </w:r>
            <w:r w:rsidR="00AE3273" w:rsidRPr="000B0CA8">
              <w:rPr>
                <w:rFonts w:ascii="Times New Roman" w:hAnsi="Times New Roman" w:cs="Times New Roman"/>
                <w:sz w:val="16"/>
                <w:szCs w:val="16"/>
              </w:rPr>
              <w:fldChar w:fldCharType="end"/>
            </w:r>
          </w:p>
        </w:tc>
        <w:tc>
          <w:tcPr>
            <w:tcW w:w="992" w:type="dxa"/>
            <w:tcBorders>
              <w:top w:val="single" w:sz="4" w:space="0" w:color="auto"/>
              <w:left w:val="nil"/>
              <w:right w:val="nil"/>
            </w:tcBorders>
            <w:vAlign w:val="center"/>
          </w:tcPr>
          <w:p w14:paraId="098118E9" w14:textId="488C5125" w:rsidR="001811C8"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1</w:t>
            </w:r>
            <w:r w:rsidRPr="000B0CA8">
              <w:rPr>
                <w:rFonts w:ascii="Times New Roman" w:hAnsi="Times New Roman" w:cs="Times New Roman"/>
                <w:sz w:val="16"/>
                <w:szCs w:val="16"/>
              </w:rPr>
              <w:t>7,918</w:t>
            </w:r>
          </w:p>
        </w:tc>
        <w:tc>
          <w:tcPr>
            <w:tcW w:w="1134" w:type="dxa"/>
            <w:tcBorders>
              <w:top w:val="single" w:sz="4" w:space="0" w:color="auto"/>
              <w:left w:val="nil"/>
              <w:right w:val="nil"/>
            </w:tcBorders>
            <w:vAlign w:val="center"/>
          </w:tcPr>
          <w:p w14:paraId="38A55BBE" w14:textId="4A11E6F6" w:rsidR="001811C8" w:rsidRPr="000B0CA8" w:rsidRDefault="001811C8"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B0CA8">
              <w:rPr>
                <w:rFonts w:ascii="Times New Roman" w:hAnsi="Times New Roman" w:cs="Times New Roman" w:hint="eastAsia"/>
                <w:sz w:val="16"/>
                <w:szCs w:val="16"/>
              </w:rPr>
              <w:t>.</w:t>
            </w:r>
          </w:p>
        </w:tc>
        <w:tc>
          <w:tcPr>
            <w:tcW w:w="5387" w:type="dxa"/>
            <w:tcBorders>
              <w:top w:val="single" w:sz="4" w:space="0" w:color="auto"/>
              <w:left w:val="nil"/>
              <w:right w:val="nil"/>
            </w:tcBorders>
            <w:vAlign w:val="center"/>
          </w:tcPr>
          <w:p w14:paraId="3ABD4B3C" w14:textId="0650D2D8" w:rsidR="001811C8" w:rsidRPr="000B0CA8" w:rsidRDefault="00F32A39"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hyperlink r:id="rId20" w:history="1">
              <w:r w:rsidRPr="000B0CA8">
                <w:rPr>
                  <w:rStyle w:val="ab"/>
                  <w:rFonts w:ascii="Times New Roman" w:hAnsi="Times New Roman" w:cs="Times New Roman"/>
                  <w:sz w:val="16"/>
                  <w:szCs w:val="16"/>
                </w:rPr>
                <w:t>https://github.com/lgmgeo/AnnotSV/blob/master/bin/INSTALL_annotations.sh</w:t>
              </w:r>
            </w:hyperlink>
            <w:r w:rsidRPr="000B0CA8">
              <w:rPr>
                <w:rFonts w:ascii="Times New Roman" w:hAnsi="Times New Roman" w:cs="Times New Roman"/>
                <w:sz w:val="16"/>
                <w:szCs w:val="16"/>
              </w:rPr>
              <w:t xml:space="preserve"> </w:t>
            </w:r>
          </w:p>
        </w:tc>
      </w:tr>
    </w:tbl>
    <w:p w14:paraId="38B279A0" w14:textId="27063E8C" w:rsidR="00C86F0B" w:rsidRDefault="00D106D5" w:rsidP="00E14287">
      <w:pPr>
        <w:rPr>
          <w:sz w:val="20"/>
          <w:szCs w:val="28"/>
        </w:rPr>
      </w:pPr>
      <w:r w:rsidRPr="000B0CA8">
        <w:rPr>
          <w:sz w:val="20"/>
          <w:szCs w:val="28"/>
        </w:rPr>
        <w:t>Note that SDFA utilizes four of the aforementioned databases for annotation</w:t>
      </w:r>
      <w:r w:rsidR="005863FE">
        <w:rPr>
          <w:sz w:val="20"/>
          <w:szCs w:val="28"/>
        </w:rPr>
        <w:t>-</w:t>
      </w:r>
      <w:proofErr w:type="spellStart"/>
      <w:r w:rsidRPr="000B0CA8">
        <w:rPr>
          <w:sz w:val="20"/>
          <w:szCs w:val="28"/>
        </w:rPr>
        <w:t>RefGene</w:t>
      </w:r>
      <w:proofErr w:type="spellEnd"/>
      <w:r w:rsidRPr="000B0CA8">
        <w:rPr>
          <w:sz w:val="20"/>
          <w:szCs w:val="28"/>
        </w:rPr>
        <w:t xml:space="preserve">, </w:t>
      </w:r>
      <w:proofErr w:type="spellStart"/>
      <w:r w:rsidRPr="000B0CA8">
        <w:rPr>
          <w:sz w:val="20"/>
          <w:szCs w:val="28"/>
        </w:rPr>
        <w:t>Genehancer</w:t>
      </w:r>
      <w:proofErr w:type="spellEnd"/>
      <w:r w:rsidRPr="000B0CA8">
        <w:rPr>
          <w:sz w:val="20"/>
          <w:szCs w:val="28"/>
        </w:rPr>
        <w:t xml:space="preserve">, </w:t>
      </w:r>
      <w:proofErr w:type="spellStart"/>
      <w:r w:rsidRPr="000B0CA8">
        <w:rPr>
          <w:sz w:val="20"/>
          <w:szCs w:val="28"/>
        </w:rPr>
        <w:t>SVAFotate</w:t>
      </w:r>
      <w:proofErr w:type="spellEnd"/>
      <w:r w:rsidRPr="000B0CA8">
        <w:rPr>
          <w:sz w:val="20"/>
          <w:szCs w:val="28"/>
        </w:rPr>
        <w:t>, and TAD</w:t>
      </w:r>
      <w:r w:rsidR="005863FE">
        <w:rPr>
          <w:sz w:val="20"/>
          <w:szCs w:val="28"/>
        </w:rPr>
        <w:t>-</w:t>
      </w:r>
      <w:r w:rsidRPr="000B0CA8">
        <w:rPr>
          <w:sz w:val="20"/>
          <w:szCs w:val="28"/>
        </w:rPr>
        <w:t xml:space="preserve">comprising a total of 2,746,541 records. This comprehensive integration enables SDFA to provide more thorough and accurate structural variant annotations compared to </w:t>
      </w:r>
      <w:proofErr w:type="spellStart"/>
      <w:r w:rsidRPr="000B0CA8">
        <w:rPr>
          <w:sz w:val="20"/>
          <w:szCs w:val="28"/>
        </w:rPr>
        <w:t>AnnotSV</w:t>
      </w:r>
      <w:proofErr w:type="spellEnd"/>
      <w:r w:rsidRPr="000B0CA8">
        <w:rPr>
          <w:sz w:val="20"/>
          <w:szCs w:val="28"/>
        </w:rPr>
        <w:t>.</w:t>
      </w:r>
    </w:p>
    <w:p w14:paraId="22BE2F37" w14:textId="78E3F67D" w:rsidR="006309D1" w:rsidRPr="000B0CA8" w:rsidRDefault="006309D1" w:rsidP="00E14287">
      <w:pPr>
        <w:rPr>
          <w:sz w:val="20"/>
          <w:szCs w:val="28"/>
        </w:rPr>
      </w:pPr>
      <w:r>
        <w:rPr>
          <w:rFonts w:hint="eastAsia"/>
          <w:sz w:val="20"/>
          <w:szCs w:val="28"/>
        </w:rPr>
        <w:t>L</w:t>
      </w:r>
      <w:r>
        <w:rPr>
          <w:sz w:val="20"/>
          <w:szCs w:val="28"/>
        </w:rPr>
        <w:t xml:space="preserve">icense: </w:t>
      </w:r>
      <w:r w:rsidR="00953335">
        <w:rPr>
          <w:sz w:val="20"/>
          <w:szCs w:val="28"/>
        </w:rPr>
        <w:t xml:space="preserve">The </w:t>
      </w:r>
      <w:proofErr w:type="spellStart"/>
      <w:r>
        <w:rPr>
          <w:sz w:val="20"/>
          <w:szCs w:val="28"/>
        </w:rPr>
        <w:t>GeneHancer</w:t>
      </w:r>
      <w:proofErr w:type="spellEnd"/>
      <w:r>
        <w:rPr>
          <w:sz w:val="20"/>
          <w:szCs w:val="28"/>
        </w:rPr>
        <w:t xml:space="preserve"> dataset was accessed through a </w:t>
      </w:r>
      <w:r w:rsidRPr="006309D1">
        <w:rPr>
          <w:sz w:val="20"/>
          <w:szCs w:val="28"/>
        </w:rPr>
        <w:t>collaboration</w:t>
      </w:r>
      <w:r>
        <w:rPr>
          <w:sz w:val="20"/>
          <w:szCs w:val="28"/>
        </w:rPr>
        <w:t xml:space="preserve"> with </w:t>
      </w:r>
      <w:r w:rsidRPr="006309D1">
        <w:rPr>
          <w:sz w:val="20"/>
          <w:szCs w:val="28"/>
        </w:rPr>
        <w:t>Ticket#983089</w:t>
      </w:r>
      <w:r>
        <w:rPr>
          <w:sz w:val="20"/>
          <w:szCs w:val="28"/>
        </w:rPr>
        <w:t>.</w:t>
      </w:r>
    </w:p>
    <w:p w14:paraId="41DA93E6" w14:textId="77777777" w:rsidR="00D106D5" w:rsidRPr="000B0CA8" w:rsidRDefault="00D106D5" w:rsidP="00E14287">
      <w:pPr>
        <w:rPr>
          <w:sz w:val="20"/>
          <w:szCs w:val="28"/>
        </w:rPr>
      </w:pPr>
    </w:p>
    <w:p w14:paraId="4E7EC48F" w14:textId="6FD7AC1D" w:rsidR="000416D9" w:rsidRPr="00D555AA" w:rsidRDefault="000416D9" w:rsidP="006213D5">
      <w:pPr>
        <w:pStyle w:val="3"/>
        <w:spacing w:after="312"/>
      </w:pPr>
      <w:r w:rsidRPr="00D555AA">
        <w:lastRenderedPageBreak/>
        <w:t xml:space="preserve">Supplementary Note </w:t>
      </w:r>
      <w:r w:rsidR="00596931">
        <w:t>6</w:t>
      </w:r>
      <w:r w:rsidRPr="00D555AA">
        <w:t xml:space="preserve">. </w:t>
      </w:r>
      <w:r w:rsidR="0020488B" w:rsidRPr="00D555AA">
        <w:t>The g</w:t>
      </w:r>
      <w:r w:rsidR="00AD1BC5" w:rsidRPr="00D555AA">
        <w:t>ene feature annotation for SVs in HGVS</w:t>
      </w:r>
      <w:r w:rsidR="00CC48A9" w:rsidRPr="00D555AA">
        <w:t xml:space="preserve"> and NAGF</w:t>
      </w:r>
    </w:p>
    <w:p w14:paraId="2D8697C9" w14:textId="45F5CF80" w:rsidR="00BF5A7A" w:rsidRPr="000B0CA8" w:rsidRDefault="00D106D5">
      <w:pPr>
        <w:rPr>
          <w:sz w:val="20"/>
          <w:szCs w:val="28"/>
        </w:rPr>
      </w:pPr>
      <w:r w:rsidRPr="000B0CA8">
        <w:rPr>
          <w:sz w:val="20"/>
          <w:szCs w:val="28"/>
        </w:rPr>
        <w:t>Here, we use the HG01106 subject as a case study to present various gene feature annotations for several structural variants (SVs), formatted in both HGVS</w:t>
      </w:r>
      <w:r w:rsidR="003D2015" w:rsidRPr="000B0CA8">
        <w:rPr>
          <w:sz w:val="20"/>
          <w:szCs w:val="28"/>
        </w:rPr>
        <w:fldChar w:fldCharType="begin"/>
      </w:r>
      <w:r w:rsidR="003D2015" w:rsidRPr="000B0CA8">
        <w:rPr>
          <w:sz w:val="20"/>
          <w:szCs w:val="28"/>
        </w:rPr>
        <w:instrText xml:space="preserve"> ADDIN ZOTERO_ITEM CSL_CITATION {"citationID":"rE47TYe5","properties":{"formattedCitation":"\\super 28\\nosupersub{}","plainCitation":"28","noteIndex":0},"citationItems":[{"id":281,"uris":["http://zotero.org/users/local/isDXystY/items/CRYVCGBU"],"itemData":{"id":281,"type":"article-journal","abstract":"A nomenclature system has recently been suggested for the description of changes (mutations and polymorphisms) in DNA and protein sequences. These nomenclature recommendations have now been largely accepted. However, current rules do not yet cover all types of mutations, nor do they cover more complex mutations. This document lists the existing recommendations and summarizes suggestions for the description of additional, more complex changes. Another version of this paper has been published in Hum Mut 15:7-12, 2000.","container-title":"Human Genetics","DOI":"10.1007/s004390100505","ISSN":"0340-6717","issue":"1","journalAbbreviation":"Hum Genet","language":"eng","note":"PMID: 11479744","page":"121-124","source":"PubMed","title":"Nomenclature for the description of human sequence variations","volume":"109","author":[{"family":"Dunnen","given":"J. T.","non-dropping-particle":"den"},{"family":"Antonarakis","given":"S. E."}],"issued":{"date-parts":[["2001",7]]}}}],"schema":"https://github.com/citation-style-language/schema/raw/master/csl-citation.json"} </w:instrText>
      </w:r>
      <w:r w:rsidR="003D2015" w:rsidRPr="000B0CA8">
        <w:rPr>
          <w:sz w:val="20"/>
          <w:szCs w:val="28"/>
        </w:rPr>
        <w:fldChar w:fldCharType="separate"/>
      </w:r>
      <w:r w:rsidR="003D2015" w:rsidRPr="000B0CA8">
        <w:rPr>
          <w:kern w:val="0"/>
          <w:sz w:val="20"/>
          <w:szCs w:val="28"/>
          <w:vertAlign w:val="superscript"/>
        </w:rPr>
        <w:t>28</w:t>
      </w:r>
      <w:r w:rsidR="003D2015" w:rsidRPr="000B0CA8">
        <w:rPr>
          <w:sz w:val="20"/>
          <w:szCs w:val="28"/>
        </w:rPr>
        <w:fldChar w:fldCharType="end"/>
      </w:r>
      <w:r w:rsidRPr="000B0CA8">
        <w:rPr>
          <w:sz w:val="20"/>
          <w:szCs w:val="28"/>
        </w:rPr>
        <w:t xml:space="preserve"> and N</w:t>
      </w:r>
      <w:r w:rsidR="00D719ED" w:rsidRPr="000B0CA8">
        <w:rPr>
          <w:sz w:val="20"/>
          <w:szCs w:val="28"/>
        </w:rPr>
        <w:t>A</w:t>
      </w:r>
      <w:r w:rsidRPr="000B0CA8">
        <w:rPr>
          <w:sz w:val="20"/>
          <w:szCs w:val="28"/>
        </w:rPr>
        <w:t>G</w:t>
      </w:r>
      <w:r w:rsidR="00D719ED" w:rsidRPr="000B0CA8">
        <w:rPr>
          <w:sz w:val="20"/>
          <w:szCs w:val="28"/>
        </w:rPr>
        <w:t>F</w:t>
      </w:r>
      <w:r w:rsidRPr="000B0CA8">
        <w:rPr>
          <w:sz w:val="20"/>
          <w:szCs w:val="28"/>
        </w:rPr>
        <w:t>.</w:t>
      </w:r>
    </w:p>
    <w:p w14:paraId="7D80BDD8" w14:textId="1DD2D9B7" w:rsidR="006F0496" w:rsidRPr="00953335" w:rsidRDefault="006F0496" w:rsidP="00953335">
      <w:pPr>
        <w:pStyle w:val="af4"/>
        <w:keepNext/>
        <w:jc w:val="center"/>
        <w:rPr>
          <w:b/>
          <w:bCs/>
          <w:color w:val="FF0000"/>
        </w:rPr>
      </w:pPr>
      <w:r w:rsidRPr="00953335">
        <w:rPr>
          <w:rFonts w:ascii="Arial" w:hAnsi="Arial" w:cs="Arial"/>
          <w:b/>
          <w:bCs/>
          <w:color w:val="FF0000"/>
        </w:rPr>
        <w:t xml:space="preserve">Table </w:t>
      </w:r>
      <w:r w:rsidRPr="00953335">
        <w:rPr>
          <w:rFonts w:ascii="Arial" w:hAnsi="Arial" w:cs="Arial"/>
          <w:b/>
          <w:bCs/>
          <w:color w:val="FF0000"/>
        </w:rPr>
        <w:fldChar w:fldCharType="begin"/>
      </w:r>
      <w:r w:rsidRPr="00953335">
        <w:rPr>
          <w:rFonts w:ascii="Arial" w:hAnsi="Arial" w:cs="Arial"/>
          <w:b/>
          <w:bCs/>
          <w:color w:val="FF0000"/>
        </w:rPr>
        <w:instrText xml:space="preserve"> SEQ Table \* ARABIC </w:instrText>
      </w:r>
      <w:r w:rsidRPr="00953335">
        <w:rPr>
          <w:rFonts w:ascii="Arial" w:hAnsi="Arial" w:cs="Arial"/>
          <w:b/>
          <w:bCs/>
          <w:color w:val="FF0000"/>
        </w:rPr>
        <w:fldChar w:fldCharType="separate"/>
      </w:r>
      <w:r w:rsidR="00F455C2" w:rsidRPr="00953335">
        <w:rPr>
          <w:rFonts w:ascii="Arial" w:hAnsi="Arial" w:cs="Arial"/>
          <w:b/>
          <w:bCs/>
          <w:noProof/>
          <w:color w:val="FF0000"/>
        </w:rPr>
        <w:t>7</w:t>
      </w:r>
      <w:r w:rsidRPr="00953335">
        <w:rPr>
          <w:rFonts w:ascii="Arial" w:hAnsi="Arial" w:cs="Arial"/>
          <w:b/>
          <w:bCs/>
          <w:color w:val="FF0000"/>
        </w:rPr>
        <w:fldChar w:fldCharType="end"/>
      </w:r>
      <w:r w:rsidRPr="00953335">
        <w:rPr>
          <w:rFonts w:ascii="Arial" w:hAnsi="Arial" w:cs="Arial"/>
          <w:b/>
          <w:bCs/>
          <w:color w:val="FF0000"/>
        </w:rPr>
        <w:t xml:space="preserve">. </w:t>
      </w:r>
      <w:r w:rsidR="0013638F" w:rsidRPr="00953335">
        <w:rPr>
          <w:rFonts w:ascii="Arial" w:hAnsi="Arial" w:cs="Arial"/>
          <w:b/>
          <w:bCs/>
          <w:color w:val="FF0000"/>
        </w:rPr>
        <w:t>Gene feature annotation examples (HGVS vs. NAGF)</w:t>
      </w:r>
    </w:p>
    <w:tbl>
      <w:tblPr>
        <w:tblStyle w:val="a9"/>
        <w:tblW w:w="5000" w:type="pct"/>
        <w:jc w:val="center"/>
        <w:tblInd w:w="0" w:type="dxa"/>
        <w:tblBorders>
          <w:top w:val="single" w:sz="4" w:space="0" w:color="auto"/>
          <w:left w:val="none" w:sz="0" w:space="0" w:color="auto"/>
          <w:bottom w:val="single" w:sz="4" w:space="0" w:color="auto"/>
          <w:right w:val="none" w:sz="0" w:space="0" w:color="auto"/>
        </w:tblBorders>
        <w:tblLayout w:type="fixed"/>
        <w:tblLook w:val="04A0" w:firstRow="1" w:lastRow="0" w:firstColumn="1" w:lastColumn="0" w:noHBand="0" w:noVBand="1"/>
      </w:tblPr>
      <w:tblGrid>
        <w:gridCol w:w="994"/>
        <w:gridCol w:w="1701"/>
        <w:gridCol w:w="3543"/>
        <w:gridCol w:w="2068"/>
      </w:tblGrid>
      <w:tr w:rsidR="00D555AA" w:rsidRPr="000B0CA8" w14:paraId="79A72F6D" w14:textId="411100CC" w:rsidTr="00A654E6">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598" w:type="pct"/>
            <w:tcBorders>
              <w:top w:val="single" w:sz="6" w:space="0" w:color="auto"/>
              <w:left w:val="nil"/>
              <w:bottom w:val="single" w:sz="6" w:space="0" w:color="auto"/>
              <w:right w:val="single" w:sz="4" w:space="0" w:color="000000"/>
            </w:tcBorders>
            <w:shd w:val="clear" w:color="auto" w:fill="auto"/>
            <w:vAlign w:val="center"/>
            <w:hideMark/>
          </w:tcPr>
          <w:p w14:paraId="6F155BD8" w14:textId="1AB4E791" w:rsidR="00E57A19" w:rsidRPr="000B0CA8" w:rsidRDefault="00E57A19" w:rsidP="00D555AA">
            <w:pPr>
              <w:spacing w:line="240" w:lineRule="exact"/>
              <w:jc w:val="center"/>
              <w:rPr>
                <w:rFonts w:ascii="Times New Roman" w:hAnsi="Times New Roman"/>
                <w:b w:val="0"/>
                <w:color w:val="000000"/>
                <w:sz w:val="16"/>
                <w:szCs w:val="16"/>
              </w:rPr>
            </w:pPr>
            <w:r w:rsidRPr="000B0CA8">
              <w:rPr>
                <w:rFonts w:ascii="Times New Roman" w:hAnsi="Times New Roman" w:cs="Times New Roman"/>
                <w:color w:val="000000" w:themeColor="text1"/>
                <w:sz w:val="16"/>
                <w:szCs w:val="16"/>
              </w:rPr>
              <w:t>SV_ID</w:t>
            </w:r>
          </w:p>
        </w:tc>
        <w:tc>
          <w:tcPr>
            <w:tcW w:w="1024" w:type="pct"/>
            <w:tcBorders>
              <w:top w:val="single" w:sz="6" w:space="0" w:color="auto"/>
              <w:left w:val="single" w:sz="4" w:space="0" w:color="000000"/>
              <w:bottom w:val="single" w:sz="6" w:space="0" w:color="auto"/>
              <w:right w:val="nil"/>
            </w:tcBorders>
            <w:shd w:val="clear" w:color="auto" w:fill="auto"/>
            <w:vAlign w:val="center"/>
            <w:hideMark/>
          </w:tcPr>
          <w:p w14:paraId="6B5703C7" w14:textId="77777777" w:rsidR="00E57A19" w:rsidRPr="000B0CA8" w:rsidRDefault="00E57A19"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hint="eastAsia"/>
                <w:color w:val="000000"/>
                <w:sz w:val="16"/>
                <w:szCs w:val="16"/>
              </w:rPr>
              <w:t>S</w:t>
            </w:r>
            <w:r w:rsidRPr="000B0CA8">
              <w:rPr>
                <w:rFonts w:ascii="Times New Roman" w:hAnsi="Times New Roman"/>
                <w:color w:val="000000"/>
                <w:sz w:val="16"/>
                <w:szCs w:val="16"/>
              </w:rPr>
              <w:t>V</w:t>
            </w:r>
          </w:p>
          <w:p w14:paraId="2171625C" w14:textId="517499E8" w:rsidR="00FB3314" w:rsidRPr="000B0CA8" w:rsidRDefault="00FB3314"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r w:rsidRPr="000B0CA8">
              <w:rPr>
                <w:rFonts w:ascii="Times New Roman" w:hAnsi="Times New Roman" w:hint="eastAsia"/>
                <w:color w:val="000000"/>
                <w:sz w:val="16"/>
                <w:szCs w:val="16"/>
              </w:rPr>
              <w:t>[</w:t>
            </w:r>
            <w:proofErr w:type="spellStart"/>
            <w:r w:rsidRPr="000B0CA8">
              <w:rPr>
                <w:rFonts w:ascii="Times New Roman" w:hAnsi="Times New Roman"/>
                <w:color w:val="000000"/>
                <w:sz w:val="16"/>
                <w:szCs w:val="16"/>
              </w:rPr>
              <w:t>Chr:Start-Len-End</w:t>
            </w:r>
            <w:proofErr w:type="spellEnd"/>
            <w:r w:rsidRPr="000B0CA8">
              <w:rPr>
                <w:rFonts w:ascii="Times New Roman" w:hAnsi="Times New Roman"/>
                <w:color w:val="000000"/>
                <w:sz w:val="16"/>
                <w:szCs w:val="16"/>
              </w:rPr>
              <w:t>]</w:t>
            </w:r>
          </w:p>
        </w:tc>
        <w:tc>
          <w:tcPr>
            <w:tcW w:w="2133" w:type="pct"/>
            <w:tcBorders>
              <w:top w:val="single" w:sz="6" w:space="0" w:color="auto"/>
              <w:left w:val="nil"/>
              <w:bottom w:val="single" w:sz="6" w:space="0" w:color="auto"/>
              <w:right w:val="nil"/>
            </w:tcBorders>
            <w:shd w:val="clear" w:color="auto" w:fill="auto"/>
            <w:vAlign w:val="center"/>
          </w:tcPr>
          <w:p w14:paraId="79AD1BAF" w14:textId="3874D6A8" w:rsidR="00E57A19" w:rsidRPr="000B0CA8" w:rsidRDefault="00E57A19"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0B0CA8">
              <w:rPr>
                <w:rFonts w:ascii="Times New Roman" w:hAnsi="Times New Roman" w:cs="Times New Roman" w:hint="eastAsia"/>
                <w:color w:val="000000" w:themeColor="text1"/>
                <w:sz w:val="16"/>
                <w:szCs w:val="16"/>
              </w:rPr>
              <w:t>H</w:t>
            </w:r>
            <w:r w:rsidRPr="000B0CA8">
              <w:rPr>
                <w:rFonts w:ascii="Times New Roman" w:hAnsi="Times New Roman" w:cs="Times New Roman"/>
                <w:color w:val="000000" w:themeColor="text1"/>
                <w:sz w:val="16"/>
                <w:szCs w:val="16"/>
              </w:rPr>
              <w:t>GVS</w:t>
            </w:r>
          </w:p>
        </w:tc>
        <w:tc>
          <w:tcPr>
            <w:tcW w:w="1245" w:type="pct"/>
            <w:tcBorders>
              <w:top w:val="single" w:sz="6" w:space="0" w:color="auto"/>
              <w:left w:val="nil"/>
              <w:bottom w:val="single" w:sz="6" w:space="0" w:color="auto"/>
              <w:right w:val="nil"/>
            </w:tcBorders>
            <w:shd w:val="clear" w:color="auto" w:fill="auto"/>
            <w:vAlign w:val="center"/>
            <w:hideMark/>
          </w:tcPr>
          <w:p w14:paraId="15D724B0" w14:textId="654A97C4" w:rsidR="00E57A19" w:rsidRPr="000B0CA8" w:rsidRDefault="00E57A19" w:rsidP="00D555A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B0CA8">
              <w:rPr>
                <w:rFonts w:ascii="Times New Roman" w:hAnsi="Times New Roman" w:cs="Times New Roman"/>
                <w:color w:val="000000" w:themeColor="text1"/>
                <w:sz w:val="16"/>
                <w:szCs w:val="16"/>
              </w:rPr>
              <w:t>NAGF</w:t>
            </w:r>
          </w:p>
        </w:tc>
      </w:tr>
      <w:tr w:rsidR="00FB3314" w:rsidRPr="000B0CA8" w14:paraId="099ABF62" w14:textId="77777777" w:rsidTr="00A654E6">
        <w:trPr>
          <w:trHeight w:val="350"/>
          <w:jc w:val="center"/>
        </w:trPr>
        <w:tc>
          <w:tcPr>
            <w:cnfStyle w:val="001000000000" w:firstRow="0" w:lastRow="0" w:firstColumn="1" w:lastColumn="0" w:oddVBand="0" w:evenVBand="0" w:oddHBand="0" w:evenHBand="0" w:firstRowFirstColumn="0" w:firstRowLastColumn="0" w:lastRowFirstColumn="0" w:lastRowLastColumn="0"/>
            <w:tcW w:w="598" w:type="pct"/>
            <w:tcBorders>
              <w:top w:val="nil"/>
              <w:right w:val="single" w:sz="4" w:space="0" w:color="000000"/>
            </w:tcBorders>
            <w:vAlign w:val="center"/>
          </w:tcPr>
          <w:p w14:paraId="7C6718EB" w14:textId="2113D46B" w:rsidR="00FB3314" w:rsidRPr="000B0CA8" w:rsidRDefault="00FB3314" w:rsidP="00D555AA">
            <w:pPr>
              <w:spacing w:line="240" w:lineRule="exact"/>
              <w:jc w:val="center"/>
              <w:rPr>
                <w:rFonts w:ascii="Times New Roman" w:hAnsi="Times New Roman"/>
                <w:b w:val="0"/>
                <w:bCs w:val="0"/>
                <w:sz w:val="16"/>
                <w:szCs w:val="16"/>
              </w:rPr>
            </w:pPr>
            <w:r w:rsidRPr="000B0CA8">
              <w:rPr>
                <w:rFonts w:ascii="Times New Roman" w:hAnsi="Times New Roman"/>
                <w:sz w:val="16"/>
                <w:szCs w:val="16"/>
              </w:rPr>
              <w:t>cuteSV.INS.6144</w:t>
            </w:r>
          </w:p>
        </w:tc>
        <w:tc>
          <w:tcPr>
            <w:tcW w:w="1024" w:type="pct"/>
            <w:tcBorders>
              <w:top w:val="single" w:sz="6" w:space="0" w:color="auto"/>
              <w:left w:val="single" w:sz="4" w:space="0" w:color="000000"/>
              <w:bottom w:val="nil"/>
            </w:tcBorders>
            <w:vAlign w:val="center"/>
          </w:tcPr>
          <w:p w14:paraId="1A33DA26" w14:textId="242DB68C"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hint="eastAsia"/>
                <w:sz w:val="16"/>
                <w:szCs w:val="16"/>
              </w:rPr>
              <w:t>c</w:t>
            </w:r>
            <w:r w:rsidRPr="000B0CA8">
              <w:rPr>
                <w:rFonts w:ascii="Times New Roman" w:hAnsi="Times New Roman"/>
                <w:sz w:val="16"/>
                <w:szCs w:val="16"/>
              </w:rPr>
              <w:t>hr16:30224705-126-30224705</w:t>
            </w:r>
          </w:p>
        </w:tc>
        <w:tc>
          <w:tcPr>
            <w:tcW w:w="2133" w:type="pct"/>
            <w:tcBorders>
              <w:top w:val="nil"/>
            </w:tcBorders>
            <w:shd w:val="clear" w:color="auto" w:fill="auto"/>
            <w:vAlign w:val="center"/>
          </w:tcPr>
          <w:p w14:paraId="2CCB2138" w14:textId="3F69B6DB"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NPIPB12:NM</w:t>
            </w:r>
            <w:r w:rsidR="00AD54BD" w:rsidRPr="004E2A80">
              <w:rPr>
                <w:rFonts w:ascii="Times New Roman" w:hAnsi="Times New Roman"/>
                <w:sz w:val="16"/>
                <w:szCs w:val="16"/>
                <w:u w:val="single"/>
              </w:rPr>
              <w:t>_</w:t>
            </w:r>
            <w:r w:rsidRPr="000B0CA8">
              <w:rPr>
                <w:rFonts w:ascii="Times New Roman" w:hAnsi="Times New Roman"/>
                <w:sz w:val="16"/>
                <w:szCs w:val="16"/>
              </w:rPr>
              <w:t>001355401.1:c.523</w:t>
            </w:r>
            <w:r w:rsidR="00114D3C" w:rsidRPr="004E2A80">
              <w:rPr>
                <w:rFonts w:ascii="Times New Roman" w:hAnsi="Times New Roman"/>
                <w:sz w:val="16"/>
                <w:szCs w:val="16"/>
                <w:u w:val="single"/>
              </w:rPr>
              <w:t>_</w:t>
            </w:r>
            <w:r w:rsidRPr="000B0CA8">
              <w:rPr>
                <w:rFonts w:ascii="Times New Roman" w:hAnsi="Times New Roman"/>
                <w:sz w:val="16"/>
                <w:szCs w:val="16"/>
              </w:rPr>
              <w:t>524ins126</w:t>
            </w:r>
          </w:p>
          <w:p w14:paraId="52449123" w14:textId="04C8EF66"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NPIPB13:NM</w:t>
            </w:r>
            <w:r w:rsidR="00AD54BD" w:rsidRPr="004E2A80">
              <w:rPr>
                <w:rFonts w:ascii="Times New Roman" w:hAnsi="Times New Roman"/>
                <w:sz w:val="16"/>
                <w:szCs w:val="16"/>
                <w:u w:val="single"/>
              </w:rPr>
              <w:t>_</w:t>
            </w:r>
            <w:r w:rsidRPr="000B0CA8">
              <w:rPr>
                <w:rFonts w:ascii="Times New Roman" w:hAnsi="Times New Roman"/>
                <w:sz w:val="16"/>
                <w:szCs w:val="16"/>
              </w:rPr>
              <w:t>001321892.1:c.1972</w:t>
            </w:r>
            <w:r w:rsidR="00114D3C" w:rsidRPr="004E2A80">
              <w:rPr>
                <w:rFonts w:ascii="Times New Roman" w:hAnsi="Times New Roman"/>
                <w:sz w:val="16"/>
                <w:szCs w:val="16"/>
                <w:u w:val="single"/>
              </w:rPr>
              <w:t>_</w:t>
            </w:r>
            <w:r w:rsidRPr="000B0CA8">
              <w:rPr>
                <w:rFonts w:ascii="Times New Roman" w:hAnsi="Times New Roman"/>
                <w:sz w:val="16"/>
                <w:szCs w:val="16"/>
              </w:rPr>
              <w:t>1973ins126</w:t>
            </w:r>
          </w:p>
        </w:tc>
        <w:tc>
          <w:tcPr>
            <w:tcW w:w="1245" w:type="pct"/>
            <w:tcBorders>
              <w:top w:val="nil"/>
            </w:tcBorders>
            <w:vAlign w:val="center"/>
          </w:tcPr>
          <w:p w14:paraId="255F90B2" w14:textId="5D23CB1C"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NPIPB12:64:[7,0,0,0,0]</w:t>
            </w:r>
          </w:p>
          <w:p w14:paraId="2B80C16F" w14:textId="4F0D804B"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NPIPB13:64:[22,0,0,0,0]</w:t>
            </w:r>
          </w:p>
        </w:tc>
      </w:tr>
      <w:tr w:rsidR="00FB3314" w:rsidRPr="000B0CA8" w14:paraId="26C40F1F" w14:textId="77777777" w:rsidTr="004E2A80">
        <w:trPr>
          <w:trHeight w:val="560"/>
          <w:jc w:val="center"/>
        </w:trPr>
        <w:tc>
          <w:tcPr>
            <w:cnfStyle w:val="001000000000" w:firstRow="0" w:lastRow="0" w:firstColumn="1" w:lastColumn="0" w:oddVBand="0" w:evenVBand="0" w:oddHBand="0" w:evenHBand="0" w:firstRowFirstColumn="0" w:firstRowLastColumn="0" w:lastRowFirstColumn="0" w:lastRowLastColumn="0"/>
            <w:tcW w:w="598" w:type="pct"/>
            <w:tcBorders>
              <w:top w:val="nil"/>
              <w:right w:val="single" w:sz="4" w:space="0" w:color="000000"/>
            </w:tcBorders>
            <w:vAlign w:val="center"/>
          </w:tcPr>
          <w:p w14:paraId="35CA0DD1" w14:textId="72FBA404" w:rsidR="00FB3314" w:rsidRPr="000B0CA8" w:rsidRDefault="00FB3314" w:rsidP="00D555AA">
            <w:pPr>
              <w:spacing w:line="240" w:lineRule="exact"/>
              <w:jc w:val="center"/>
              <w:rPr>
                <w:rFonts w:ascii="Times New Roman" w:hAnsi="Times New Roman"/>
                <w:b w:val="0"/>
                <w:bCs w:val="0"/>
                <w:sz w:val="16"/>
                <w:szCs w:val="16"/>
              </w:rPr>
            </w:pPr>
            <w:r w:rsidRPr="000B0CA8">
              <w:rPr>
                <w:rFonts w:ascii="Times New Roman" w:hAnsi="Times New Roman"/>
                <w:sz w:val="16"/>
                <w:szCs w:val="16"/>
              </w:rPr>
              <w:t>cuteSV.DEL.5907</w:t>
            </w:r>
          </w:p>
        </w:tc>
        <w:tc>
          <w:tcPr>
            <w:tcW w:w="1024" w:type="pct"/>
            <w:tcBorders>
              <w:top w:val="nil"/>
              <w:left w:val="single" w:sz="4" w:space="0" w:color="000000"/>
              <w:bottom w:val="single" w:sz="4" w:space="0" w:color="000000"/>
            </w:tcBorders>
            <w:vAlign w:val="center"/>
          </w:tcPr>
          <w:p w14:paraId="2380E2D2" w14:textId="6762587F"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chr17:41041247-137-41041384</w:t>
            </w:r>
          </w:p>
        </w:tc>
        <w:tc>
          <w:tcPr>
            <w:tcW w:w="2133" w:type="pct"/>
            <w:tcBorders>
              <w:top w:val="nil"/>
            </w:tcBorders>
            <w:shd w:val="clear" w:color="auto" w:fill="auto"/>
            <w:vAlign w:val="center"/>
          </w:tcPr>
          <w:p w14:paraId="75F63A79" w14:textId="2B94D1DB"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KRTAP1-1:NM</w:t>
            </w:r>
            <w:r w:rsidR="00AD54BD" w:rsidRPr="004E2A80">
              <w:rPr>
                <w:rFonts w:ascii="Times New Roman" w:hAnsi="Times New Roman"/>
                <w:sz w:val="16"/>
                <w:szCs w:val="16"/>
                <w:u w:val="single"/>
              </w:rPr>
              <w:t>_</w:t>
            </w:r>
            <w:r w:rsidRPr="000B0CA8">
              <w:rPr>
                <w:rFonts w:ascii="Times New Roman" w:hAnsi="Times New Roman"/>
                <w:sz w:val="16"/>
                <w:szCs w:val="16"/>
              </w:rPr>
              <w:t>030967.3: c.67-204</w:t>
            </w:r>
            <w:r w:rsidRPr="004E2A80">
              <w:rPr>
                <w:rFonts w:ascii="Times New Roman" w:hAnsi="Times New Roman"/>
                <w:sz w:val="16"/>
                <w:szCs w:val="16"/>
                <w:u w:val="single"/>
              </w:rPr>
              <w:t>_</w:t>
            </w:r>
            <w:r w:rsidRPr="000B0CA8">
              <w:rPr>
                <w:rFonts w:ascii="Times New Roman" w:hAnsi="Times New Roman"/>
                <w:sz w:val="16"/>
                <w:szCs w:val="16"/>
              </w:rPr>
              <w:t>14-151del</w:t>
            </w:r>
          </w:p>
          <w:p w14:paraId="228A483D" w14:textId="07438213"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KRTAP9-7:</w:t>
            </w:r>
            <w:r w:rsidRPr="000B0CA8">
              <w:rPr>
                <w:sz w:val="20"/>
                <w:szCs w:val="28"/>
              </w:rPr>
              <w:t xml:space="preserve"> </w:t>
            </w:r>
            <w:r w:rsidRPr="000B0CA8">
              <w:rPr>
                <w:rFonts w:ascii="Times New Roman" w:hAnsi="Times New Roman"/>
                <w:sz w:val="16"/>
                <w:szCs w:val="16"/>
              </w:rPr>
              <w:t>NM</w:t>
            </w:r>
            <w:r w:rsidR="00AD54BD" w:rsidRPr="004E2A80">
              <w:rPr>
                <w:rFonts w:ascii="Times New Roman" w:hAnsi="Times New Roman"/>
                <w:sz w:val="16"/>
                <w:szCs w:val="16"/>
                <w:u w:val="single"/>
              </w:rPr>
              <w:t>_</w:t>
            </w:r>
            <w:r w:rsidRPr="000B0CA8">
              <w:rPr>
                <w:rFonts w:ascii="Times New Roman" w:hAnsi="Times New Roman"/>
                <w:sz w:val="16"/>
                <w:szCs w:val="16"/>
              </w:rPr>
              <w:t>001277332.1:c.1-137</w:t>
            </w:r>
            <w:r w:rsidRPr="004E2A80">
              <w:rPr>
                <w:rFonts w:ascii="Times New Roman" w:hAnsi="Times New Roman"/>
                <w:sz w:val="16"/>
                <w:szCs w:val="16"/>
                <w:u w:val="single"/>
              </w:rPr>
              <w:t>_</w:t>
            </w:r>
            <w:r w:rsidRPr="000B0CA8">
              <w:rPr>
                <w:rFonts w:ascii="Times New Roman" w:hAnsi="Times New Roman"/>
                <w:sz w:val="16"/>
                <w:szCs w:val="16"/>
              </w:rPr>
              <w:t>1-84del</w:t>
            </w:r>
          </w:p>
        </w:tc>
        <w:tc>
          <w:tcPr>
            <w:tcW w:w="1245" w:type="pct"/>
            <w:tcBorders>
              <w:top w:val="nil"/>
            </w:tcBorders>
            <w:vAlign w:val="center"/>
          </w:tcPr>
          <w:p w14:paraId="5D4C036E" w14:textId="77777777"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KRTAP1-1:64:[15,0,0,0,0]</w:t>
            </w:r>
          </w:p>
          <w:p w14:paraId="2E021D9C" w14:textId="482C7DA9" w:rsidR="00FB3314" w:rsidRPr="000B0CA8" w:rsidRDefault="00FB3314" w:rsidP="00D555A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B0CA8">
              <w:rPr>
                <w:rFonts w:ascii="Times New Roman" w:hAnsi="Times New Roman"/>
                <w:sz w:val="16"/>
                <w:szCs w:val="16"/>
              </w:rPr>
              <w:t>KRTAP9-7:76:[18,0,0,0,3]</w:t>
            </w:r>
          </w:p>
        </w:tc>
      </w:tr>
    </w:tbl>
    <w:p w14:paraId="7C16523C" w14:textId="77777777" w:rsidR="00CC58CD" w:rsidRDefault="00CC58CD" w:rsidP="00A654E6">
      <w:pPr>
        <w:rPr>
          <w:sz w:val="20"/>
          <w:szCs w:val="28"/>
        </w:rPr>
      </w:pPr>
    </w:p>
    <w:p w14:paraId="1713D77A" w14:textId="0654BE54" w:rsidR="00A654E6" w:rsidRPr="00953335" w:rsidRDefault="00A654E6" w:rsidP="00A654E6">
      <w:pPr>
        <w:rPr>
          <w:color w:val="FF0000"/>
          <w:sz w:val="20"/>
          <w:szCs w:val="28"/>
        </w:rPr>
      </w:pPr>
      <w:r w:rsidRPr="00953335">
        <w:rPr>
          <w:color w:val="FF0000"/>
          <w:sz w:val="20"/>
          <w:szCs w:val="28"/>
        </w:rPr>
        <w:t>To further illustrate the NAGF, we take NPIPB12:64:[7,0,0,0,0] as an example. The NAGF value consists of two components:</w:t>
      </w:r>
    </w:p>
    <w:p w14:paraId="6F3E2F5F" w14:textId="768B620D" w:rsidR="00A654E6" w:rsidRPr="00953335" w:rsidRDefault="00A654E6" w:rsidP="00953335">
      <w:pPr>
        <w:pStyle w:val="aa"/>
        <w:numPr>
          <w:ilvl w:val="0"/>
          <w:numId w:val="4"/>
        </w:numPr>
        <w:ind w:firstLineChars="0"/>
        <w:rPr>
          <w:color w:val="FF0000"/>
          <w:sz w:val="20"/>
          <w:szCs w:val="28"/>
        </w:rPr>
      </w:pPr>
      <w:r w:rsidRPr="00953335">
        <w:rPr>
          <w:color w:val="FF0000"/>
          <w:sz w:val="20"/>
          <w:szCs w:val="28"/>
        </w:rPr>
        <w:t xml:space="preserve">A binary score (e.g., 64), encoded as an 8-bit integer, indicating impacted gene features (e.g., exon, promoter). For instance, 64 (binary 01000000) denotes a protein-coding exon impact. </w:t>
      </w:r>
    </w:p>
    <w:p w14:paraId="4CD4BB2F" w14:textId="18EDB5CF" w:rsidR="00A654E6" w:rsidRPr="00953335" w:rsidRDefault="00A654E6" w:rsidP="00953335">
      <w:pPr>
        <w:pStyle w:val="aa"/>
        <w:numPr>
          <w:ilvl w:val="0"/>
          <w:numId w:val="4"/>
        </w:numPr>
        <w:ind w:firstLineChars="0"/>
        <w:rPr>
          <w:color w:val="FF0000"/>
          <w:sz w:val="20"/>
          <w:szCs w:val="28"/>
        </w:rPr>
      </w:pPr>
      <w:r w:rsidRPr="00953335">
        <w:rPr>
          <w:color w:val="FF0000"/>
          <w:sz w:val="20"/>
          <w:szCs w:val="28"/>
        </w:rPr>
        <w:t>Coverage percentages (e.g., [7,0,0,0,0]), quantifying the SV’s overlap with five regions (exon, promoter, UTR, intron, nearby). These percentages enable rapid prioritization of SVs affecting critical regions (e.g., exons with &gt;5% coverage).</w:t>
      </w:r>
    </w:p>
    <w:p w14:paraId="5ED0226A" w14:textId="4254F67B" w:rsidR="00EA60BE" w:rsidRPr="00953335" w:rsidRDefault="00A654E6" w:rsidP="00A654E6">
      <w:pPr>
        <w:rPr>
          <w:color w:val="FF0000"/>
          <w:sz w:val="20"/>
          <w:szCs w:val="28"/>
        </w:rPr>
      </w:pPr>
      <w:r w:rsidRPr="00953335">
        <w:rPr>
          <w:color w:val="FF0000"/>
          <w:sz w:val="20"/>
          <w:szCs w:val="28"/>
        </w:rPr>
        <w:t>While the binary score requires computational parsing, the coverage percentages are human-interpretable and directly summarize SV impact across transcripts or genes.</w:t>
      </w:r>
    </w:p>
    <w:p w14:paraId="5080ADF1" w14:textId="3094DEC6" w:rsidR="00A654E6" w:rsidRPr="00953335" w:rsidRDefault="00A654E6" w:rsidP="00A654E6">
      <w:pPr>
        <w:rPr>
          <w:color w:val="FF0000"/>
          <w:sz w:val="20"/>
          <w:szCs w:val="28"/>
        </w:rPr>
      </w:pPr>
    </w:p>
    <w:p w14:paraId="5A331849" w14:textId="414D5C0B" w:rsidR="00A654E6" w:rsidRPr="00953335" w:rsidRDefault="00A654E6" w:rsidP="00A654E6">
      <w:pPr>
        <w:rPr>
          <w:color w:val="FF0000"/>
          <w:sz w:val="20"/>
          <w:szCs w:val="28"/>
        </w:rPr>
      </w:pPr>
      <w:r w:rsidRPr="00953335">
        <w:rPr>
          <w:color w:val="FF0000"/>
          <w:sz w:val="20"/>
          <w:szCs w:val="28"/>
        </w:rPr>
        <w:t>Furthermore, while HGVS achieves base-level precision for small variants, its drawbacks for SVs include:</w:t>
      </w:r>
    </w:p>
    <w:p w14:paraId="3D47FB42" w14:textId="30D83983" w:rsidR="00A654E6" w:rsidRPr="00953335" w:rsidRDefault="00A654E6" w:rsidP="00953335">
      <w:pPr>
        <w:pStyle w:val="aa"/>
        <w:numPr>
          <w:ilvl w:val="0"/>
          <w:numId w:val="5"/>
        </w:numPr>
        <w:ind w:firstLineChars="0"/>
        <w:rPr>
          <w:color w:val="FF0000"/>
          <w:sz w:val="20"/>
          <w:szCs w:val="28"/>
        </w:rPr>
      </w:pPr>
      <w:r w:rsidRPr="00953335">
        <w:rPr>
          <w:color w:val="FF0000"/>
          <w:sz w:val="20"/>
          <w:szCs w:val="28"/>
        </w:rPr>
        <w:t>Complexity: HGVS demands SV</w:t>
      </w:r>
      <w:r w:rsidR="0048487E">
        <w:rPr>
          <w:color w:val="FF0000"/>
          <w:sz w:val="20"/>
          <w:szCs w:val="28"/>
        </w:rPr>
        <w:t>-</w:t>
      </w:r>
      <w:r w:rsidRPr="00953335">
        <w:rPr>
          <w:color w:val="FF0000"/>
          <w:sz w:val="20"/>
          <w:szCs w:val="28"/>
        </w:rPr>
        <w:t>type</w:t>
      </w:r>
      <w:r w:rsidR="0048487E">
        <w:rPr>
          <w:color w:val="FF0000"/>
          <w:sz w:val="20"/>
          <w:szCs w:val="28"/>
        </w:rPr>
        <w:t>-</w:t>
      </w:r>
      <w:r w:rsidRPr="00953335">
        <w:rPr>
          <w:color w:val="FF0000"/>
          <w:sz w:val="20"/>
          <w:szCs w:val="28"/>
        </w:rPr>
        <w:t>specific syntax. For instance, for inversions, the notation is c.301 - 143_oXYZ:233 + 17inv, and for translocations, it is c.523_524ins126. Additionally, different notations are used for 5' UTR (c.-) and 3' UTR (c.*). Decoding these requires specialized knowledge. (Examples can be found at https://www.hgvs.org/mutnomen/examplesDNA.html)</w:t>
      </w:r>
    </w:p>
    <w:p w14:paraId="0F9DF000" w14:textId="27CDE53B" w:rsidR="00A654E6" w:rsidRPr="00953335" w:rsidRDefault="00A654E6" w:rsidP="00A654E6">
      <w:pPr>
        <w:pStyle w:val="aa"/>
        <w:numPr>
          <w:ilvl w:val="0"/>
          <w:numId w:val="5"/>
        </w:numPr>
        <w:ind w:firstLineChars="0"/>
        <w:rPr>
          <w:color w:val="FF0000"/>
          <w:sz w:val="20"/>
          <w:szCs w:val="28"/>
        </w:rPr>
      </w:pPr>
      <w:r w:rsidRPr="00953335">
        <w:rPr>
          <w:color w:val="FF0000"/>
          <w:sz w:val="20"/>
          <w:szCs w:val="28"/>
        </w:rPr>
        <w:t>Lengthiness: When dealing with SVs that span multiple transcripts or genes, HGVS generates highly verbose annotations.</w:t>
      </w:r>
      <w:r w:rsidR="00CC58CD" w:rsidRPr="00953335">
        <w:rPr>
          <w:color w:val="FF0000"/>
        </w:rPr>
        <w:t xml:space="preserve"> </w:t>
      </w:r>
      <w:r w:rsidR="00CC58CD" w:rsidRPr="00953335">
        <w:rPr>
          <w:color w:val="FF0000"/>
          <w:sz w:val="20"/>
          <w:szCs w:val="28"/>
        </w:rPr>
        <w:t>For example, a deletion (chr1: 62686148-62686487) event from 1100 VCF files(CCS_CHM13_lra_cuteSV2_CHM13.vcf) in the DOCK7 gene that affects 7 transcripts can result in an annotation spanning over 300 characters</w:t>
      </w:r>
      <w:r w:rsidR="00544E4E" w:rsidRPr="00953335">
        <w:rPr>
          <w:color w:val="FF0000"/>
          <w:sz w:val="20"/>
          <w:szCs w:val="28"/>
        </w:rPr>
        <w:t>(here show its position annotation)</w:t>
      </w:r>
      <w:r w:rsidR="00CC58CD" w:rsidRPr="00953335">
        <w:rPr>
          <w:color w:val="FF0000"/>
          <w:sz w:val="20"/>
          <w:szCs w:val="28"/>
        </w:rPr>
        <w:t>:</w:t>
      </w:r>
    </w:p>
    <w:p w14:paraId="1C0BD957" w14:textId="77777777" w:rsidR="00A654E6" w:rsidRPr="00953335" w:rsidRDefault="00A654E6" w:rsidP="00A654E6">
      <w:pPr>
        <w:pStyle w:val="aa"/>
        <w:ind w:left="360" w:firstLineChars="0" w:firstLine="0"/>
        <w:rPr>
          <w:i/>
          <w:iCs/>
          <w:color w:val="FF0000"/>
        </w:rPr>
      </w:pPr>
      <w:r w:rsidRPr="00953335">
        <w:rPr>
          <w:i/>
          <w:iCs/>
          <w:color w:val="FF0000"/>
        </w:rPr>
        <w:t>DOCK7:NM_001367561:c.39-23019N&gt;N:(50Exons):Intro1;</w:t>
      </w:r>
    </w:p>
    <w:p w14:paraId="040EAB81" w14:textId="77777777" w:rsidR="00A654E6" w:rsidRPr="00953335" w:rsidRDefault="00A654E6" w:rsidP="00A654E6">
      <w:pPr>
        <w:pStyle w:val="aa"/>
        <w:ind w:left="360" w:firstLineChars="0" w:firstLine="0"/>
        <w:rPr>
          <w:i/>
          <w:iCs/>
          <w:color w:val="FF0000"/>
        </w:rPr>
      </w:pPr>
      <w:r w:rsidRPr="00953335">
        <w:rPr>
          <w:i/>
          <w:iCs/>
          <w:color w:val="FF0000"/>
        </w:rPr>
        <w:t>DOCK7:NM_001272002:c.39-23019N&gt;N:(16Exons):Intro1;</w:t>
      </w:r>
    </w:p>
    <w:p w14:paraId="1A89745D" w14:textId="77777777" w:rsidR="00A654E6" w:rsidRPr="00953335" w:rsidRDefault="00A654E6" w:rsidP="00A654E6">
      <w:pPr>
        <w:pStyle w:val="aa"/>
        <w:ind w:left="360" w:firstLineChars="0" w:firstLine="0"/>
        <w:rPr>
          <w:i/>
          <w:iCs/>
          <w:color w:val="FF0000"/>
        </w:rPr>
      </w:pPr>
      <w:r w:rsidRPr="00953335">
        <w:rPr>
          <w:i/>
          <w:iCs/>
          <w:color w:val="FF0000"/>
        </w:rPr>
        <w:t>DOCK7:NM_001272000:c.39-23019N&gt;N:(49Exons):Intro1;</w:t>
      </w:r>
    </w:p>
    <w:p w14:paraId="048A35BB" w14:textId="77777777" w:rsidR="00A654E6" w:rsidRPr="00953335" w:rsidRDefault="00A654E6" w:rsidP="00A654E6">
      <w:pPr>
        <w:pStyle w:val="aa"/>
        <w:ind w:left="360" w:firstLineChars="0" w:firstLine="0"/>
        <w:rPr>
          <w:i/>
          <w:iCs/>
          <w:color w:val="FF0000"/>
        </w:rPr>
      </w:pPr>
      <w:r w:rsidRPr="00953335">
        <w:rPr>
          <w:i/>
          <w:iCs/>
          <w:color w:val="FF0000"/>
        </w:rPr>
        <w:t>DOCK7:NM_001330614:c.39-23019N&gt;N:(50Exons):Intro1;</w:t>
      </w:r>
    </w:p>
    <w:p w14:paraId="6B630665" w14:textId="77777777" w:rsidR="00A654E6" w:rsidRPr="00953335" w:rsidRDefault="00A654E6" w:rsidP="00A654E6">
      <w:pPr>
        <w:pStyle w:val="aa"/>
        <w:ind w:left="360" w:firstLineChars="0" w:firstLine="0"/>
        <w:rPr>
          <w:i/>
          <w:iCs/>
          <w:color w:val="FF0000"/>
        </w:rPr>
      </w:pPr>
      <w:r w:rsidRPr="00953335">
        <w:rPr>
          <w:i/>
          <w:iCs/>
          <w:color w:val="FF0000"/>
        </w:rPr>
        <w:t>DOCK7:NM_001271999:c.39-23019N&gt;N:(49Exons):Intro1</w:t>
      </w:r>
    </w:p>
    <w:p w14:paraId="51CCC863" w14:textId="77777777" w:rsidR="00A654E6" w:rsidRPr="00953335" w:rsidRDefault="00A654E6" w:rsidP="00A654E6">
      <w:pPr>
        <w:pStyle w:val="aa"/>
        <w:ind w:left="360" w:firstLineChars="0" w:firstLine="0"/>
        <w:rPr>
          <w:i/>
          <w:iCs/>
          <w:color w:val="FF0000"/>
        </w:rPr>
      </w:pPr>
      <w:r w:rsidRPr="00953335">
        <w:rPr>
          <w:i/>
          <w:iCs/>
          <w:color w:val="FF0000"/>
        </w:rPr>
        <w:t>;DOCK7:NM_001272001:c.39-23019N&gt;N:(48Exons):Intro1</w:t>
      </w:r>
    </w:p>
    <w:p w14:paraId="3C40A3B2" w14:textId="09FD3451" w:rsidR="00A654E6" w:rsidRPr="00953335" w:rsidRDefault="00A654E6" w:rsidP="00953335">
      <w:pPr>
        <w:pStyle w:val="aa"/>
        <w:ind w:left="360" w:firstLineChars="0" w:firstLine="0"/>
        <w:rPr>
          <w:i/>
          <w:iCs/>
          <w:color w:val="FF0000"/>
        </w:rPr>
      </w:pPr>
      <w:r w:rsidRPr="00953335">
        <w:rPr>
          <w:i/>
          <w:iCs/>
          <w:color w:val="FF0000"/>
        </w:rPr>
        <w:t>;DOCK7:NM_033407:c.39-23019N&gt;N:(49Exons):Intro1;</w:t>
      </w:r>
    </w:p>
    <w:p w14:paraId="4D7B81C7" w14:textId="549CBAE9" w:rsidR="00A654E6" w:rsidRPr="00953335" w:rsidRDefault="00A654E6" w:rsidP="00953335">
      <w:pPr>
        <w:pStyle w:val="aa"/>
        <w:ind w:left="360" w:firstLineChars="0" w:firstLine="0"/>
        <w:rPr>
          <w:color w:val="FF0000"/>
          <w:sz w:val="20"/>
          <w:szCs w:val="28"/>
        </w:rPr>
      </w:pPr>
      <w:r w:rsidRPr="00953335">
        <w:rPr>
          <w:color w:val="FF0000"/>
          <w:sz w:val="20"/>
          <w:szCs w:val="28"/>
        </w:rPr>
        <w:t>In contrast, NAGF can compress this information into a concise DOCK7:8:0,0,0,3,0, which indicates 3% intronic coverage.</w:t>
      </w:r>
    </w:p>
    <w:p w14:paraId="65F12A07" w14:textId="68F26C0F" w:rsidR="006B026F" w:rsidRPr="000B0CA8" w:rsidRDefault="006B026F" w:rsidP="006213D5">
      <w:pPr>
        <w:pStyle w:val="3"/>
        <w:spacing w:after="312"/>
      </w:pPr>
      <w:r w:rsidRPr="000B0CA8">
        <w:lastRenderedPageBreak/>
        <w:t>Reference</w:t>
      </w:r>
      <w:r w:rsidR="006230D1" w:rsidRPr="000B0CA8">
        <w:t>s</w:t>
      </w:r>
    </w:p>
    <w:p w14:paraId="47AE6EF6" w14:textId="77777777" w:rsidR="009F6B29" w:rsidRPr="000B0CA8" w:rsidRDefault="009F6B29" w:rsidP="005E52C3">
      <w:pPr>
        <w:pStyle w:val="ad"/>
        <w:spacing w:line="240" w:lineRule="auto"/>
        <w:rPr>
          <w:sz w:val="20"/>
          <w:szCs w:val="28"/>
        </w:rPr>
      </w:pPr>
      <w:r w:rsidRPr="000B0CA8">
        <w:rPr>
          <w:sz w:val="20"/>
          <w:szCs w:val="28"/>
        </w:rPr>
        <w:fldChar w:fldCharType="begin"/>
      </w:r>
      <w:r w:rsidRPr="000B0CA8">
        <w:rPr>
          <w:sz w:val="20"/>
          <w:szCs w:val="28"/>
        </w:rPr>
        <w:instrText xml:space="preserve"> ADDIN ZOTERO_BIBL {"uncited":[],"omitted":[],"custom":[]} CSL_BIBLIOGRAPHY </w:instrText>
      </w:r>
      <w:r w:rsidRPr="000B0CA8">
        <w:rPr>
          <w:sz w:val="20"/>
          <w:szCs w:val="28"/>
        </w:rPr>
        <w:fldChar w:fldCharType="separate"/>
      </w:r>
      <w:r w:rsidRPr="000B0CA8">
        <w:rPr>
          <w:sz w:val="20"/>
          <w:szCs w:val="28"/>
        </w:rPr>
        <w:t>1.</w:t>
      </w:r>
      <w:r w:rsidRPr="000B0CA8">
        <w:rPr>
          <w:sz w:val="20"/>
          <w:szCs w:val="28"/>
        </w:rPr>
        <w:tab/>
        <w:t>Shafin, K. et al. Nanopore sequencing and the Shasta toolkit enable efficient de novo assembly of eleven human genomes. Nat. Biotechnol. 38, 1044–1053 (2020).</w:t>
      </w:r>
    </w:p>
    <w:p w14:paraId="09E3B3A7" w14:textId="77777777" w:rsidR="009F6B29" w:rsidRPr="000B0CA8" w:rsidRDefault="009F6B29" w:rsidP="005E52C3">
      <w:pPr>
        <w:pStyle w:val="ad"/>
        <w:spacing w:line="240" w:lineRule="auto"/>
        <w:rPr>
          <w:sz w:val="20"/>
          <w:szCs w:val="28"/>
        </w:rPr>
      </w:pPr>
      <w:r w:rsidRPr="000B0CA8">
        <w:rPr>
          <w:sz w:val="20"/>
          <w:szCs w:val="28"/>
        </w:rPr>
        <w:t>2.</w:t>
      </w:r>
      <w:r w:rsidRPr="000B0CA8">
        <w:rPr>
          <w:sz w:val="20"/>
          <w:szCs w:val="28"/>
        </w:rPr>
        <w:tab/>
        <w:t>Zook, J. M. et al. Integrating human sequence data sets provides a resource of benchmark SNP and indel genotype calls. Nat. Biotechnol. 32, 246–251 (2014).</w:t>
      </w:r>
    </w:p>
    <w:p w14:paraId="7F6FD0CD" w14:textId="77777777" w:rsidR="009F6B29" w:rsidRPr="000B0CA8" w:rsidRDefault="009F6B29" w:rsidP="005E52C3">
      <w:pPr>
        <w:pStyle w:val="ad"/>
        <w:spacing w:line="240" w:lineRule="auto"/>
        <w:rPr>
          <w:sz w:val="20"/>
          <w:szCs w:val="28"/>
        </w:rPr>
      </w:pPr>
      <w:r w:rsidRPr="000B0CA8">
        <w:rPr>
          <w:sz w:val="20"/>
          <w:szCs w:val="28"/>
        </w:rPr>
        <w:t>3.</w:t>
      </w:r>
      <w:r w:rsidRPr="000B0CA8">
        <w:rPr>
          <w:sz w:val="20"/>
          <w:szCs w:val="28"/>
        </w:rPr>
        <w:tab/>
        <w:t>Zook, J. M. et al. Extensive sequencing of seven human genomes to characterize benchmark reference materials. Sci. Data 3, 160025 (2016).</w:t>
      </w:r>
    </w:p>
    <w:p w14:paraId="7FAA3F15" w14:textId="77777777" w:rsidR="009F6B29" w:rsidRPr="000B0CA8" w:rsidRDefault="009F6B29" w:rsidP="005E52C3">
      <w:pPr>
        <w:pStyle w:val="ad"/>
        <w:spacing w:line="240" w:lineRule="auto"/>
        <w:rPr>
          <w:sz w:val="20"/>
          <w:szCs w:val="28"/>
        </w:rPr>
      </w:pPr>
      <w:r w:rsidRPr="000B0CA8">
        <w:rPr>
          <w:sz w:val="20"/>
          <w:szCs w:val="28"/>
        </w:rPr>
        <w:t>4.</w:t>
      </w:r>
      <w:r w:rsidRPr="000B0CA8">
        <w:rPr>
          <w:sz w:val="20"/>
          <w:szCs w:val="28"/>
        </w:rPr>
        <w:tab/>
        <w:t>Zook, J. M. et al. An open resource for accurately benchmarking small variant and reference calls. Nat. Biotechnol. 37, 561–566 (2019).</w:t>
      </w:r>
    </w:p>
    <w:p w14:paraId="4142F726" w14:textId="77777777" w:rsidR="009F6B29" w:rsidRPr="000B0CA8" w:rsidRDefault="009F6B29" w:rsidP="005E52C3">
      <w:pPr>
        <w:pStyle w:val="ad"/>
        <w:spacing w:line="240" w:lineRule="auto"/>
        <w:rPr>
          <w:sz w:val="20"/>
          <w:szCs w:val="28"/>
        </w:rPr>
      </w:pPr>
      <w:r w:rsidRPr="000B0CA8">
        <w:rPr>
          <w:sz w:val="20"/>
          <w:szCs w:val="28"/>
        </w:rPr>
        <w:t>5.</w:t>
      </w:r>
      <w:r w:rsidRPr="000B0CA8">
        <w:rPr>
          <w:sz w:val="20"/>
          <w:szCs w:val="28"/>
        </w:rPr>
        <w:tab/>
        <w:t>Jain, M. et al. Nanopore sequencing and assembly of a human genome with ultra-long reads. Nat. Biotechnol. 36, 338–345 (2018).</w:t>
      </w:r>
    </w:p>
    <w:p w14:paraId="411043A6" w14:textId="77777777" w:rsidR="009F6B29" w:rsidRPr="000B0CA8" w:rsidRDefault="009F6B29" w:rsidP="005E52C3">
      <w:pPr>
        <w:pStyle w:val="ad"/>
        <w:spacing w:line="240" w:lineRule="auto"/>
        <w:rPr>
          <w:sz w:val="20"/>
          <w:szCs w:val="28"/>
        </w:rPr>
      </w:pPr>
      <w:r w:rsidRPr="000B0CA8">
        <w:rPr>
          <w:sz w:val="20"/>
          <w:szCs w:val="28"/>
        </w:rPr>
        <w:t>6.</w:t>
      </w:r>
      <w:r w:rsidRPr="000B0CA8">
        <w:rPr>
          <w:sz w:val="20"/>
          <w:szCs w:val="28"/>
        </w:rPr>
        <w:tab/>
        <w:t>Fairley, S., Lowy-Gallego, E., Perry, E. &amp; Flicek, P. The International Genome Sample Resource (IGSR) collection of open human genomic variation resources. Nucleic Acids Res. 48, D941–D947 (2020).</w:t>
      </w:r>
    </w:p>
    <w:p w14:paraId="27FFFECA" w14:textId="77777777" w:rsidR="009F6B29" w:rsidRPr="000B0CA8" w:rsidRDefault="009F6B29" w:rsidP="005E52C3">
      <w:pPr>
        <w:pStyle w:val="ad"/>
        <w:spacing w:line="240" w:lineRule="auto"/>
        <w:rPr>
          <w:sz w:val="20"/>
          <w:szCs w:val="28"/>
        </w:rPr>
      </w:pPr>
      <w:r w:rsidRPr="000B0CA8">
        <w:rPr>
          <w:sz w:val="20"/>
          <w:szCs w:val="28"/>
        </w:rPr>
        <w:t>7.</w:t>
      </w:r>
      <w:r w:rsidRPr="000B0CA8">
        <w:rPr>
          <w:sz w:val="20"/>
          <w:szCs w:val="28"/>
        </w:rPr>
        <w:tab/>
        <w:t>Rhie, A. et al. The complete sequence of a human Y chromosome. Nature 621, 344–354 (2023).</w:t>
      </w:r>
    </w:p>
    <w:p w14:paraId="22DE49CD" w14:textId="77777777" w:rsidR="009F6B29" w:rsidRPr="000B0CA8" w:rsidRDefault="009F6B29" w:rsidP="005E52C3">
      <w:pPr>
        <w:pStyle w:val="ad"/>
        <w:spacing w:line="240" w:lineRule="auto"/>
        <w:rPr>
          <w:sz w:val="20"/>
          <w:szCs w:val="28"/>
        </w:rPr>
      </w:pPr>
      <w:r w:rsidRPr="000B0CA8">
        <w:rPr>
          <w:sz w:val="20"/>
          <w:szCs w:val="28"/>
        </w:rPr>
        <w:t>8.</w:t>
      </w:r>
      <w:r w:rsidRPr="000B0CA8">
        <w:rPr>
          <w:sz w:val="20"/>
          <w:szCs w:val="28"/>
        </w:rPr>
        <w:tab/>
        <w:t>Ren, J. &amp; Chaisson, M. J. P. lra: A long read aligner for sequences and contigs. PLoS Comput. Biol. 17, e1009078 (2021).</w:t>
      </w:r>
    </w:p>
    <w:p w14:paraId="44C1FCB6" w14:textId="77777777" w:rsidR="009F6B29" w:rsidRPr="000B0CA8" w:rsidRDefault="009F6B29" w:rsidP="005E52C3">
      <w:pPr>
        <w:pStyle w:val="ad"/>
        <w:spacing w:line="240" w:lineRule="auto"/>
        <w:rPr>
          <w:sz w:val="20"/>
          <w:szCs w:val="28"/>
        </w:rPr>
      </w:pPr>
      <w:r w:rsidRPr="000B0CA8">
        <w:rPr>
          <w:sz w:val="20"/>
          <w:szCs w:val="28"/>
        </w:rPr>
        <w:t>9.</w:t>
      </w:r>
      <w:r w:rsidRPr="000B0CA8">
        <w:rPr>
          <w:sz w:val="20"/>
          <w:szCs w:val="28"/>
        </w:rPr>
        <w:tab/>
        <w:t>Li, H. Minimap2: pairwise alignment for nucleotide sequences. Bioinforma. Oxf. Engl. 34, 3094–3100 (2018).</w:t>
      </w:r>
    </w:p>
    <w:p w14:paraId="6108B7A5" w14:textId="77777777" w:rsidR="009F6B29" w:rsidRPr="000B0CA8" w:rsidRDefault="009F6B29" w:rsidP="005E52C3">
      <w:pPr>
        <w:pStyle w:val="ad"/>
        <w:spacing w:line="240" w:lineRule="auto"/>
        <w:rPr>
          <w:sz w:val="20"/>
          <w:szCs w:val="28"/>
        </w:rPr>
      </w:pPr>
      <w:r w:rsidRPr="000B0CA8">
        <w:rPr>
          <w:sz w:val="20"/>
          <w:szCs w:val="28"/>
        </w:rPr>
        <w:t>10.</w:t>
      </w:r>
      <w:r w:rsidRPr="000B0CA8">
        <w:rPr>
          <w:sz w:val="20"/>
          <w:szCs w:val="28"/>
        </w:rPr>
        <w:tab/>
        <w:t>Li, H. New strategies to improve minimap2 alignment accuracy. Bioinforma. Oxf. Engl. 37, 4572–4574 (2021).</w:t>
      </w:r>
    </w:p>
    <w:p w14:paraId="267A1381" w14:textId="77777777" w:rsidR="009F6B29" w:rsidRPr="000B0CA8" w:rsidRDefault="009F6B29" w:rsidP="005E52C3">
      <w:pPr>
        <w:pStyle w:val="ad"/>
        <w:spacing w:line="240" w:lineRule="auto"/>
        <w:rPr>
          <w:sz w:val="20"/>
          <w:szCs w:val="28"/>
        </w:rPr>
      </w:pPr>
      <w:r w:rsidRPr="000B0CA8">
        <w:rPr>
          <w:sz w:val="20"/>
          <w:szCs w:val="28"/>
        </w:rPr>
        <w:t>11.</w:t>
      </w:r>
      <w:r w:rsidRPr="000B0CA8">
        <w:rPr>
          <w:sz w:val="20"/>
          <w:szCs w:val="28"/>
        </w:rPr>
        <w:tab/>
        <w:t>Sedlazeck, F. J. et al. Accurate detection of complex structural variations using single-molecule sequencing. Nat. Methods 15, 461–468 (2018).</w:t>
      </w:r>
    </w:p>
    <w:p w14:paraId="344AF82E" w14:textId="77777777" w:rsidR="009F6B29" w:rsidRPr="000B0CA8" w:rsidRDefault="009F6B29" w:rsidP="005E52C3">
      <w:pPr>
        <w:pStyle w:val="ad"/>
        <w:spacing w:line="240" w:lineRule="auto"/>
        <w:rPr>
          <w:sz w:val="20"/>
          <w:szCs w:val="28"/>
        </w:rPr>
      </w:pPr>
      <w:r w:rsidRPr="000B0CA8">
        <w:rPr>
          <w:sz w:val="20"/>
          <w:szCs w:val="28"/>
        </w:rPr>
        <w:t>12.</w:t>
      </w:r>
      <w:r w:rsidRPr="000B0CA8">
        <w:rPr>
          <w:sz w:val="20"/>
          <w:szCs w:val="28"/>
        </w:rPr>
        <w:tab/>
        <w:t>Jain, C. et al. Weighted minimizer sampling improves long read mapping. Bioinforma. Oxf. Engl. 36, i111–i118 (2020).</w:t>
      </w:r>
    </w:p>
    <w:p w14:paraId="3B1FDF04" w14:textId="77777777" w:rsidR="009F6B29" w:rsidRPr="000B0CA8" w:rsidRDefault="009F6B29" w:rsidP="005E52C3">
      <w:pPr>
        <w:pStyle w:val="ad"/>
        <w:spacing w:line="240" w:lineRule="auto"/>
        <w:rPr>
          <w:sz w:val="20"/>
          <w:szCs w:val="28"/>
        </w:rPr>
      </w:pPr>
      <w:r w:rsidRPr="000B0CA8">
        <w:rPr>
          <w:sz w:val="20"/>
          <w:szCs w:val="28"/>
        </w:rPr>
        <w:t>13.</w:t>
      </w:r>
      <w:r w:rsidRPr="000B0CA8">
        <w:rPr>
          <w:sz w:val="20"/>
          <w:szCs w:val="28"/>
        </w:rPr>
        <w:tab/>
        <w:t>Jain, C., Rhie, A., Hansen, N. F., Koren, S. &amp; Phillippy, A. M. Long-read mapping to repetitive reference sequences using Winnowmap2. Nat. Methods 19, 705–710 (2022).</w:t>
      </w:r>
    </w:p>
    <w:p w14:paraId="50BB8248" w14:textId="77777777" w:rsidR="009F6B29" w:rsidRPr="000B0CA8" w:rsidRDefault="009F6B29" w:rsidP="005E52C3">
      <w:pPr>
        <w:pStyle w:val="ad"/>
        <w:spacing w:line="240" w:lineRule="auto"/>
        <w:rPr>
          <w:sz w:val="20"/>
          <w:szCs w:val="28"/>
        </w:rPr>
      </w:pPr>
      <w:r w:rsidRPr="000B0CA8">
        <w:rPr>
          <w:sz w:val="20"/>
          <w:szCs w:val="28"/>
        </w:rPr>
        <w:t>14.</w:t>
      </w:r>
      <w:r w:rsidRPr="000B0CA8">
        <w:rPr>
          <w:sz w:val="20"/>
          <w:szCs w:val="28"/>
        </w:rPr>
        <w:tab/>
        <w:t>Jiang, T., Liu, S., Cao, S. &amp; Wang, Y. Structural Variant Detection from Long-Read Sequencing Data with cuteSV. Methods Mol. Biol. Clifton NJ 2493, 137–151 (2022).</w:t>
      </w:r>
    </w:p>
    <w:p w14:paraId="4481D83A" w14:textId="77777777" w:rsidR="009F6B29" w:rsidRPr="000B0CA8" w:rsidRDefault="009F6B29" w:rsidP="005E52C3">
      <w:pPr>
        <w:pStyle w:val="ad"/>
        <w:spacing w:line="240" w:lineRule="auto"/>
        <w:rPr>
          <w:sz w:val="20"/>
          <w:szCs w:val="28"/>
        </w:rPr>
      </w:pPr>
      <w:r w:rsidRPr="000B0CA8">
        <w:rPr>
          <w:sz w:val="20"/>
          <w:szCs w:val="28"/>
        </w:rPr>
        <w:t>15.</w:t>
      </w:r>
      <w:r w:rsidRPr="000B0CA8">
        <w:rPr>
          <w:sz w:val="20"/>
          <w:szCs w:val="28"/>
        </w:rPr>
        <w:tab/>
        <w:t>Chen, Y. et al. Deciphering the exact breakpoints of structural variations using long sequencing reads with DeBreak. Nat. Commun. 14, 283 (2023).</w:t>
      </w:r>
    </w:p>
    <w:p w14:paraId="4450FB44" w14:textId="77777777" w:rsidR="009F6B29" w:rsidRPr="000B0CA8" w:rsidRDefault="009F6B29" w:rsidP="005E52C3">
      <w:pPr>
        <w:pStyle w:val="ad"/>
        <w:spacing w:line="240" w:lineRule="auto"/>
        <w:rPr>
          <w:sz w:val="20"/>
          <w:szCs w:val="28"/>
        </w:rPr>
      </w:pPr>
      <w:r w:rsidRPr="000B0CA8">
        <w:rPr>
          <w:sz w:val="20"/>
          <w:szCs w:val="28"/>
        </w:rPr>
        <w:t>16.</w:t>
      </w:r>
      <w:r w:rsidRPr="000B0CA8">
        <w:rPr>
          <w:sz w:val="20"/>
          <w:szCs w:val="28"/>
        </w:rPr>
        <w:tab/>
        <w:t>Rausch, T. et al. DELLY: structural variant discovery by integrated paired-end and split-read analysis. Bioinforma. Oxf. Engl. 28, i333–i339 (2012).</w:t>
      </w:r>
    </w:p>
    <w:p w14:paraId="71C44381" w14:textId="77777777" w:rsidR="009F6B29" w:rsidRPr="000B0CA8" w:rsidRDefault="009F6B29" w:rsidP="005E52C3">
      <w:pPr>
        <w:pStyle w:val="ad"/>
        <w:spacing w:line="240" w:lineRule="auto"/>
        <w:rPr>
          <w:sz w:val="20"/>
          <w:szCs w:val="28"/>
        </w:rPr>
      </w:pPr>
      <w:r w:rsidRPr="000B0CA8">
        <w:rPr>
          <w:sz w:val="20"/>
          <w:szCs w:val="28"/>
        </w:rPr>
        <w:t>17.</w:t>
      </w:r>
      <w:r w:rsidRPr="000B0CA8">
        <w:rPr>
          <w:sz w:val="20"/>
          <w:szCs w:val="28"/>
        </w:rPr>
        <w:tab/>
        <w:t>Tham, C. Y. et al. NanoVar: accurate characterization of patients’ genomic structural variants using low-depth nanopore sequencing. Genome Biol. 21, 56 (2020).</w:t>
      </w:r>
    </w:p>
    <w:p w14:paraId="115EA9F9" w14:textId="77777777" w:rsidR="009F6B29" w:rsidRPr="000B0CA8" w:rsidRDefault="009F6B29" w:rsidP="005E52C3">
      <w:pPr>
        <w:pStyle w:val="ad"/>
        <w:spacing w:line="240" w:lineRule="auto"/>
        <w:rPr>
          <w:sz w:val="20"/>
          <w:szCs w:val="28"/>
        </w:rPr>
      </w:pPr>
      <w:r w:rsidRPr="000B0CA8">
        <w:rPr>
          <w:sz w:val="20"/>
          <w:szCs w:val="28"/>
        </w:rPr>
        <w:t>18.</w:t>
      </w:r>
      <w:r w:rsidRPr="000B0CA8">
        <w:rPr>
          <w:sz w:val="20"/>
          <w:szCs w:val="28"/>
        </w:rPr>
        <w:tab/>
        <w:t>Cretu Stancu, M. et al. Mapping and phasing of structural variation in patient genomes using nanopore sequencing. Nat. Commun. 8, 1326 (2017).</w:t>
      </w:r>
    </w:p>
    <w:p w14:paraId="77AB5D8A" w14:textId="77777777" w:rsidR="009F6B29" w:rsidRPr="000B0CA8" w:rsidRDefault="009F6B29" w:rsidP="005E52C3">
      <w:pPr>
        <w:pStyle w:val="ad"/>
        <w:spacing w:line="240" w:lineRule="auto"/>
        <w:rPr>
          <w:sz w:val="20"/>
          <w:szCs w:val="28"/>
        </w:rPr>
      </w:pPr>
      <w:r w:rsidRPr="000B0CA8">
        <w:rPr>
          <w:sz w:val="20"/>
          <w:szCs w:val="28"/>
        </w:rPr>
        <w:t>19.</w:t>
      </w:r>
      <w:r w:rsidRPr="000B0CA8">
        <w:rPr>
          <w:sz w:val="20"/>
          <w:szCs w:val="28"/>
        </w:rPr>
        <w:tab/>
        <w:t>Gong, L. et al. Picky comprehensively detects high-resolution structural variants in nanopore long reads. Nat. Methods 15, 455–460 (2018).</w:t>
      </w:r>
    </w:p>
    <w:p w14:paraId="04307E28" w14:textId="77777777" w:rsidR="009F6B29" w:rsidRPr="000B0CA8" w:rsidRDefault="009F6B29" w:rsidP="005E52C3">
      <w:pPr>
        <w:pStyle w:val="ad"/>
        <w:spacing w:line="240" w:lineRule="auto"/>
        <w:rPr>
          <w:sz w:val="20"/>
          <w:szCs w:val="28"/>
        </w:rPr>
      </w:pPr>
      <w:r w:rsidRPr="000B0CA8">
        <w:rPr>
          <w:sz w:val="20"/>
          <w:szCs w:val="28"/>
        </w:rPr>
        <w:t>20.</w:t>
      </w:r>
      <w:r w:rsidRPr="000B0CA8">
        <w:rPr>
          <w:sz w:val="20"/>
          <w:szCs w:val="28"/>
        </w:rPr>
        <w:tab/>
        <w:t>Smolka, M. et al. Detection of mosaic and population-level structural variants with Sniffles2. Nat. Biotechnol. (2024) doi:10.1038/s41587-023-02024-y.</w:t>
      </w:r>
    </w:p>
    <w:p w14:paraId="53648425" w14:textId="77777777" w:rsidR="009F6B29" w:rsidRPr="000B0CA8" w:rsidRDefault="009F6B29" w:rsidP="005E52C3">
      <w:pPr>
        <w:pStyle w:val="ad"/>
        <w:spacing w:line="240" w:lineRule="auto"/>
        <w:rPr>
          <w:sz w:val="20"/>
          <w:szCs w:val="28"/>
        </w:rPr>
      </w:pPr>
      <w:r w:rsidRPr="000B0CA8">
        <w:rPr>
          <w:sz w:val="20"/>
          <w:szCs w:val="28"/>
        </w:rPr>
        <w:t>21.</w:t>
      </w:r>
      <w:r w:rsidRPr="000B0CA8">
        <w:rPr>
          <w:sz w:val="20"/>
          <w:szCs w:val="28"/>
        </w:rPr>
        <w:tab/>
        <w:t xml:space="preserve">Heller, D. &amp; Vingron, M. SVIM: structural variant identification using mapped long reads. </w:t>
      </w:r>
      <w:r w:rsidRPr="000B0CA8">
        <w:rPr>
          <w:sz w:val="20"/>
          <w:szCs w:val="28"/>
        </w:rPr>
        <w:lastRenderedPageBreak/>
        <w:t>Bioinforma. Oxf. Engl. 35, 2907–2915 (2019).</w:t>
      </w:r>
    </w:p>
    <w:p w14:paraId="522E6172" w14:textId="77777777" w:rsidR="009F6B29" w:rsidRPr="000B0CA8" w:rsidRDefault="009F6B29" w:rsidP="005E52C3">
      <w:pPr>
        <w:pStyle w:val="ad"/>
        <w:spacing w:line="240" w:lineRule="auto"/>
        <w:rPr>
          <w:sz w:val="20"/>
          <w:szCs w:val="28"/>
        </w:rPr>
      </w:pPr>
      <w:r w:rsidRPr="000B0CA8">
        <w:rPr>
          <w:sz w:val="20"/>
          <w:szCs w:val="28"/>
        </w:rPr>
        <w:t>22.</w:t>
      </w:r>
      <w:r w:rsidRPr="000B0CA8">
        <w:rPr>
          <w:sz w:val="20"/>
          <w:szCs w:val="28"/>
        </w:rPr>
        <w:tab/>
        <w:t>Lin, J. et al. SVision: a deep learning approach to resolve complex structural variants. Nat. Methods 19, 1230–1233 (2022).</w:t>
      </w:r>
    </w:p>
    <w:p w14:paraId="585D42BB" w14:textId="77777777" w:rsidR="009F6B29" w:rsidRPr="000B0CA8" w:rsidRDefault="009F6B29" w:rsidP="005E52C3">
      <w:pPr>
        <w:pStyle w:val="ad"/>
        <w:spacing w:line="240" w:lineRule="auto"/>
        <w:rPr>
          <w:sz w:val="20"/>
          <w:szCs w:val="28"/>
        </w:rPr>
      </w:pPr>
      <w:r w:rsidRPr="000B0CA8">
        <w:rPr>
          <w:sz w:val="20"/>
          <w:szCs w:val="28"/>
        </w:rPr>
        <w:t>23.</w:t>
      </w:r>
      <w:r w:rsidRPr="000B0CA8">
        <w:rPr>
          <w:sz w:val="20"/>
          <w:szCs w:val="28"/>
        </w:rPr>
        <w:tab/>
        <w:t>Fishilevich, S. et al. GeneHancer: genome-wide integration of enhancers and target genes in GeneCards. Database J. Biol. Databases Curation 2017, bax028 (2017).</w:t>
      </w:r>
    </w:p>
    <w:p w14:paraId="0CD5E47E" w14:textId="77777777" w:rsidR="009F6B29" w:rsidRPr="000B0CA8" w:rsidRDefault="009F6B29" w:rsidP="005E52C3">
      <w:pPr>
        <w:pStyle w:val="ad"/>
        <w:spacing w:line="240" w:lineRule="auto"/>
        <w:rPr>
          <w:sz w:val="20"/>
          <w:szCs w:val="28"/>
        </w:rPr>
      </w:pPr>
      <w:r w:rsidRPr="000B0CA8">
        <w:rPr>
          <w:sz w:val="20"/>
          <w:szCs w:val="28"/>
        </w:rPr>
        <w:t>24.</w:t>
      </w:r>
      <w:r w:rsidRPr="000B0CA8">
        <w:rPr>
          <w:sz w:val="20"/>
          <w:szCs w:val="28"/>
        </w:rPr>
        <w:tab/>
        <w:t>Geoffroy, V. et al. AnnotSV: an integrated tool for structural variations annotation. Bioinforma. Oxf. Engl. 34, 3572–3574 (2018).</w:t>
      </w:r>
    </w:p>
    <w:p w14:paraId="04AB601D" w14:textId="77777777" w:rsidR="009F6B29" w:rsidRPr="000B0CA8" w:rsidRDefault="009F6B29" w:rsidP="005E52C3">
      <w:pPr>
        <w:pStyle w:val="ad"/>
        <w:spacing w:line="240" w:lineRule="auto"/>
        <w:rPr>
          <w:sz w:val="20"/>
          <w:szCs w:val="28"/>
        </w:rPr>
      </w:pPr>
      <w:r w:rsidRPr="000B0CA8">
        <w:rPr>
          <w:sz w:val="20"/>
          <w:szCs w:val="28"/>
        </w:rPr>
        <w:t>25.</w:t>
      </w:r>
      <w:r w:rsidRPr="000B0CA8">
        <w:rPr>
          <w:sz w:val="20"/>
          <w:szCs w:val="28"/>
        </w:rPr>
        <w:tab/>
        <w:t>Gao, T. &amp; Qian, J. EnhancerAtlas 2.0: an updated resource with enhancer annotation in 586 tissue/cell types across nine species. Nucleic Acids Res. 48, D58–D64 (2020).</w:t>
      </w:r>
    </w:p>
    <w:p w14:paraId="3D92DDB3" w14:textId="77777777" w:rsidR="009F6B29" w:rsidRPr="000B0CA8" w:rsidRDefault="009F6B29" w:rsidP="005E52C3">
      <w:pPr>
        <w:pStyle w:val="ad"/>
        <w:spacing w:line="240" w:lineRule="auto"/>
        <w:rPr>
          <w:sz w:val="20"/>
          <w:szCs w:val="28"/>
        </w:rPr>
      </w:pPr>
      <w:r w:rsidRPr="000B0CA8">
        <w:rPr>
          <w:sz w:val="20"/>
          <w:szCs w:val="28"/>
        </w:rPr>
        <w:t>26.</w:t>
      </w:r>
      <w:r w:rsidRPr="000B0CA8">
        <w:rPr>
          <w:sz w:val="20"/>
          <w:szCs w:val="28"/>
        </w:rPr>
        <w:tab/>
        <w:t>Kern, F. et al. miRTargetLink 2.0-interactive miRNA target gene and target pathway networks. Nucleic Acids Res. 49, W409–W416 (2021).</w:t>
      </w:r>
    </w:p>
    <w:p w14:paraId="464FF976" w14:textId="77777777" w:rsidR="009F6B29" w:rsidRPr="000B0CA8" w:rsidRDefault="009F6B29" w:rsidP="005E52C3">
      <w:pPr>
        <w:pStyle w:val="ad"/>
        <w:spacing w:line="240" w:lineRule="auto"/>
        <w:rPr>
          <w:sz w:val="20"/>
          <w:szCs w:val="28"/>
        </w:rPr>
      </w:pPr>
      <w:r w:rsidRPr="000B0CA8">
        <w:rPr>
          <w:sz w:val="20"/>
          <w:szCs w:val="28"/>
        </w:rPr>
        <w:t>27.</w:t>
      </w:r>
      <w:r w:rsidRPr="000B0CA8">
        <w:rPr>
          <w:sz w:val="20"/>
          <w:szCs w:val="28"/>
        </w:rPr>
        <w:tab/>
        <w:t>Nicholas, T. J., Cormier, M. J. &amp; Quinlan, A. R. Annotation of structural variants with reported allele frequencies and related metrics from multiple datasets using SVAFotate. BMC Bioinformatics 23, 490 (2022).</w:t>
      </w:r>
    </w:p>
    <w:p w14:paraId="0522111E" w14:textId="77777777" w:rsidR="009F6B29" w:rsidRPr="000B0CA8" w:rsidRDefault="009F6B29" w:rsidP="005E52C3">
      <w:pPr>
        <w:pStyle w:val="ad"/>
        <w:spacing w:line="240" w:lineRule="auto"/>
        <w:rPr>
          <w:sz w:val="20"/>
          <w:szCs w:val="28"/>
        </w:rPr>
      </w:pPr>
      <w:r w:rsidRPr="000B0CA8">
        <w:rPr>
          <w:sz w:val="20"/>
          <w:szCs w:val="28"/>
        </w:rPr>
        <w:t>28.</w:t>
      </w:r>
      <w:r w:rsidRPr="000B0CA8">
        <w:rPr>
          <w:sz w:val="20"/>
          <w:szCs w:val="28"/>
        </w:rPr>
        <w:tab/>
        <w:t>den Dunnen, J. T. &amp; Antonarakis, S. E. Nomenclature for the description of human sequence variations. Hum. Genet. 109, 121–124 (2001).</w:t>
      </w:r>
    </w:p>
    <w:p w14:paraId="11570AD3" w14:textId="6C70BCA6" w:rsidR="006B026F" w:rsidRPr="000B0CA8" w:rsidRDefault="009F6B29" w:rsidP="005E52C3">
      <w:pPr>
        <w:rPr>
          <w:sz w:val="20"/>
          <w:szCs w:val="28"/>
        </w:rPr>
      </w:pPr>
      <w:r w:rsidRPr="000B0CA8">
        <w:rPr>
          <w:sz w:val="20"/>
          <w:szCs w:val="28"/>
        </w:rPr>
        <w:fldChar w:fldCharType="end"/>
      </w:r>
    </w:p>
    <w:sectPr w:rsidR="006B026F" w:rsidRPr="000B0CA8" w:rsidSect="00677B6E">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342A" w14:textId="77777777" w:rsidR="007C7C02" w:rsidRDefault="007C7C02" w:rsidP="00D23990">
      <w:r>
        <w:separator/>
      </w:r>
    </w:p>
  </w:endnote>
  <w:endnote w:type="continuationSeparator" w:id="0">
    <w:p w14:paraId="13455D67" w14:textId="77777777" w:rsidR="007C7C02" w:rsidRDefault="007C7C02" w:rsidP="00D2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AEC3" w14:textId="77777777" w:rsidR="007C7C02" w:rsidRDefault="007C7C02" w:rsidP="00D23990">
      <w:r>
        <w:separator/>
      </w:r>
    </w:p>
  </w:footnote>
  <w:footnote w:type="continuationSeparator" w:id="0">
    <w:p w14:paraId="0E42CEB2" w14:textId="77777777" w:rsidR="007C7C02" w:rsidRDefault="007C7C02" w:rsidP="00D2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F4B"/>
    <w:multiLevelType w:val="hybridMultilevel"/>
    <w:tmpl w:val="979A70D8"/>
    <w:lvl w:ilvl="0" w:tplc="6A781F62">
      <w:start w:val="1"/>
      <w:numFmt w:val="decimal"/>
      <w:lvlText w:val="%1."/>
      <w:lvlJc w:val="left"/>
      <w:pPr>
        <w:ind w:left="360" w:hanging="36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9414FF"/>
    <w:multiLevelType w:val="hybridMultilevel"/>
    <w:tmpl w:val="862CD1FE"/>
    <w:lvl w:ilvl="0" w:tplc="E4DC7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591FE7"/>
    <w:multiLevelType w:val="hybridMultilevel"/>
    <w:tmpl w:val="8BAA74FA"/>
    <w:lvl w:ilvl="0" w:tplc="E202F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3C3EAA"/>
    <w:multiLevelType w:val="hybridMultilevel"/>
    <w:tmpl w:val="C7BADCE0"/>
    <w:lvl w:ilvl="0" w:tplc="596E2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830B40"/>
    <w:multiLevelType w:val="hybridMultilevel"/>
    <w:tmpl w:val="38A8E310"/>
    <w:lvl w:ilvl="0" w:tplc="D1D44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42229443">
    <w:abstractNumId w:val="2"/>
  </w:num>
  <w:num w:numId="2" w16cid:durableId="1599867191">
    <w:abstractNumId w:val="4"/>
  </w:num>
  <w:num w:numId="3" w16cid:durableId="690226174">
    <w:abstractNumId w:val="0"/>
  </w:num>
  <w:num w:numId="4" w16cid:durableId="1982152526">
    <w:abstractNumId w:val="3"/>
  </w:num>
  <w:num w:numId="5" w16cid:durableId="121342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displayBackgroundShape/>
  <w:bordersDoNotSurroundHeader/>
  <w:bordersDoNotSurroundFooter/>
  <w:hideSpellingErrors/>
  <w:hideGrammaticalErrors/>
  <w:proofState w:spelling="clean" w:grammar="clean"/>
  <w:trackRevisions/>
  <w:defaultTabStop w:val="7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MDU1NzczMTMyszRT0lEKTi0uzszPAykwNK4FAPdjwywtAAAA"/>
  </w:docVars>
  <w:rsids>
    <w:rsidRoot w:val="001F2EDE"/>
    <w:rsid w:val="0000010A"/>
    <w:rsid w:val="0003520B"/>
    <w:rsid w:val="000416D9"/>
    <w:rsid w:val="00055A48"/>
    <w:rsid w:val="000A1A0D"/>
    <w:rsid w:val="000A23A1"/>
    <w:rsid w:val="000B0CA8"/>
    <w:rsid w:val="000B4A27"/>
    <w:rsid w:val="000F28B8"/>
    <w:rsid w:val="00114D3C"/>
    <w:rsid w:val="00116ED6"/>
    <w:rsid w:val="00132B27"/>
    <w:rsid w:val="0013638F"/>
    <w:rsid w:val="001473CD"/>
    <w:rsid w:val="0014765B"/>
    <w:rsid w:val="00150405"/>
    <w:rsid w:val="00177E97"/>
    <w:rsid w:val="001811C8"/>
    <w:rsid w:val="001B2B24"/>
    <w:rsid w:val="001E0EF1"/>
    <w:rsid w:val="001E422B"/>
    <w:rsid w:val="001F2EDE"/>
    <w:rsid w:val="00202FF8"/>
    <w:rsid w:val="0020488B"/>
    <w:rsid w:val="00230790"/>
    <w:rsid w:val="00245210"/>
    <w:rsid w:val="0024576B"/>
    <w:rsid w:val="002527F3"/>
    <w:rsid w:val="00257252"/>
    <w:rsid w:val="0029464A"/>
    <w:rsid w:val="00294E5E"/>
    <w:rsid w:val="002B2169"/>
    <w:rsid w:val="002D2AC0"/>
    <w:rsid w:val="002D6A9D"/>
    <w:rsid w:val="002D7111"/>
    <w:rsid w:val="002E4897"/>
    <w:rsid w:val="002F5056"/>
    <w:rsid w:val="00317011"/>
    <w:rsid w:val="00320A14"/>
    <w:rsid w:val="0033457B"/>
    <w:rsid w:val="003654F8"/>
    <w:rsid w:val="00365BAF"/>
    <w:rsid w:val="00392D53"/>
    <w:rsid w:val="003B4CF6"/>
    <w:rsid w:val="003C3DF8"/>
    <w:rsid w:val="003D2015"/>
    <w:rsid w:val="00412C0D"/>
    <w:rsid w:val="00453774"/>
    <w:rsid w:val="00465FAA"/>
    <w:rsid w:val="0047087D"/>
    <w:rsid w:val="0048487E"/>
    <w:rsid w:val="00491327"/>
    <w:rsid w:val="004D0CC0"/>
    <w:rsid w:val="004D51AF"/>
    <w:rsid w:val="004E2A80"/>
    <w:rsid w:val="004E7964"/>
    <w:rsid w:val="004F39A6"/>
    <w:rsid w:val="004F627A"/>
    <w:rsid w:val="00544E4E"/>
    <w:rsid w:val="005837F7"/>
    <w:rsid w:val="005863FE"/>
    <w:rsid w:val="0059158A"/>
    <w:rsid w:val="00596931"/>
    <w:rsid w:val="005E053D"/>
    <w:rsid w:val="005E454E"/>
    <w:rsid w:val="005E52C3"/>
    <w:rsid w:val="00606299"/>
    <w:rsid w:val="006213D5"/>
    <w:rsid w:val="006230D1"/>
    <w:rsid w:val="006309D1"/>
    <w:rsid w:val="00634C58"/>
    <w:rsid w:val="00636376"/>
    <w:rsid w:val="0067524A"/>
    <w:rsid w:val="00677B6E"/>
    <w:rsid w:val="0068279C"/>
    <w:rsid w:val="00687ABC"/>
    <w:rsid w:val="00691D66"/>
    <w:rsid w:val="00696F1B"/>
    <w:rsid w:val="006A4F40"/>
    <w:rsid w:val="006A556F"/>
    <w:rsid w:val="006A5B21"/>
    <w:rsid w:val="006B026F"/>
    <w:rsid w:val="006D04AB"/>
    <w:rsid w:val="006F0496"/>
    <w:rsid w:val="006F6C66"/>
    <w:rsid w:val="00722443"/>
    <w:rsid w:val="00725162"/>
    <w:rsid w:val="007304B9"/>
    <w:rsid w:val="00750218"/>
    <w:rsid w:val="0075445D"/>
    <w:rsid w:val="00754B2B"/>
    <w:rsid w:val="00761655"/>
    <w:rsid w:val="00766F2C"/>
    <w:rsid w:val="00767301"/>
    <w:rsid w:val="00771C56"/>
    <w:rsid w:val="00786C0B"/>
    <w:rsid w:val="00797307"/>
    <w:rsid w:val="007C7C02"/>
    <w:rsid w:val="007D01F7"/>
    <w:rsid w:val="007D4596"/>
    <w:rsid w:val="007F187E"/>
    <w:rsid w:val="00825312"/>
    <w:rsid w:val="00852B89"/>
    <w:rsid w:val="008733AC"/>
    <w:rsid w:val="00876BC9"/>
    <w:rsid w:val="008813F1"/>
    <w:rsid w:val="00881730"/>
    <w:rsid w:val="0088574F"/>
    <w:rsid w:val="0089477F"/>
    <w:rsid w:val="008C3FF6"/>
    <w:rsid w:val="008C4DA7"/>
    <w:rsid w:val="008D1A04"/>
    <w:rsid w:val="008D559E"/>
    <w:rsid w:val="00904FFB"/>
    <w:rsid w:val="00916C60"/>
    <w:rsid w:val="00916F9F"/>
    <w:rsid w:val="00930D77"/>
    <w:rsid w:val="00953335"/>
    <w:rsid w:val="00973CB5"/>
    <w:rsid w:val="00980BEB"/>
    <w:rsid w:val="009C0143"/>
    <w:rsid w:val="009C5E04"/>
    <w:rsid w:val="009D2BE0"/>
    <w:rsid w:val="009F6B29"/>
    <w:rsid w:val="00A02B48"/>
    <w:rsid w:val="00A1282D"/>
    <w:rsid w:val="00A25046"/>
    <w:rsid w:val="00A32B94"/>
    <w:rsid w:val="00A35BDC"/>
    <w:rsid w:val="00A558D4"/>
    <w:rsid w:val="00A654E6"/>
    <w:rsid w:val="00A82FA0"/>
    <w:rsid w:val="00A87E7B"/>
    <w:rsid w:val="00AA50D2"/>
    <w:rsid w:val="00AB10A5"/>
    <w:rsid w:val="00AB5648"/>
    <w:rsid w:val="00AC3090"/>
    <w:rsid w:val="00AD1BC5"/>
    <w:rsid w:val="00AD281D"/>
    <w:rsid w:val="00AD54BD"/>
    <w:rsid w:val="00AE3273"/>
    <w:rsid w:val="00AF465E"/>
    <w:rsid w:val="00B051E2"/>
    <w:rsid w:val="00B10BC1"/>
    <w:rsid w:val="00B1268F"/>
    <w:rsid w:val="00B26ED5"/>
    <w:rsid w:val="00B30B5E"/>
    <w:rsid w:val="00B310E9"/>
    <w:rsid w:val="00B47D44"/>
    <w:rsid w:val="00B63348"/>
    <w:rsid w:val="00B7751A"/>
    <w:rsid w:val="00B9268B"/>
    <w:rsid w:val="00BB50E9"/>
    <w:rsid w:val="00BC39E6"/>
    <w:rsid w:val="00BF27C1"/>
    <w:rsid w:val="00BF5A7A"/>
    <w:rsid w:val="00C02A33"/>
    <w:rsid w:val="00C106A5"/>
    <w:rsid w:val="00C70671"/>
    <w:rsid w:val="00C86F0B"/>
    <w:rsid w:val="00C903A9"/>
    <w:rsid w:val="00C91933"/>
    <w:rsid w:val="00CB644A"/>
    <w:rsid w:val="00CC3FD9"/>
    <w:rsid w:val="00CC48A9"/>
    <w:rsid w:val="00CC58CD"/>
    <w:rsid w:val="00CE4A78"/>
    <w:rsid w:val="00CE5E20"/>
    <w:rsid w:val="00CF4655"/>
    <w:rsid w:val="00D106D5"/>
    <w:rsid w:val="00D13F2E"/>
    <w:rsid w:val="00D16D51"/>
    <w:rsid w:val="00D23990"/>
    <w:rsid w:val="00D52C47"/>
    <w:rsid w:val="00D555AA"/>
    <w:rsid w:val="00D719ED"/>
    <w:rsid w:val="00D91502"/>
    <w:rsid w:val="00D9215C"/>
    <w:rsid w:val="00D95572"/>
    <w:rsid w:val="00DC3E8E"/>
    <w:rsid w:val="00DE49E5"/>
    <w:rsid w:val="00DF594B"/>
    <w:rsid w:val="00E01555"/>
    <w:rsid w:val="00E14287"/>
    <w:rsid w:val="00E35E54"/>
    <w:rsid w:val="00E37E27"/>
    <w:rsid w:val="00E57A19"/>
    <w:rsid w:val="00E60FA0"/>
    <w:rsid w:val="00E71B3E"/>
    <w:rsid w:val="00E77669"/>
    <w:rsid w:val="00E80741"/>
    <w:rsid w:val="00E96B71"/>
    <w:rsid w:val="00EA60BE"/>
    <w:rsid w:val="00EB7E09"/>
    <w:rsid w:val="00EC653C"/>
    <w:rsid w:val="00ED3BC2"/>
    <w:rsid w:val="00ED44B6"/>
    <w:rsid w:val="00EE2402"/>
    <w:rsid w:val="00EF66D7"/>
    <w:rsid w:val="00F139B1"/>
    <w:rsid w:val="00F24674"/>
    <w:rsid w:val="00F32A39"/>
    <w:rsid w:val="00F455C2"/>
    <w:rsid w:val="00F524A8"/>
    <w:rsid w:val="00F7564E"/>
    <w:rsid w:val="00F937F2"/>
    <w:rsid w:val="00FA7C65"/>
    <w:rsid w:val="00FB3314"/>
    <w:rsid w:val="00FC34CA"/>
    <w:rsid w:val="00FD4A49"/>
    <w:rsid w:val="00FE4543"/>
    <w:rsid w:val="00FF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DF86"/>
  <w15:chartTrackingRefBased/>
  <w15:docId w15:val="{C24057F8-2860-4A79-BEBF-B4E5264F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A33"/>
    <w:pPr>
      <w:widowControl w:val="0"/>
      <w:jc w:val="both"/>
    </w:pPr>
    <w:rPr>
      <w:rFonts w:ascii="Arial" w:hAnsi="Arial" w:cs="Arial"/>
      <w:sz w:val="18"/>
      <w:szCs w:val="24"/>
    </w:rPr>
  </w:style>
  <w:style w:type="paragraph" w:styleId="1">
    <w:name w:val="heading 1"/>
    <w:basedOn w:val="a"/>
    <w:next w:val="a"/>
    <w:link w:val="10"/>
    <w:uiPriority w:val="9"/>
    <w:qFormat/>
    <w:rsid w:val="00CB644A"/>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6213D5"/>
    <w:pPr>
      <w:keepLines/>
      <w:pageBreakBefore/>
      <w:spacing w:afterLines="100" w:after="100"/>
      <w:outlineLvl w:val="2"/>
    </w:pPr>
    <w:rPr>
      <w:rFonts w:ascii="Times New Roman" w:hAnsi="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6213D5"/>
    <w:rPr>
      <w:rFonts w:ascii="Times New Roman" w:hAnsi="Times New Roman" w:cs="Times New Roman"/>
      <w:b/>
      <w:bCs/>
      <w:sz w:val="24"/>
      <w:szCs w:val="24"/>
    </w:rPr>
  </w:style>
  <w:style w:type="paragraph" w:styleId="a3">
    <w:name w:val="header"/>
    <w:basedOn w:val="a"/>
    <w:link w:val="a4"/>
    <w:uiPriority w:val="99"/>
    <w:unhideWhenUsed/>
    <w:rsid w:val="00D23990"/>
    <w:pPr>
      <w:pBdr>
        <w:bottom w:val="single" w:sz="6" w:space="1" w:color="auto"/>
      </w:pBdr>
      <w:tabs>
        <w:tab w:val="center" w:pos="4153"/>
        <w:tab w:val="right" w:pos="8306"/>
      </w:tabs>
      <w:snapToGrid w:val="0"/>
      <w:jc w:val="center"/>
    </w:pPr>
    <w:rPr>
      <w:szCs w:val="18"/>
    </w:rPr>
  </w:style>
  <w:style w:type="character" w:customStyle="1" w:styleId="a4">
    <w:name w:val="页眉 字符"/>
    <w:basedOn w:val="a0"/>
    <w:link w:val="a3"/>
    <w:uiPriority w:val="99"/>
    <w:rsid w:val="00D23990"/>
    <w:rPr>
      <w:rFonts w:ascii="Arial" w:hAnsi="Arial" w:cs="Arial"/>
      <w:sz w:val="18"/>
      <w:szCs w:val="18"/>
    </w:rPr>
  </w:style>
  <w:style w:type="paragraph" w:styleId="a5">
    <w:name w:val="footer"/>
    <w:basedOn w:val="a"/>
    <w:link w:val="a6"/>
    <w:uiPriority w:val="99"/>
    <w:unhideWhenUsed/>
    <w:rsid w:val="00D23990"/>
    <w:pPr>
      <w:tabs>
        <w:tab w:val="center" w:pos="4153"/>
        <w:tab w:val="right" w:pos="8306"/>
      </w:tabs>
      <w:snapToGrid w:val="0"/>
      <w:jc w:val="left"/>
    </w:pPr>
    <w:rPr>
      <w:szCs w:val="18"/>
    </w:rPr>
  </w:style>
  <w:style w:type="character" w:customStyle="1" w:styleId="a6">
    <w:name w:val="页脚 字符"/>
    <w:basedOn w:val="a0"/>
    <w:link w:val="a5"/>
    <w:uiPriority w:val="99"/>
    <w:rsid w:val="00D23990"/>
    <w:rPr>
      <w:rFonts w:ascii="Arial" w:hAnsi="Arial" w:cs="Arial"/>
      <w:sz w:val="18"/>
      <w:szCs w:val="18"/>
    </w:rPr>
  </w:style>
  <w:style w:type="table" w:customStyle="1" w:styleId="11">
    <w:name w:val="网格型1"/>
    <w:basedOn w:val="a1"/>
    <w:next w:val="a7"/>
    <w:uiPriority w:val="39"/>
    <w:rsid w:val="009C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C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9C5E04"/>
  </w:style>
  <w:style w:type="table" w:styleId="a9">
    <w:name w:val="Light List"/>
    <w:basedOn w:val="a1"/>
    <w:uiPriority w:val="99"/>
    <w:semiHidden/>
    <w:unhideWhenUsed/>
    <w:rsid w:val="007D4596"/>
    <w:rPr>
      <w:rFonts w:ascii="Times New Roman" w:eastAsia="Times New Roman" w:hAnsi="Times New Roman" w:cs="Times New Roman"/>
      <w:kern w:val="0"/>
      <w:sz w:val="22"/>
    </w:rPr>
    <w:tblPr>
      <w:tblInd w:w="0" w:type="nil"/>
      <w:tblBorders>
        <w:top w:val="single" w:sz="8" w:space="0" w:color="000000"/>
        <w:left w:val="single" w:sz="8" w:space="0" w:color="000000"/>
        <w:bottom w:val="single" w:sz="8" w:space="0" w:color="000000"/>
        <w:right w:val="single" w:sz="8" w:space="0" w:color="000000"/>
      </w:tblBorders>
    </w:tblPr>
    <w:tblStylePr w:type="firstRow">
      <w:rPr>
        <w:rFonts w:ascii="Times New Roman" w:hAnsi="Times New Roman" w:cs="Times New Roman" w:hint="default"/>
        <w:b/>
        <w:bCs/>
        <w:color w:val="FFFFFF"/>
      </w:rPr>
      <w:tblPr/>
      <w:tcPr>
        <w:shd w:val="clear" w:color="auto" w:fill="000000"/>
      </w:tcPr>
    </w:tblStylePr>
    <w:tblStylePr w:type="lastRow">
      <w:rPr>
        <w:rFonts w:ascii="Times New Roman" w:hAnsi="Times New Roman" w:cs="Times New Roman" w:hint="default"/>
        <w:b/>
        <w:bCs/>
      </w:rPr>
      <w:tblPr/>
      <w:tcPr>
        <w:tcBorders>
          <w:top w:val="double" w:sz="2"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basedOn w:val="a0"/>
    <w:link w:val="1"/>
    <w:uiPriority w:val="9"/>
    <w:rsid w:val="00CB644A"/>
    <w:rPr>
      <w:rFonts w:ascii="Arial" w:hAnsi="Arial" w:cs="Arial"/>
      <w:b/>
      <w:bCs/>
      <w:kern w:val="44"/>
      <w:sz w:val="44"/>
      <w:szCs w:val="44"/>
    </w:rPr>
  </w:style>
  <w:style w:type="paragraph" w:styleId="TOC">
    <w:name w:val="TOC Heading"/>
    <w:basedOn w:val="1"/>
    <w:next w:val="a"/>
    <w:uiPriority w:val="39"/>
    <w:unhideWhenUsed/>
    <w:qFormat/>
    <w:rsid w:val="00CB644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CB644A"/>
    <w:pPr>
      <w:widowControl/>
      <w:spacing w:after="100" w:line="259" w:lineRule="auto"/>
      <w:ind w:left="220"/>
      <w:jc w:val="left"/>
    </w:pPr>
    <w:rPr>
      <w:rFonts w:asciiTheme="minorHAnsi" w:hAnsiTheme="minorHAnsi" w:cs="Times New Roman"/>
      <w:kern w:val="0"/>
      <w:sz w:val="22"/>
      <w:szCs w:val="22"/>
    </w:rPr>
  </w:style>
  <w:style w:type="paragraph" w:styleId="TOC1">
    <w:name w:val="toc 1"/>
    <w:basedOn w:val="a"/>
    <w:next w:val="a"/>
    <w:autoRedefine/>
    <w:uiPriority w:val="39"/>
    <w:unhideWhenUsed/>
    <w:rsid w:val="00CB644A"/>
    <w:pPr>
      <w:widowControl/>
      <w:spacing w:after="100" w:line="259" w:lineRule="auto"/>
      <w:jc w:val="left"/>
    </w:pPr>
    <w:rPr>
      <w:rFonts w:asciiTheme="minorHAnsi" w:hAnsiTheme="minorHAnsi" w:cs="Times New Roman"/>
      <w:kern w:val="0"/>
      <w:sz w:val="22"/>
      <w:szCs w:val="22"/>
    </w:rPr>
  </w:style>
  <w:style w:type="paragraph" w:styleId="TOC3">
    <w:name w:val="toc 3"/>
    <w:basedOn w:val="a"/>
    <w:next w:val="a"/>
    <w:autoRedefine/>
    <w:uiPriority w:val="39"/>
    <w:unhideWhenUsed/>
    <w:rsid w:val="00CB644A"/>
    <w:pPr>
      <w:widowControl/>
      <w:spacing w:after="100" w:line="259" w:lineRule="auto"/>
      <w:ind w:left="440"/>
      <w:jc w:val="left"/>
    </w:pPr>
    <w:rPr>
      <w:rFonts w:asciiTheme="minorHAnsi" w:hAnsiTheme="minorHAnsi" w:cs="Times New Roman"/>
      <w:kern w:val="0"/>
      <w:sz w:val="22"/>
      <w:szCs w:val="22"/>
    </w:rPr>
  </w:style>
  <w:style w:type="paragraph" w:styleId="aa">
    <w:name w:val="List Paragraph"/>
    <w:basedOn w:val="a"/>
    <w:uiPriority w:val="34"/>
    <w:qFormat/>
    <w:rsid w:val="00881730"/>
    <w:pPr>
      <w:ind w:firstLineChars="200" w:firstLine="420"/>
    </w:pPr>
  </w:style>
  <w:style w:type="character" w:styleId="ab">
    <w:name w:val="Hyperlink"/>
    <w:basedOn w:val="a0"/>
    <w:uiPriority w:val="99"/>
    <w:unhideWhenUsed/>
    <w:rsid w:val="006D04AB"/>
    <w:rPr>
      <w:color w:val="0563C1" w:themeColor="hyperlink"/>
      <w:u w:val="single"/>
    </w:rPr>
  </w:style>
  <w:style w:type="character" w:styleId="ac">
    <w:name w:val="Unresolved Mention"/>
    <w:basedOn w:val="a0"/>
    <w:uiPriority w:val="99"/>
    <w:semiHidden/>
    <w:unhideWhenUsed/>
    <w:rsid w:val="006D04AB"/>
    <w:rPr>
      <w:color w:val="605E5C"/>
      <w:shd w:val="clear" w:color="auto" w:fill="E1DFDD"/>
    </w:rPr>
  </w:style>
  <w:style w:type="paragraph" w:styleId="ad">
    <w:name w:val="Bibliography"/>
    <w:basedOn w:val="a"/>
    <w:next w:val="a"/>
    <w:uiPriority w:val="37"/>
    <w:unhideWhenUsed/>
    <w:rsid w:val="009F6B29"/>
    <w:pPr>
      <w:tabs>
        <w:tab w:val="left" w:pos="384"/>
      </w:tabs>
      <w:spacing w:line="480" w:lineRule="auto"/>
      <w:ind w:left="384" w:hanging="384"/>
    </w:pPr>
  </w:style>
  <w:style w:type="character" w:styleId="ae">
    <w:name w:val="annotation reference"/>
    <w:basedOn w:val="a0"/>
    <w:uiPriority w:val="99"/>
    <w:semiHidden/>
    <w:unhideWhenUsed/>
    <w:rsid w:val="006213D5"/>
    <w:rPr>
      <w:sz w:val="21"/>
      <w:szCs w:val="21"/>
    </w:rPr>
  </w:style>
  <w:style w:type="paragraph" w:styleId="af">
    <w:name w:val="annotation text"/>
    <w:basedOn w:val="a"/>
    <w:link w:val="af0"/>
    <w:uiPriority w:val="99"/>
    <w:semiHidden/>
    <w:unhideWhenUsed/>
    <w:rsid w:val="006213D5"/>
    <w:pPr>
      <w:jc w:val="left"/>
    </w:pPr>
  </w:style>
  <w:style w:type="character" w:customStyle="1" w:styleId="af0">
    <w:name w:val="批注文字 字符"/>
    <w:basedOn w:val="a0"/>
    <w:link w:val="af"/>
    <w:uiPriority w:val="99"/>
    <w:semiHidden/>
    <w:rsid w:val="006213D5"/>
    <w:rPr>
      <w:rFonts w:ascii="Arial" w:hAnsi="Arial" w:cs="Arial"/>
      <w:sz w:val="18"/>
      <w:szCs w:val="24"/>
    </w:rPr>
  </w:style>
  <w:style w:type="paragraph" w:styleId="af1">
    <w:name w:val="annotation subject"/>
    <w:basedOn w:val="af"/>
    <w:next w:val="af"/>
    <w:link w:val="af2"/>
    <w:uiPriority w:val="99"/>
    <w:semiHidden/>
    <w:unhideWhenUsed/>
    <w:rsid w:val="006213D5"/>
    <w:rPr>
      <w:b/>
      <w:bCs/>
    </w:rPr>
  </w:style>
  <w:style w:type="character" w:customStyle="1" w:styleId="af2">
    <w:name w:val="批注主题 字符"/>
    <w:basedOn w:val="af0"/>
    <w:link w:val="af1"/>
    <w:uiPriority w:val="99"/>
    <w:semiHidden/>
    <w:rsid w:val="006213D5"/>
    <w:rPr>
      <w:rFonts w:ascii="Arial" w:hAnsi="Arial" w:cs="Arial"/>
      <w:b/>
      <w:bCs/>
      <w:sz w:val="18"/>
      <w:szCs w:val="24"/>
    </w:rPr>
  </w:style>
  <w:style w:type="character" w:styleId="af3">
    <w:name w:val="FollowedHyperlink"/>
    <w:basedOn w:val="a0"/>
    <w:uiPriority w:val="99"/>
    <w:semiHidden/>
    <w:unhideWhenUsed/>
    <w:rsid w:val="006213D5"/>
    <w:rPr>
      <w:color w:val="954F72" w:themeColor="followedHyperlink"/>
      <w:u w:val="single"/>
    </w:rPr>
  </w:style>
  <w:style w:type="paragraph" w:styleId="af4">
    <w:name w:val="caption"/>
    <w:basedOn w:val="a"/>
    <w:next w:val="a"/>
    <w:uiPriority w:val="35"/>
    <w:unhideWhenUsed/>
    <w:qFormat/>
    <w:rsid w:val="006F0496"/>
    <w:rPr>
      <w:rFonts w:asciiTheme="majorHAnsi" w:eastAsia="黑体" w:hAnsiTheme="majorHAnsi" w:cstheme="majorBidi"/>
      <w:sz w:val="20"/>
      <w:szCs w:val="20"/>
    </w:rPr>
  </w:style>
  <w:style w:type="paragraph" w:styleId="af5">
    <w:name w:val="Revision"/>
    <w:hidden/>
    <w:uiPriority w:val="99"/>
    <w:semiHidden/>
    <w:rsid w:val="001473CD"/>
    <w:rPr>
      <w:rFonts w:ascii="Arial" w:hAnsi="Arial" w:cs="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04548">
      <w:bodyDiv w:val="1"/>
      <w:marLeft w:val="0"/>
      <w:marRight w:val="0"/>
      <w:marTop w:val="0"/>
      <w:marBottom w:val="0"/>
      <w:divBdr>
        <w:top w:val="none" w:sz="0" w:space="0" w:color="auto"/>
        <w:left w:val="none" w:sz="0" w:space="0" w:color="auto"/>
        <w:bottom w:val="none" w:sz="0" w:space="0" w:color="auto"/>
        <w:right w:val="none" w:sz="0" w:space="0" w:color="auto"/>
      </w:divBdr>
    </w:div>
    <w:div w:id="928198055">
      <w:bodyDiv w:val="1"/>
      <w:marLeft w:val="0"/>
      <w:marRight w:val="0"/>
      <w:marTop w:val="0"/>
      <w:marBottom w:val="0"/>
      <w:divBdr>
        <w:top w:val="none" w:sz="0" w:space="0" w:color="auto"/>
        <w:left w:val="none" w:sz="0" w:space="0" w:color="auto"/>
        <w:bottom w:val="none" w:sz="0" w:space="0" w:color="auto"/>
        <w:right w:val="none" w:sz="0" w:space="0" w:color="auto"/>
      </w:divBdr>
    </w:div>
    <w:div w:id="1095781013">
      <w:bodyDiv w:val="1"/>
      <w:marLeft w:val="0"/>
      <w:marRight w:val="0"/>
      <w:marTop w:val="0"/>
      <w:marBottom w:val="0"/>
      <w:divBdr>
        <w:top w:val="none" w:sz="0" w:space="0" w:color="auto"/>
        <w:left w:val="none" w:sz="0" w:space="0" w:color="auto"/>
        <w:bottom w:val="none" w:sz="0" w:space="0" w:color="auto"/>
        <w:right w:val="none" w:sz="0" w:space="0" w:color="auto"/>
      </w:divBdr>
    </w:div>
    <w:div w:id="1218781231">
      <w:bodyDiv w:val="1"/>
      <w:marLeft w:val="0"/>
      <w:marRight w:val="0"/>
      <w:marTop w:val="0"/>
      <w:marBottom w:val="0"/>
      <w:divBdr>
        <w:top w:val="none" w:sz="0" w:space="0" w:color="auto"/>
        <w:left w:val="none" w:sz="0" w:space="0" w:color="auto"/>
        <w:bottom w:val="none" w:sz="0" w:space="0" w:color="auto"/>
        <w:right w:val="none" w:sz="0" w:space="0" w:color="auto"/>
      </w:divBdr>
    </w:div>
    <w:div w:id="19901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iuz-bio/SVPipelinesEvaluation/tree/main/BuildPipelines/Rule" TargetMode="External"/><Relationship Id="rId13" Type="http://schemas.openxmlformats.org/officeDocument/2006/relationships/hyperlink" Target="https://www.gencodegenes.org" TargetMode="External"/><Relationship Id="rId18" Type="http://schemas.openxmlformats.org/officeDocument/2006/relationships/hyperlink" Target="https://github.com/lgmgeo/AnnotSV/blob/master/bin/INSTALL_annotations.s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download.cse.ucsc.edu/goldenPath/hg19/database/refGene.txt.gz" TargetMode="External"/><Relationship Id="rId17" Type="http://schemas.openxmlformats.org/officeDocument/2006/relationships/hyperlink" Target="https://github.com/lgmgeo/AnnotSV/blob/master/bin/INSTALL_annotations.sh" TargetMode="External"/><Relationship Id="rId2" Type="http://schemas.openxmlformats.org/officeDocument/2006/relationships/numbering" Target="numbering.xml"/><Relationship Id="rId16" Type="http://schemas.openxmlformats.org/officeDocument/2006/relationships/hyperlink" Target="https://github.com/lgmgeo/AnnotSV/blob/master/bin/INSTALL_annotations.sh" TargetMode="External"/><Relationship Id="rId20" Type="http://schemas.openxmlformats.org/officeDocument/2006/relationships/hyperlink" Target="https://github.com/lgmgeo/AnnotSV/blob/master/bin/INSTALL_annotations.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download.cse.ucsc.edu/goldenpath/hg38/database/cytoBand.txt.gz" TargetMode="External"/><Relationship Id="rId5" Type="http://schemas.openxmlformats.org/officeDocument/2006/relationships/webSettings" Target="webSettings.xml"/><Relationship Id="rId15" Type="http://schemas.openxmlformats.org/officeDocument/2006/relationships/hyperlink" Target="https://www.genecards.org/Guide/DatasetRequest" TargetMode="External"/><Relationship Id="rId10" Type="http://schemas.openxmlformats.org/officeDocument/2006/relationships/hyperlink" Target="https://s3-us-west-2.amazonaws.com/human-pangenomics/index.html?prefix=working/HPRC_PLUS" TargetMode="External"/><Relationship Id="rId19" Type="http://schemas.openxmlformats.org/officeDocument/2006/relationships/hyperlink" Target="https://github.com/fakedrtom/SVAFotate/blob/master/supporting_data/SVAFotate_core_SV_popAFs.GRCh38.bed.gz" TargetMode="External"/><Relationship Id="rId4" Type="http://schemas.openxmlformats.org/officeDocument/2006/relationships/settings" Target="settings.xml"/><Relationship Id="rId9" Type="http://schemas.openxmlformats.org/officeDocument/2006/relationships/hyperlink" Target="https://s3-us-west-2.amazonaws.com/human-pangenomics/index.html?prefix=working/HPRC/" TargetMode="External"/><Relationship Id="rId14" Type="http://schemas.openxmlformats.org/officeDocument/2006/relationships/hyperlink" Target="http://hgdownload.cse.ucsc.edu/goldenPath/hg19/database/knownGene.txt.gz"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DB9E-7E15-4943-A2F0-DBD1E864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14122</Words>
  <Characters>80502</Characters>
  <Application>Microsoft Office Word</Application>
  <DocSecurity>0</DocSecurity>
  <Lines>670</Lines>
  <Paragraphs>188</Paragraphs>
  <ScaleCrop>false</ScaleCrop>
  <Company/>
  <LinksUpToDate>false</LinksUpToDate>
  <CharactersWithSpaces>94436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wenjiepeng</dc:creator>
  <cp:keywords/>
  <dc:description/>
  <cp:lastModifiedBy>Miaoxin Li</cp:lastModifiedBy>
  <cp:revision>23</cp:revision>
  <cp:lastPrinted>2025-04-17T14:33:00Z</cp:lastPrinted>
  <dcterms:created xsi:type="dcterms:W3CDTF">2024-08-20T02:39:00Z</dcterms:created>
  <dcterms:modified xsi:type="dcterms:W3CDTF">2025-04-30T13:28:00Z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15221874ad3a4048af5590c4ed1918d62a530f69992ede8b8d0393c7d2c11079</vt:lpwstr>
  </property>
  <property fmtid="{D5CDD505-2E9C-101B-9397-08002B2CF9AE}" pid="3" name="ZOTERO_PREF_1">
    <vt:lpwstr>&lt;data data-version="3" zotero-version="6.0.36"&gt;&lt;session id="fm8ZFufs"/&gt;&lt;style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