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77687">
      <w:pPr>
        <w:widowControl/>
        <w:rPr>
          <w:rFonts w:hint="eastAsia"/>
          <w:b/>
          <w:bCs/>
          <w:sz w:val="24"/>
          <w:szCs w:val="24"/>
        </w:rPr>
      </w:pPr>
      <w:r>
        <w:rPr>
          <w:rFonts w:hint="eastAsia"/>
          <w:b/>
          <w:bCs/>
          <w:sz w:val="24"/>
          <w:szCs w:val="24"/>
        </w:rPr>
        <w:t>Inoculum information</w:t>
      </w:r>
    </w:p>
    <w:p w14:paraId="243A64C3">
      <w:pPr>
        <w:widowControl/>
        <w:rPr>
          <w:rFonts w:hint="eastAsia"/>
          <w:sz w:val="24"/>
          <w:szCs w:val="24"/>
        </w:rPr>
      </w:pPr>
      <w:bookmarkStart w:id="0" w:name="OLE_LINK122"/>
      <w:r>
        <w:rPr>
          <w:rFonts w:hint="default" w:ascii="Times New Roman" w:hAnsi="Times New Roman" w:eastAsia="宋体" w:cs="Times New Roman"/>
          <w:kern w:val="2"/>
          <w:sz w:val="24"/>
          <w:szCs w:val="24"/>
          <w:lang w:val="en-US" w:eastAsia="zh-CN" w:bidi="ar"/>
        </w:rPr>
        <w:t>Arbuscular mycorrhizal</w:t>
      </w:r>
      <w:bookmarkEnd w:id="0"/>
      <w:r>
        <w:rPr>
          <w:rFonts w:hint="default" w:ascii="Times New Roman" w:hAnsi="Times New Roman" w:eastAsia="宋体" w:cs="Times New Roman"/>
          <w:kern w:val="2"/>
          <w:sz w:val="24"/>
          <w:szCs w:val="24"/>
          <w:lang w:val="en-US" w:eastAsia="zh-CN" w:bidi="ar"/>
        </w:rPr>
        <w:t xml:space="preserve"> fungi (AMF)</w:t>
      </w:r>
      <w:r>
        <w:rPr>
          <w:sz w:val="24"/>
          <w:szCs w:val="24"/>
        </w:rPr>
        <w:t xml:space="preserve"> inocul</w:t>
      </w:r>
      <w:r>
        <w:rPr>
          <w:rFonts w:hint="eastAsia"/>
          <w:sz w:val="24"/>
          <w:szCs w:val="24"/>
        </w:rPr>
        <w:t>um</w:t>
      </w:r>
      <w:r>
        <w:rPr>
          <w:sz w:val="24"/>
          <w:szCs w:val="24"/>
        </w:rPr>
        <w:t xml:space="preserve"> included</w:t>
      </w:r>
      <w:bookmarkStart w:id="1" w:name="OLE_LINK33"/>
      <w:r>
        <w:rPr>
          <w:sz w:val="24"/>
          <w:szCs w:val="24"/>
        </w:rPr>
        <w:t xml:space="preserve"> matrix</w:t>
      </w:r>
      <w:bookmarkEnd w:id="1"/>
      <w:r>
        <w:rPr>
          <w:sz w:val="24"/>
          <w:szCs w:val="24"/>
        </w:rPr>
        <w:t>, spores, mycelia and plant root segments, among which AM</w:t>
      </w:r>
      <w:r>
        <w:rPr>
          <w:rFonts w:hint="eastAsia"/>
          <w:sz w:val="24"/>
          <w:szCs w:val="24"/>
          <w:lang w:val="en-US" w:eastAsia="zh-CN"/>
        </w:rPr>
        <w:t>F</w:t>
      </w:r>
      <w:r>
        <w:rPr>
          <w:rFonts w:hint="eastAsia"/>
          <w:sz w:val="24"/>
          <w:szCs w:val="24"/>
        </w:rPr>
        <w:t xml:space="preserve"> </w:t>
      </w:r>
      <w:r>
        <w:rPr>
          <w:sz w:val="24"/>
          <w:szCs w:val="24"/>
        </w:rPr>
        <w:t>colonization was 60.86%, the hyphal length</w:t>
      </w:r>
      <w:r>
        <w:rPr>
          <w:rFonts w:hint="eastAsia"/>
          <w:sz w:val="24"/>
          <w:szCs w:val="24"/>
        </w:rPr>
        <w:t xml:space="preserve"> </w:t>
      </w:r>
      <w:r>
        <w:rPr>
          <w:sz w:val="24"/>
          <w:szCs w:val="24"/>
        </w:rPr>
        <w:t xml:space="preserve">density was 8.36 m/g, </w:t>
      </w:r>
      <w:r>
        <w:rPr>
          <w:rFonts w:hint="eastAsia"/>
          <w:sz w:val="24"/>
          <w:szCs w:val="24"/>
        </w:rPr>
        <w:t>the number of spores was 13 (spore/g). Soil DNA was extracted from 0.5 g of soil sample (fresh weight) using the PowerSoil®DNA Isolation Kit (MoBio Laboratories, Inc., Carlsbad, CA, USA) following the instructions of the manufacturer. A NanoDrop 8000 Ultramicro UV spectrophotometer (NanoDrop Technologies, Wilmington, DE, United States) was used to determine the quantity and purity of DNA samples. A two-step polymerase chain reaction (PCR) was performed to amplify the 18S ribosomal RNA (rRNA) gene. The PCR products were separated through a 1.5% agarose gel containing GelRedTM (Biotium) and purified with the AxyPrepDNA GEL Extraction Kit (Axygen, Union City, CA, USA), and quantified using a NanoDrop 8000. The purified products were pooled in equimolar amounts and then sequenced on the Illumina-MiSeq platform (Shanghai Magigene Inc., Shanghai, China). We used the Quantitative Insights into Microbial Ecology (QIIME v1.7.0) and the UPARSE pipeline to treat raw sequences. The operational taxonomic units (OTUs) were clustered at 97% similarity. Representative sequences were selected from each OTU. Sequences that had no match against the MaarjAM database were subjected to further BLAST search against the International Nucleotide Sequence Database (INSD) using the same parameters, but with a similarity threshold of 90% and alignment (Sepp et al., 2018). Alpha diversity metrics (richness) were calculated using the rarefied OTUs table. S</w:t>
      </w:r>
      <w:r>
        <w:rPr>
          <w:sz w:val="24"/>
          <w:szCs w:val="24"/>
        </w:rPr>
        <w:t>oil AM</w:t>
      </w:r>
      <w:r>
        <w:rPr>
          <w:rFonts w:hint="eastAsia"/>
          <w:sz w:val="24"/>
          <w:szCs w:val="24"/>
          <w:lang w:val="en-US" w:eastAsia="zh-CN"/>
        </w:rPr>
        <w:t>F</w:t>
      </w:r>
      <w:r>
        <w:rPr>
          <w:sz w:val="24"/>
          <w:szCs w:val="24"/>
        </w:rPr>
        <w:t xml:space="preserve"> OTU</w:t>
      </w:r>
      <w:r>
        <w:rPr>
          <w:rFonts w:hint="eastAsia"/>
          <w:sz w:val="24"/>
          <w:szCs w:val="24"/>
        </w:rPr>
        <w:t xml:space="preserve">s </w:t>
      </w:r>
      <w:r>
        <w:rPr>
          <w:sz w:val="24"/>
          <w:szCs w:val="24"/>
        </w:rPr>
        <w:t>richness was 99.6</w:t>
      </w:r>
      <w:r>
        <w:rPr>
          <w:rFonts w:hint="eastAsia"/>
          <w:sz w:val="24"/>
          <w:szCs w:val="24"/>
        </w:rPr>
        <w:t xml:space="preserve">; </w:t>
      </w:r>
      <w:r>
        <w:rPr>
          <w:sz w:val="24"/>
          <w:szCs w:val="24"/>
        </w:rPr>
        <w:t xml:space="preserve">the majority of the mycorrhizal fungal soil inoculum belonged to </w:t>
      </w:r>
      <w:bookmarkStart w:id="2" w:name="OLE_LINK142"/>
      <w:r>
        <w:rPr>
          <w:i/>
          <w:iCs/>
          <w:sz w:val="24"/>
          <w:szCs w:val="24"/>
        </w:rPr>
        <w:t>Claroideoglomus</w:t>
      </w:r>
      <w:bookmarkEnd w:id="2"/>
      <w:r>
        <w:rPr>
          <w:sz w:val="24"/>
          <w:szCs w:val="24"/>
        </w:rPr>
        <w:t xml:space="preserve"> (corresponding to 30.96% of the total) and </w:t>
      </w:r>
      <w:r>
        <w:rPr>
          <w:i/>
          <w:iCs/>
          <w:sz w:val="24"/>
          <w:szCs w:val="24"/>
        </w:rPr>
        <w:t>Septoglomus</w:t>
      </w:r>
      <w:r>
        <w:rPr>
          <w:rFonts w:hint="eastAsia"/>
          <w:i/>
          <w:iCs/>
          <w:sz w:val="24"/>
          <w:szCs w:val="24"/>
        </w:rPr>
        <w:t xml:space="preserve"> </w:t>
      </w:r>
      <w:r>
        <w:rPr>
          <w:sz w:val="24"/>
          <w:szCs w:val="24"/>
        </w:rPr>
        <w:t xml:space="preserve">(corresponding to 26.31% of the total) and </w:t>
      </w:r>
      <w:bookmarkStart w:id="3" w:name="OLE_LINK78"/>
      <w:r>
        <w:rPr>
          <w:i/>
          <w:iCs/>
          <w:sz w:val="24"/>
          <w:szCs w:val="24"/>
        </w:rPr>
        <w:t>Diversispora</w:t>
      </w:r>
      <w:bookmarkEnd w:id="3"/>
      <w:r>
        <w:rPr>
          <w:i/>
          <w:iCs/>
          <w:sz w:val="24"/>
          <w:szCs w:val="24"/>
        </w:rPr>
        <w:t xml:space="preserve"> </w:t>
      </w:r>
      <w:r>
        <w:rPr>
          <w:sz w:val="24"/>
          <w:szCs w:val="24"/>
        </w:rPr>
        <w:t xml:space="preserve">(corresponding to 21.62% of the total). </w:t>
      </w:r>
    </w:p>
    <w:p w14:paraId="629F4A78">
      <w:pPr>
        <w:widowControl/>
        <w:rPr>
          <w:rFonts w:hint="eastAsia"/>
          <w:sz w:val="24"/>
          <w:szCs w:val="24"/>
        </w:rPr>
      </w:pPr>
    </w:p>
    <w:p w14:paraId="2396F684">
      <w:pPr>
        <w:widowControl/>
        <w:ind w:left="0" w:leftChars="100"/>
        <w:jc w:val="left"/>
        <w:rPr>
          <w:rFonts w:hint="eastAsia"/>
          <w:sz w:val="24"/>
          <w:szCs w:val="24"/>
        </w:rPr>
      </w:pPr>
      <w:r>
        <w:rPr>
          <w:rFonts w:hint="eastAsia"/>
          <w:sz w:val="24"/>
          <w:szCs w:val="24"/>
        </w:rPr>
        <w:drawing>
          <wp:inline distT="0" distB="0" distL="114300" distR="114300">
            <wp:extent cx="3412490" cy="2327910"/>
            <wp:effectExtent l="0" t="0" r="1270" b="3810"/>
            <wp:docPr id="1" name="图片 1" descr="Grap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raph2"/>
                    <pic:cNvPicPr>
                      <a:picLocks noChangeAspect="1"/>
                    </pic:cNvPicPr>
                  </pic:nvPicPr>
                  <pic:blipFill>
                    <a:blip r:embed="rId4"/>
                    <a:srcRect l="18399" b="27286"/>
                    <a:stretch>
                      <a:fillRect/>
                    </a:stretch>
                  </pic:blipFill>
                  <pic:spPr>
                    <a:xfrm>
                      <a:off x="0" y="0"/>
                      <a:ext cx="3412490" cy="2327910"/>
                    </a:xfrm>
                    <a:prstGeom prst="rect">
                      <a:avLst/>
                    </a:prstGeom>
                    <a:noFill/>
                    <a:ln>
                      <a:noFill/>
                    </a:ln>
                  </pic:spPr>
                </pic:pic>
              </a:graphicData>
            </a:graphic>
          </wp:inline>
        </w:drawing>
      </w:r>
    </w:p>
    <w:p w14:paraId="689910C6">
      <w:pPr>
        <w:widowControl/>
        <w:ind w:leftChars="100"/>
        <w:rPr>
          <w:rFonts w:hint="eastAsia"/>
          <w:sz w:val="24"/>
          <w:szCs w:val="24"/>
        </w:rPr>
      </w:pPr>
      <w:r>
        <w:rPr>
          <w:rFonts w:hint="eastAsia"/>
          <w:b/>
          <w:bCs/>
          <w:szCs w:val="21"/>
        </w:rPr>
        <w:t>Fig. S1</w:t>
      </w:r>
      <w:r>
        <w:rPr>
          <w:rFonts w:hint="eastAsia"/>
          <w:b/>
          <w:bCs/>
          <w:szCs w:val="21"/>
          <w:lang w:val="en-US" w:eastAsia="zh-CN"/>
        </w:rPr>
        <w:t>.</w:t>
      </w:r>
      <w:r>
        <w:rPr>
          <w:rFonts w:hint="eastAsia"/>
          <w:szCs w:val="21"/>
        </w:rPr>
        <w:t xml:space="preserve"> Relative abundance (%, proportion of OTUs) of AMF genus in each soil inoculum.</w:t>
      </w:r>
    </w:p>
    <w:p w14:paraId="18E8453D">
      <w:pPr>
        <w:widowControl/>
        <w:rPr>
          <w:rFonts w:hint="eastAsia"/>
          <w:sz w:val="24"/>
          <w:szCs w:val="24"/>
        </w:rPr>
      </w:pPr>
    </w:p>
    <w:p w14:paraId="43EDB6BB">
      <w:pPr>
        <w:widowControl/>
        <w:ind w:leftChars="200"/>
        <w:jc w:val="both"/>
        <w:rPr>
          <w:rFonts w:hint="eastAsia"/>
        </w:rPr>
      </w:pPr>
    </w:p>
    <w:p w14:paraId="539D2EFD">
      <w:pPr>
        <w:widowControl/>
        <w:ind w:leftChars="200"/>
        <w:jc w:val="both"/>
        <w:rPr>
          <w:rFonts w:hint="eastAsia"/>
        </w:rPr>
      </w:pPr>
    </w:p>
    <w:p w14:paraId="633B79D1">
      <w:pPr>
        <w:widowControl/>
        <w:ind w:leftChars="200"/>
        <w:jc w:val="both"/>
        <w:rPr>
          <w:rFonts w:hint="eastAsia"/>
        </w:rPr>
      </w:pPr>
    </w:p>
    <w:p w14:paraId="56977AAF">
      <w:pPr>
        <w:widowControl/>
        <w:ind w:leftChars="200"/>
        <w:jc w:val="both"/>
        <w:rPr>
          <w:rFonts w:hint="eastAsia"/>
        </w:rPr>
      </w:pPr>
    </w:p>
    <w:p w14:paraId="7161B530">
      <w:pPr>
        <w:widowControl/>
        <w:ind w:left="0" w:leftChars="0"/>
        <w:jc w:val="both"/>
        <w:rPr>
          <w:rFonts w:hint="eastAsia"/>
        </w:rPr>
      </w:pPr>
    </w:p>
    <w:p w14:paraId="513D773F">
      <w:pPr>
        <w:widowControl/>
        <w:ind w:left="210" w:leftChars="100"/>
        <w:jc w:val="both"/>
        <w:rPr>
          <w:rFonts w:hint="eastAsia" w:eastAsia="宋体"/>
          <w:lang w:eastAsia="zh-CN"/>
        </w:rPr>
      </w:pPr>
      <w:bookmarkStart w:id="5" w:name="_GoBack"/>
      <w:r>
        <w:rPr>
          <w:rFonts w:hint="eastAsia" w:eastAsia="宋体"/>
          <w:lang w:eastAsia="zh-CN"/>
        </w:rPr>
        <w:drawing>
          <wp:inline distT="0" distB="0" distL="114300" distR="114300">
            <wp:extent cx="3053715" cy="2291080"/>
            <wp:effectExtent l="0" t="0" r="9525" b="10160"/>
            <wp:docPr id="6" name="图片 6" descr="C:/Users/sunjh/Desktop/微信图片_20241029084813.jpg微信图片_20241029084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sunjh/Desktop/微信图片_20241029084813.jpg微信图片_20241029084813"/>
                    <pic:cNvPicPr>
                      <a:picLocks noChangeAspect="1"/>
                    </pic:cNvPicPr>
                  </pic:nvPicPr>
                  <pic:blipFill>
                    <a:blip r:embed="rId5"/>
                    <a:srcRect l="42" r="42"/>
                    <a:stretch>
                      <a:fillRect/>
                    </a:stretch>
                  </pic:blipFill>
                  <pic:spPr>
                    <a:xfrm>
                      <a:off x="0" y="0"/>
                      <a:ext cx="3053715" cy="2291080"/>
                    </a:xfrm>
                    <a:prstGeom prst="rect">
                      <a:avLst/>
                    </a:prstGeom>
                  </pic:spPr>
                </pic:pic>
              </a:graphicData>
            </a:graphic>
          </wp:inline>
        </w:drawing>
      </w:r>
      <w:bookmarkEnd w:id="5"/>
    </w:p>
    <w:p w14:paraId="6A9E5809">
      <w:pPr>
        <w:widowControl/>
        <w:ind w:leftChars="100"/>
        <w:rPr>
          <w:rFonts w:hint="eastAsia"/>
          <w:szCs w:val="21"/>
        </w:rPr>
      </w:pPr>
      <w:r>
        <w:rPr>
          <w:rFonts w:hint="eastAsia"/>
          <w:b/>
          <w:bCs/>
        </w:rPr>
        <w:t>Fig. S2</w:t>
      </w:r>
      <w:r>
        <w:rPr>
          <w:rFonts w:hint="eastAsia"/>
          <w:b/>
          <w:bCs/>
          <w:lang w:val="en-US" w:eastAsia="zh-CN"/>
        </w:rPr>
        <w:t>.</w:t>
      </w:r>
      <w:r>
        <w:rPr>
          <w:rFonts w:hint="eastAsia"/>
        </w:rPr>
        <w:t xml:space="preserve"> </w:t>
      </w:r>
      <w:r>
        <w:rPr>
          <w:rFonts w:hint="default"/>
          <w:lang w:val="en-US" w:eastAsia="zh-CN"/>
        </w:rPr>
        <w:t>Arbuscular mycorrhizal fungi</w:t>
      </w:r>
      <w:r>
        <w:rPr>
          <w:rFonts w:hint="eastAsia" w:cs="Times New Roman"/>
          <w:kern w:val="2"/>
          <w:sz w:val="24"/>
          <w:szCs w:val="24"/>
          <w:lang w:val="en-US" w:eastAsia="zh-CN" w:bidi="ar"/>
        </w:rPr>
        <w:t xml:space="preserve"> </w:t>
      </w:r>
      <w:r>
        <w:rPr>
          <w:rFonts w:hint="eastAsia"/>
        </w:rPr>
        <w:t>colonization status</w:t>
      </w:r>
      <w:r>
        <w:rPr>
          <w:rFonts w:hint="eastAsia"/>
          <w:szCs w:val="21"/>
        </w:rPr>
        <w:t>.</w:t>
      </w:r>
    </w:p>
    <w:p w14:paraId="5EC8B3A4">
      <w:pPr>
        <w:widowControl/>
        <w:rPr>
          <w:rFonts w:hint="eastAsia"/>
          <w:szCs w:val="21"/>
        </w:rPr>
      </w:pPr>
    </w:p>
    <w:p w14:paraId="447828F5">
      <w:pPr>
        <w:spacing w:line="360" w:lineRule="auto"/>
        <w:ind w:left="315" w:leftChars="150"/>
        <w:jc w:val="center"/>
        <w:rPr>
          <w:rFonts w:hint="eastAsia"/>
          <w:szCs w:val="21"/>
        </w:rPr>
      </w:pPr>
      <w:r>
        <w:rPr>
          <w:rFonts w:hint="eastAsia"/>
          <w:b/>
          <w:bCs/>
          <w:szCs w:val="21"/>
        </w:rPr>
        <w:t>Table</w:t>
      </w:r>
      <w:r>
        <w:rPr>
          <w:b/>
          <w:bCs/>
          <w:szCs w:val="21"/>
        </w:rPr>
        <w:t xml:space="preserve"> S1.</w:t>
      </w:r>
      <w:r>
        <w:rPr>
          <w:szCs w:val="21"/>
        </w:rPr>
        <w:t xml:space="preserve"> </w:t>
      </w:r>
      <w:r>
        <w:rPr>
          <w:rFonts w:hint="eastAsia"/>
          <w:szCs w:val="21"/>
        </w:rPr>
        <w:t xml:space="preserve">The plant </w:t>
      </w:r>
      <w:r>
        <w:rPr>
          <w:rFonts w:hint="eastAsia"/>
          <w:szCs w:val="21"/>
          <w:vertAlign w:val="superscript"/>
        </w:rPr>
        <w:t>15</w:t>
      </w:r>
      <w:r>
        <w:rPr>
          <w:rFonts w:hint="eastAsia"/>
          <w:szCs w:val="21"/>
        </w:rPr>
        <w:t>N recovery (%) in HC and RHC under different N addition levels</w:t>
      </w:r>
    </w:p>
    <w:tbl>
      <w:tblPr>
        <w:tblStyle w:val="4"/>
        <w:tblpPr w:leftFromText="180" w:rightFromText="180" w:vertAnchor="text" w:horzAnchor="margin" w:tblpXSpec="center" w:tblpY="212"/>
        <w:tblOverlap w:val="never"/>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96"/>
        <w:gridCol w:w="1864"/>
        <w:gridCol w:w="2131"/>
        <w:gridCol w:w="2131"/>
      </w:tblGrid>
      <w:tr w14:paraId="7CBF2F6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6" w:type="dxa"/>
            <w:tcBorders>
              <w:bottom w:val="single" w:color="auto" w:sz="8" w:space="0"/>
            </w:tcBorders>
            <w:noWrap w:val="0"/>
            <w:vAlign w:val="top"/>
          </w:tcPr>
          <w:p w14:paraId="5D9D7259">
            <w:pPr>
              <w:keepNext w:val="0"/>
              <w:keepLines w:val="0"/>
              <w:widowControl/>
              <w:suppressLineNumbers w:val="0"/>
              <w:spacing w:before="0" w:beforeAutospacing="0" w:after="0" w:afterAutospacing="0"/>
              <w:ind w:left="0" w:right="0"/>
              <w:jc w:val="center"/>
              <w:rPr>
                <w:rFonts w:hint="eastAsia"/>
                <w:szCs w:val="21"/>
              </w:rPr>
            </w:pPr>
          </w:p>
        </w:tc>
        <w:tc>
          <w:tcPr>
            <w:tcW w:w="1864" w:type="dxa"/>
            <w:tcBorders>
              <w:bottom w:val="single" w:color="auto" w:sz="8" w:space="0"/>
            </w:tcBorders>
            <w:noWrap w:val="0"/>
            <w:vAlign w:val="top"/>
          </w:tcPr>
          <w:p w14:paraId="15606600">
            <w:pPr>
              <w:keepNext w:val="0"/>
              <w:keepLines w:val="0"/>
              <w:widowControl/>
              <w:suppressLineNumbers w:val="0"/>
              <w:spacing w:before="0" w:beforeAutospacing="0" w:after="0" w:afterAutospacing="0"/>
              <w:ind w:left="0" w:right="0"/>
              <w:jc w:val="center"/>
              <w:rPr>
                <w:rFonts w:hint="default"/>
                <w:szCs w:val="21"/>
              </w:rPr>
            </w:pPr>
            <w:r>
              <w:rPr>
                <w:rFonts w:hint="eastAsia"/>
                <w:szCs w:val="21"/>
              </w:rPr>
              <w:t>Control</w:t>
            </w:r>
          </w:p>
        </w:tc>
        <w:tc>
          <w:tcPr>
            <w:tcW w:w="2131" w:type="dxa"/>
            <w:tcBorders>
              <w:bottom w:val="single" w:color="auto" w:sz="8" w:space="0"/>
            </w:tcBorders>
            <w:noWrap w:val="0"/>
            <w:vAlign w:val="top"/>
          </w:tcPr>
          <w:p w14:paraId="76F365E0">
            <w:pPr>
              <w:keepNext w:val="0"/>
              <w:keepLines w:val="0"/>
              <w:widowControl/>
              <w:suppressLineNumbers w:val="0"/>
              <w:spacing w:before="0" w:beforeAutospacing="0" w:after="0" w:afterAutospacing="0"/>
              <w:ind w:left="0" w:right="0"/>
              <w:jc w:val="center"/>
              <w:rPr>
                <w:rFonts w:hint="default"/>
                <w:szCs w:val="21"/>
              </w:rPr>
            </w:pPr>
            <w:r>
              <w:rPr>
                <w:rFonts w:hint="eastAsia"/>
                <w:szCs w:val="21"/>
              </w:rPr>
              <w:t>Low N</w:t>
            </w:r>
          </w:p>
        </w:tc>
        <w:tc>
          <w:tcPr>
            <w:tcW w:w="2131" w:type="dxa"/>
            <w:tcBorders>
              <w:bottom w:val="single" w:color="auto" w:sz="8" w:space="0"/>
            </w:tcBorders>
            <w:noWrap w:val="0"/>
            <w:vAlign w:val="top"/>
          </w:tcPr>
          <w:p w14:paraId="1429A03E">
            <w:pPr>
              <w:keepNext w:val="0"/>
              <w:keepLines w:val="0"/>
              <w:widowControl/>
              <w:suppressLineNumbers w:val="0"/>
              <w:spacing w:before="0" w:beforeAutospacing="0" w:after="0" w:afterAutospacing="0"/>
              <w:ind w:left="0" w:right="0"/>
              <w:jc w:val="center"/>
              <w:rPr>
                <w:rFonts w:hint="default"/>
                <w:szCs w:val="21"/>
              </w:rPr>
            </w:pPr>
            <w:r>
              <w:rPr>
                <w:rFonts w:hint="eastAsia"/>
                <w:szCs w:val="21"/>
              </w:rPr>
              <w:t>High N</w:t>
            </w:r>
          </w:p>
        </w:tc>
      </w:tr>
      <w:tr w14:paraId="075AFAF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6" w:type="dxa"/>
            <w:tcBorders>
              <w:top w:val="single" w:color="auto" w:sz="8" w:space="0"/>
            </w:tcBorders>
            <w:noWrap w:val="0"/>
            <w:vAlign w:val="top"/>
          </w:tcPr>
          <w:p w14:paraId="61AD1BBC">
            <w:pPr>
              <w:keepNext w:val="0"/>
              <w:keepLines w:val="0"/>
              <w:widowControl/>
              <w:suppressLineNumbers w:val="0"/>
              <w:spacing w:before="0" w:beforeAutospacing="0" w:after="0" w:afterAutospacing="0"/>
              <w:ind w:left="0" w:right="0"/>
              <w:jc w:val="center"/>
              <w:rPr>
                <w:rFonts w:hint="default"/>
                <w:szCs w:val="21"/>
              </w:rPr>
            </w:pPr>
            <w:r>
              <w:rPr>
                <w:rFonts w:hint="eastAsia"/>
                <w:szCs w:val="21"/>
              </w:rPr>
              <w:t>HC</w:t>
            </w:r>
          </w:p>
        </w:tc>
        <w:tc>
          <w:tcPr>
            <w:tcW w:w="1864" w:type="dxa"/>
            <w:tcBorders>
              <w:top w:val="single" w:color="auto" w:sz="8" w:space="0"/>
            </w:tcBorders>
            <w:noWrap w:val="0"/>
            <w:vAlign w:val="top"/>
          </w:tcPr>
          <w:p w14:paraId="2DA03A03">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0.67 </w:t>
            </w:r>
            <w:r>
              <w:rPr>
                <w:rFonts w:hint="default"/>
                <w:szCs w:val="21"/>
              </w:rPr>
              <w:t>±</w:t>
            </w:r>
            <w:r>
              <w:rPr>
                <w:rFonts w:hint="eastAsia"/>
                <w:szCs w:val="21"/>
              </w:rPr>
              <w:t xml:space="preserve"> 0.18 Bb</w:t>
            </w:r>
          </w:p>
        </w:tc>
        <w:tc>
          <w:tcPr>
            <w:tcW w:w="2131" w:type="dxa"/>
            <w:tcBorders>
              <w:top w:val="single" w:color="auto" w:sz="8" w:space="0"/>
            </w:tcBorders>
            <w:noWrap w:val="0"/>
            <w:vAlign w:val="top"/>
          </w:tcPr>
          <w:p w14:paraId="71FC7D05">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1.31 </w:t>
            </w:r>
            <w:r>
              <w:rPr>
                <w:rFonts w:hint="default"/>
                <w:szCs w:val="21"/>
              </w:rPr>
              <w:t>±</w:t>
            </w:r>
            <w:r>
              <w:rPr>
                <w:rFonts w:hint="eastAsia"/>
                <w:szCs w:val="21"/>
              </w:rPr>
              <w:t xml:space="preserve"> 0.19 Aa</w:t>
            </w:r>
          </w:p>
        </w:tc>
        <w:tc>
          <w:tcPr>
            <w:tcW w:w="2131" w:type="dxa"/>
            <w:tcBorders>
              <w:top w:val="single" w:color="auto" w:sz="8" w:space="0"/>
            </w:tcBorders>
            <w:noWrap w:val="0"/>
            <w:vAlign w:val="top"/>
          </w:tcPr>
          <w:p w14:paraId="22A4527A">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1.10 </w:t>
            </w:r>
            <w:r>
              <w:rPr>
                <w:rFonts w:hint="default"/>
                <w:szCs w:val="21"/>
              </w:rPr>
              <w:t>±</w:t>
            </w:r>
            <w:r>
              <w:rPr>
                <w:rFonts w:hint="eastAsia"/>
                <w:szCs w:val="21"/>
              </w:rPr>
              <w:t xml:space="preserve"> 0.19 Bab</w:t>
            </w:r>
          </w:p>
        </w:tc>
      </w:tr>
      <w:tr w14:paraId="1E95F2C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96" w:type="dxa"/>
            <w:noWrap w:val="0"/>
            <w:vAlign w:val="top"/>
          </w:tcPr>
          <w:p w14:paraId="4E666B8D">
            <w:pPr>
              <w:keepNext w:val="0"/>
              <w:keepLines w:val="0"/>
              <w:widowControl/>
              <w:suppressLineNumbers w:val="0"/>
              <w:spacing w:before="0" w:beforeAutospacing="0" w:after="0" w:afterAutospacing="0"/>
              <w:ind w:left="0" w:right="0"/>
              <w:jc w:val="center"/>
              <w:rPr>
                <w:rFonts w:hint="default"/>
                <w:szCs w:val="21"/>
              </w:rPr>
            </w:pPr>
            <w:r>
              <w:rPr>
                <w:rFonts w:hint="eastAsia"/>
                <w:szCs w:val="21"/>
              </w:rPr>
              <w:t>RHC</w:t>
            </w:r>
          </w:p>
        </w:tc>
        <w:tc>
          <w:tcPr>
            <w:tcW w:w="1864" w:type="dxa"/>
            <w:noWrap w:val="0"/>
            <w:vAlign w:val="top"/>
          </w:tcPr>
          <w:p w14:paraId="37B2E324">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2.39 </w:t>
            </w:r>
            <w:r>
              <w:rPr>
                <w:rFonts w:hint="default"/>
                <w:szCs w:val="21"/>
              </w:rPr>
              <w:t>±</w:t>
            </w:r>
            <w:r>
              <w:rPr>
                <w:rFonts w:hint="eastAsia"/>
                <w:szCs w:val="21"/>
              </w:rPr>
              <w:t xml:space="preserve"> 0.27 Aa</w:t>
            </w:r>
          </w:p>
        </w:tc>
        <w:tc>
          <w:tcPr>
            <w:tcW w:w="2131" w:type="dxa"/>
            <w:noWrap w:val="0"/>
            <w:vAlign w:val="top"/>
          </w:tcPr>
          <w:p w14:paraId="2F5BBBEC">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2.64 </w:t>
            </w:r>
            <w:r>
              <w:rPr>
                <w:rFonts w:hint="default"/>
                <w:szCs w:val="21"/>
              </w:rPr>
              <w:t>±</w:t>
            </w:r>
            <w:r>
              <w:rPr>
                <w:rFonts w:hint="eastAsia"/>
                <w:szCs w:val="21"/>
              </w:rPr>
              <w:t xml:space="preserve"> 0.92 Aa</w:t>
            </w:r>
          </w:p>
        </w:tc>
        <w:tc>
          <w:tcPr>
            <w:tcW w:w="2131" w:type="dxa"/>
            <w:noWrap w:val="0"/>
            <w:vAlign w:val="top"/>
          </w:tcPr>
          <w:p w14:paraId="6AC0A16C">
            <w:pPr>
              <w:keepNext w:val="0"/>
              <w:keepLines w:val="0"/>
              <w:widowControl/>
              <w:suppressLineNumbers w:val="0"/>
              <w:spacing w:before="0" w:beforeAutospacing="0" w:after="0" w:afterAutospacing="0"/>
              <w:ind w:left="0" w:right="0"/>
              <w:jc w:val="center"/>
              <w:rPr>
                <w:rFonts w:hint="default"/>
                <w:szCs w:val="21"/>
              </w:rPr>
            </w:pPr>
            <w:r>
              <w:rPr>
                <w:rFonts w:hint="eastAsia"/>
                <w:szCs w:val="21"/>
              </w:rPr>
              <w:t xml:space="preserve">3.19 </w:t>
            </w:r>
            <w:r>
              <w:rPr>
                <w:rFonts w:hint="default"/>
                <w:szCs w:val="21"/>
              </w:rPr>
              <w:t>±</w:t>
            </w:r>
            <w:r>
              <w:rPr>
                <w:rFonts w:hint="eastAsia"/>
                <w:szCs w:val="21"/>
              </w:rPr>
              <w:t xml:space="preserve"> 0.23 Aa</w:t>
            </w:r>
          </w:p>
        </w:tc>
      </w:tr>
    </w:tbl>
    <w:p w14:paraId="77E12D99">
      <w:pPr>
        <w:widowControl/>
        <w:rPr>
          <w:rFonts w:hint="eastAsia"/>
          <w:szCs w:val="21"/>
        </w:rPr>
      </w:pPr>
      <w:r>
        <w:rPr>
          <w:rFonts w:hint="eastAsia"/>
          <w:szCs w:val="21"/>
        </w:rPr>
        <w:t>Values are means of four replicates (±SE). All values were sqrt transformed.</w:t>
      </w:r>
      <w:bookmarkStart w:id="4" w:name="OLE_LINK97"/>
      <w:r>
        <w:rPr>
          <w:rFonts w:hint="eastAsia"/>
          <w:szCs w:val="21"/>
        </w:rPr>
        <w:t xml:space="preserve"> Different uppercase letters denote significant difference between HC and RHC (</w:t>
      </w:r>
      <w:r>
        <w:rPr>
          <w:rFonts w:hint="eastAsia"/>
          <w:i/>
          <w:iCs/>
          <w:szCs w:val="21"/>
        </w:rPr>
        <w:t>P</w:t>
      </w:r>
      <w:r>
        <w:rPr>
          <w:rFonts w:hint="eastAsia"/>
          <w:szCs w:val="21"/>
        </w:rPr>
        <w:t xml:space="preserve"> </w:t>
      </w:r>
      <w:r>
        <w:rPr>
          <w:rFonts w:ascii="Arial" w:hAnsi="Arial" w:cs="Arial"/>
          <w:szCs w:val="21"/>
        </w:rPr>
        <w:t>≤</w:t>
      </w:r>
      <w:r>
        <w:rPr>
          <w:rFonts w:hint="eastAsia"/>
          <w:szCs w:val="21"/>
        </w:rPr>
        <w:t xml:space="preserve"> 0.05). Different lowercase letters denote significant difference among different N addition levels (</w:t>
      </w:r>
      <w:r>
        <w:rPr>
          <w:rFonts w:hint="eastAsia"/>
          <w:i/>
          <w:iCs/>
          <w:szCs w:val="21"/>
        </w:rPr>
        <w:t>P</w:t>
      </w:r>
      <w:r>
        <w:rPr>
          <w:rFonts w:hint="eastAsia"/>
          <w:szCs w:val="21"/>
        </w:rPr>
        <w:t xml:space="preserve"> </w:t>
      </w:r>
      <w:r>
        <w:rPr>
          <w:rFonts w:ascii="Arial" w:hAnsi="Arial" w:cs="Arial"/>
          <w:szCs w:val="21"/>
        </w:rPr>
        <w:t>≤</w:t>
      </w:r>
      <w:r>
        <w:rPr>
          <w:rFonts w:hint="eastAsia"/>
          <w:szCs w:val="21"/>
        </w:rPr>
        <w:t xml:space="preserve"> 0.05).</w:t>
      </w:r>
    </w:p>
    <w:bookmarkEnd w:id="4"/>
    <w:p w14:paraId="5D3303B3">
      <w:pPr>
        <w:widowControl/>
        <w:rPr>
          <w:rFonts w:hint="eastAsia"/>
          <w:szCs w:val="21"/>
        </w:rPr>
      </w:pPr>
    </w:p>
    <w:p w14:paraId="72BF6A47">
      <w:pPr>
        <w:widowControl/>
        <w:ind w:leftChars="100"/>
        <w:jc w:val="left"/>
        <w:rPr>
          <w:rFonts w:hint="eastAsia"/>
          <w:szCs w:val="21"/>
        </w:rPr>
      </w:pPr>
      <w:r>
        <w:rPr>
          <w:rFonts w:hint="eastAsia"/>
          <w:szCs w:val="21"/>
        </w:rPr>
        <w:drawing>
          <wp:inline distT="0" distB="0" distL="114300" distR="114300">
            <wp:extent cx="2436495" cy="1864995"/>
            <wp:effectExtent l="0" t="0" r="1905" b="9525"/>
            <wp:docPr id="3" name="图片 3" descr="Grap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raph1"/>
                    <pic:cNvPicPr>
                      <a:picLocks noChangeAspect="1"/>
                    </pic:cNvPicPr>
                  </pic:nvPicPr>
                  <pic:blipFill>
                    <a:blip r:embed="rId6"/>
                    <a:stretch>
                      <a:fillRect/>
                    </a:stretch>
                  </pic:blipFill>
                  <pic:spPr>
                    <a:xfrm>
                      <a:off x="0" y="0"/>
                      <a:ext cx="2436495" cy="1864995"/>
                    </a:xfrm>
                    <a:prstGeom prst="rect">
                      <a:avLst/>
                    </a:prstGeom>
                    <a:noFill/>
                    <a:ln>
                      <a:noFill/>
                    </a:ln>
                  </pic:spPr>
                </pic:pic>
              </a:graphicData>
            </a:graphic>
          </wp:inline>
        </w:drawing>
      </w:r>
    </w:p>
    <w:p w14:paraId="3E7FD202">
      <w:pPr>
        <w:widowControl/>
        <w:ind w:leftChars="100"/>
        <w:rPr>
          <w:rFonts w:hint="eastAsia"/>
          <w:b/>
          <w:bCs/>
          <w:sz w:val="22"/>
        </w:rPr>
      </w:pPr>
      <w:r>
        <w:rPr>
          <w:rFonts w:hint="eastAsia"/>
          <w:b/>
          <w:bCs/>
        </w:rPr>
        <w:t>Fig. S3</w:t>
      </w:r>
      <w:r>
        <w:rPr>
          <w:rFonts w:hint="eastAsia"/>
          <w:b/>
          <w:bCs/>
          <w:lang w:val="en-US" w:eastAsia="zh-CN"/>
        </w:rPr>
        <w:t>.</w:t>
      </w:r>
      <w:r>
        <w:rPr>
          <w:rFonts w:hint="eastAsia"/>
        </w:rPr>
        <w:t xml:space="preserve"> The plant </w:t>
      </w:r>
      <w:r>
        <w:rPr>
          <w:rFonts w:hint="eastAsia"/>
          <w:vertAlign w:val="superscript"/>
        </w:rPr>
        <w:t>15</w:t>
      </w:r>
      <w:r>
        <w:rPr>
          <w:rFonts w:hint="eastAsia"/>
        </w:rPr>
        <w:t xml:space="preserve">N content </w:t>
      </w:r>
      <w:r>
        <w:rPr>
          <w:rFonts w:hint="eastAsia"/>
          <w:szCs w:val="21"/>
        </w:rPr>
        <w:t>under different N addition levels. All values were sqrt transformed. Different uppercase letters denote significant difference in the HC among different N levels (</w:t>
      </w:r>
      <w:r>
        <w:rPr>
          <w:rFonts w:hint="eastAsia"/>
          <w:i/>
          <w:iCs/>
          <w:szCs w:val="21"/>
        </w:rPr>
        <w:t>P</w:t>
      </w:r>
      <w:r>
        <w:rPr>
          <w:rFonts w:hint="eastAsia"/>
          <w:szCs w:val="21"/>
        </w:rPr>
        <w:t xml:space="preserve"> </w:t>
      </w:r>
      <w:r>
        <w:rPr>
          <w:rFonts w:ascii="Arial" w:hAnsi="Arial" w:cs="Arial"/>
          <w:szCs w:val="21"/>
        </w:rPr>
        <w:t>≤</w:t>
      </w:r>
      <w:r>
        <w:rPr>
          <w:rFonts w:hint="eastAsia"/>
          <w:szCs w:val="21"/>
        </w:rPr>
        <w:t xml:space="preserve"> 0.05). Different lowercase letters denote significant difference in the RHC among different N levels (</w:t>
      </w:r>
      <w:r>
        <w:rPr>
          <w:rFonts w:hint="eastAsia"/>
          <w:i/>
          <w:iCs/>
          <w:szCs w:val="21"/>
        </w:rPr>
        <w:t>P</w:t>
      </w:r>
      <w:r>
        <w:rPr>
          <w:rFonts w:hint="eastAsia"/>
          <w:szCs w:val="21"/>
        </w:rPr>
        <w:t xml:space="preserve"> </w:t>
      </w:r>
      <w:r>
        <w:rPr>
          <w:rFonts w:ascii="Arial" w:hAnsi="Arial" w:cs="Arial"/>
          <w:szCs w:val="21"/>
        </w:rPr>
        <w:t>≤</w:t>
      </w:r>
      <w:r>
        <w:rPr>
          <w:rFonts w:hint="eastAsia"/>
          <w:szCs w:val="21"/>
        </w:rPr>
        <w:t xml:space="preserve"> 0.05). An </w:t>
      </w:r>
      <w:r>
        <w:rPr>
          <w:rFonts w:hint="eastAsia"/>
        </w:rPr>
        <w:t>asterisk indicates a significant difference between</w:t>
      </w:r>
      <w:r>
        <w:rPr>
          <w:szCs w:val="21"/>
        </w:rPr>
        <w:t xml:space="preserve"> </w:t>
      </w:r>
      <w:r>
        <w:rPr>
          <w:rFonts w:hint="eastAsia"/>
          <w:szCs w:val="21"/>
        </w:rPr>
        <w:t xml:space="preserve"> HC and RHC (</w:t>
      </w:r>
      <w:r>
        <w:rPr>
          <w:rFonts w:hint="eastAsia"/>
          <w:i/>
          <w:iCs/>
          <w:szCs w:val="21"/>
        </w:rPr>
        <w:t>P</w:t>
      </w:r>
      <w:r>
        <w:rPr>
          <w:rFonts w:hint="eastAsia"/>
          <w:szCs w:val="21"/>
        </w:rPr>
        <w:t xml:space="preserve"> </w:t>
      </w:r>
      <w:r>
        <w:rPr>
          <w:rFonts w:ascii="Arial" w:hAnsi="Arial" w:cs="Arial"/>
          <w:szCs w:val="21"/>
        </w:rPr>
        <w:t>≤</w:t>
      </w:r>
      <w:r>
        <w:rPr>
          <w:rFonts w:hint="eastAsia"/>
          <w:szCs w:val="21"/>
        </w:rPr>
        <w:t xml:space="preserve"> 0.05).</w:t>
      </w:r>
    </w:p>
    <w:p w14:paraId="7326A8CA">
      <w:pPr>
        <w:ind w:leftChars="100"/>
        <w:rPr>
          <w:rFonts w:hint="eastAsia"/>
        </w:rPr>
      </w:pPr>
      <w:r>
        <w:rPr>
          <w:rFonts w:hint="eastAsia"/>
        </w:rPr>
        <w:drawing>
          <wp:inline distT="0" distB="0" distL="114300" distR="114300">
            <wp:extent cx="2664460" cy="2038985"/>
            <wp:effectExtent l="0" t="0" r="2540" b="3175"/>
            <wp:docPr id="4" name="图片 4" descr="root 1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root 13C"/>
                    <pic:cNvPicPr>
                      <a:picLocks noChangeAspect="1"/>
                    </pic:cNvPicPr>
                  </pic:nvPicPr>
                  <pic:blipFill>
                    <a:blip r:embed="rId7"/>
                    <a:stretch>
                      <a:fillRect/>
                    </a:stretch>
                  </pic:blipFill>
                  <pic:spPr>
                    <a:xfrm>
                      <a:off x="0" y="0"/>
                      <a:ext cx="2664460" cy="2038985"/>
                    </a:xfrm>
                    <a:prstGeom prst="rect">
                      <a:avLst/>
                    </a:prstGeom>
                    <a:noFill/>
                    <a:ln>
                      <a:noFill/>
                    </a:ln>
                  </pic:spPr>
                </pic:pic>
              </a:graphicData>
            </a:graphic>
          </wp:inline>
        </w:drawing>
      </w:r>
    </w:p>
    <w:p w14:paraId="0FE9E8F5">
      <w:pPr>
        <w:widowControl/>
        <w:ind w:left="210" w:leftChars="100"/>
        <w:rPr>
          <w:rFonts w:hint="eastAsia"/>
          <w:szCs w:val="21"/>
        </w:rPr>
      </w:pPr>
      <w:r>
        <w:rPr>
          <w:rFonts w:hint="eastAsia"/>
          <w:b/>
          <w:bCs/>
        </w:rPr>
        <w:t>Fig. S</w:t>
      </w:r>
      <w:r>
        <w:rPr>
          <w:rFonts w:hint="eastAsia"/>
          <w:b/>
          <w:bCs/>
          <w:lang w:val="en-US" w:eastAsia="zh-CN"/>
        </w:rPr>
        <w:t>4.</w:t>
      </w:r>
      <w:r>
        <w:rPr>
          <w:rFonts w:hint="eastAsia"/>
        </w:rPr>
        <w:t xml:space="preserve"> The root </w:t>
      </w:r>
      <w:r>
        <w:rPr>
          <w:rFonts w:hint="eastAsia"/>
          <w:vertAlign w:val="superscript"/>
        </w:rPr>
        <w:t>13</w:t>
      </w:r>
      <w:r>
        <w:rPr>
          <w:rFonts w:hint="eastAsia"/>
        </w:rPr>
        <w:t>C</w:t>
      </w:r>
      <w:r>
        <w:rPr>
          <w:rFonts w:hint="eastAsia"/>
          <w:szCs w:val="21"/>
        </w:rPr>
        <w:t xml:space="preserve"> content under different N addition levels.</w:t>
      </w:r>
    </w:p>
    <w:p w14:paraId="44DD60B3">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jMDJkNTliZGY5YTAwZTAxMmU3OWExNTc2NWRiZWMifQ=="/>
  </w:docVars>
  <w:rsids>
    <w:rsidRoot w:val="53744A01"/>
    <w:rsid w:val="095315DB"/>
    <w:rsid w:val="27AA6DA9"/>
    <w:rsid w:val="32D25CAB"/>
    <w:rsid w:val="48692603"/>
    <w:rsid w:val="53744A01"/>
    <w:rsid w:val="5D3033B8"/>
    <w:rsid w:val="5E2741AF"/>
    <w:rsid w:val="70935C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461</Words>
  <Characters>2534</Characters>
  <Lines>0</Lines>
  <Paragraphs>0</Paragraphs>
  <TotalTime>0</TotalTime>
  <ScaleCrop>false</ScaleCrop>
  <LinksUpToDate>false</LinksUpToDate>
  <CharactersWithSpaces>2976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2024-07-15T08:47:00Z</dcterms:created>
  <dc:creator>sunjh</dc:creator>
  <cp:lastModifiedBy>sunjh</cp:lastModifiedBy>
  <dcterms:modified xsi:type="dcterms:W3CDTF">2024-10-29T00:50:00Z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A8E04EE180584B64AFC460E7E0D7DF2F_13</vt:lpwstr>
  </property>
</Properties>
</file>