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D12B3" w14:textId="77777777" w:rsidR="00616318" w:rsidRDefault="00616318" w:rsidP="0061631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Figures</w:t>
      </w:r>
    </w:p>
    <w:p w14:paraId="7883130C" w14:textId="77777777" w:rsidR="00616318" w:rsidRDefault="00616318" w:rsidP="00616318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</w:p>
    <w:p w14:paraId="577EB223" w14:textId="77777777" w:rsidR="00616318" w:rsidRDefault="00616318" w:rsidP="00616318">
      <w:pPr>
        <w:spacing w:line="360" w:lineRule="auto"/>
        <w:contextualSpacing/>
        <w:rPr>
          <w:rFonts w:ascii="Times New Roman" w:hAnsi="Times New Roman" w:cs="Times New Roman"/>
          <w:b/>
          <w:sz w:val="28"/>
        </w:rPr>
      </w:pPr>
      <w:r>
        <w:rPr>
          <w:rFonts w:ascii="Times New Roman" w:eastAsia="Malgun Gothic" w:hAnsi="Times New Roman" w:cs="Times New Roman"/>
          <w:b/>
          <w:sz w:val="28"/>
        </w:rPr>
        <w:t>A 27 cm</w:t>
      </w:r>
      <w:r>
        <w:rPr>
          <w:rFonts w:ascii="Times New Roman" w:hAnsi="Times New Roman" w:cs="Times New Roman"/>
          <w:b/>
          <w:sz w:val="28"/>
        </w:rPr>
        <w:t xml:space="preserve"> long </w:t>
      </w:r>
      <w:r>
        <w:rPr>
          <w:rFonts w:ascii="Times New Roman" w:hAnsi="Times New Roman" w:cs="Times New Roman"/>
          <w:b/>
          <w:color w:val="000000"/>
          <w:sz w:val="28"/>
        </w:rPr>
        <w:t xml:space="preserve">straight </w:t>
      </w:r>
      <w:r>
        <w:rPr>
          <w:rFonts w:ascii="Times New Roman" w:hAnsi="Times New Roman" w:cs="Times New Roman" w:hint="eastAsia"/>
          <w:b/>
          <w:color w:val="000000"/>
          <w:sz w:val="28"/>
        </w:rPr>
        <w:t>s</w:t>
      </w:r>
      <w:r>
        <w:rPr>
          <w:rFonts w:ascii="Times New Roman" w:hAnsi="Times New Roman" w:cs="Times New Roman"/>
          <w:b/>
          <w:color w:val="000000"/>
          <w:sz w:val="28"/>
        </w:rPr>
        <w:t xml:space="preserve">quare microchannel </w:t>
      </w:r>
      <w:r>
        <w:rPr>
          <w:rFonts w:ascii="Times New Roman" w:hAnsi="Times New Roman" w:cs="Times New Roman"/>
          <w:b/>
          <w:sz w:val="28"/>
        </w:rPr>
        <w:t xml:space="preserve">in viscoelastic fluid for </w:t>
      </w:r>
      <w:r>
        <w:rPr>
          <w:rFonts w:ascii="Times New Roman" w:eastAsia="Malgun Gothic" w:hAnsi="Times New Roman" w:cs="Times New Roman"/>
          <w:b/>
          <w:sz w:val="28"/>
        </w:rPr>
        <w:t>submicron-sized</w:t>
      </w:r>
      <w:r>
        <w:rPr>
          <w:rFonts w:ascii="Times New Roman" w:hAnsi="Times New Roman" w:cs="Times New Roman"/>
          <w:b/>
          <w:sz w:val="28"/>
        </w:rPr>
        <w:t xml:space="preserve"> particle and bacteria focusing</w:t>
      </w:r>
    </w:p>
    <w:p w14:paraId="3284CF71" w14:textId="77777777" w:rsidR="00616318" w:rsidRDefault="00616318" w:rsidP="00616318">
      <w:pPr>
        <w:spacing w:line="360" w:lineRule="auto"/>
        <w:contextualSpacing/>
        <w:rPr>
          <w:rFonts w:ascii="Times New Roman" w:hAnsi="Times New Roman" w:cs="Times New Roman"/>
          <w:szCs w:val="20"/>
        </w:rPr>
      </w:pPr>
    </w:p>
    <w:p w14:paraId="2C16FD04" w14:textId="77777777" w:rsidR="00616318" w:rsidRDefault="00616318" w:rsidP="00616318">
      <w:pPr>
        <w:spacing w:line="360" w:lineRule="auto"/>
        <w:contextualSpacing/>
        <w:rPr>
          <w:rFonts w:ascii="Times New Roman" w:hAnsi="Times New Roman" w:cs="Times New Roman"/>
          <w:szCs w:val="20"/>
          <w:vertAlign w:val="superscript"/>
        </w:rPr>
      </w:pPr>
      <w:proofErr w:type="spellStart"/>
      <w:r>
        <w:rPr>
          <w:rFonts w:ascii="Times New Roman" w:hAnsi="Times New Roman" w:cs="Times New Roman"/>
          <w:szCs w:val="20"/>
        </w:rPr>
        <w:t>Youngseo</w:t>
      </w:r>
      <w:proofErr w:type="spellEnd"/>
      <w:r>
        <w:rPr>
          <w:rFonts w:ascii="Times New Roman" w:hAnsi="Times New Roman" w:cs="Times New Roman"/>
          <w:szCs w:val="20"/>
        </w:rPr>
        <w:t xml:space="preserve"> Cho</w:t>
      </w:r>
      <w:r>
        <w:rPr>
          <w:rFonts w:ascii="Times New Roman" w:hAnsi="Times New Roman" w:cs="Times New Roman"/>
          <w:szCs w:val="20"/>
          <w:vertAlign w:val="superscript"/>
        </w:rPr>
        <w:t>1</w:t>
      </w:r>
      <w:r>
        <w:rPr>
          <w:rFonts w:ascii="Times New Roman" w:hAnsi="Times New Roman" w:cs="Times New Roman"/>
          <w:szCs w:val="20"/>
        </w:rPr>
        <w:t>, Min-Ho Lee</w:t>
      </w:r>
      <w:r>
        <w:rPr>
          <w:rFonts w:ascii="Times New Roman" w:hAnsi="Times New Roman" w:cs="Times New Roman"/>
          <w:szCs w:val="20"/>
          <w:vertAlign w:val="superscript"/>
        </w:rPr>
        <w:t>2</w:t>
      </w:r>
      <w:r>
        <w:rPr>
          <w:rFonts w:ascii="Times New Roman" w:hAnsi="Times New Roman" w:cs="Times New Roman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Cs w:val="20"/>
        </w:rPr>
        <w:t>SangWook</w:t>
      </w:r>
      <w:proofErr w:type="spellEnd"/>
      <w:r>
        <w:rPr>
          <w:rFonts w:ascii="Times New Roman" w:hAnsi="Times New Roman" w:cs="Times New Roman"/>
          <w:szCs w:val="20"/>
        </w:rPr>
        <w:t xml:space="preserve"> Lee</w:t>
      </w:r>
      <w:proofErr w:type="gramStart"/>
      <w:r>
        <w:rPr>
          <w:rFonts w:ascii="Times New Roman" w:hAnsi="Times New Roman" w:cs="Times New Roman"/>
          <w:szCs w:val="20"/>
          <w:vertAlign w:val="superscript"/>
        </w:rPr>
        <w:t>3,#</w:t>
      </w:r>
      <w:proofErr w:type="gramEnd"/>
      <w:r>
        <w:rPr>
          <w:rFonts w:ascii="Times New Roman" w:hAnsi="Times New Roman" w:cs="Times New Roman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Cs w:val="20"/>
        </w:rPr>
        <w:t>Younghak</w:t>
      </w:r>
      <w:proofErr w:type="spellEnd"/>
      <w:r>
        <w:rPr>
          <w:rFonts w:ascii="Times New Roman" w:hAnsi="Times New Roman" w:cs="Times New Roman"/>
          <w:szCs w:val="20"/>
        </w:rPr>
        <w:t xml:space="preserve"> Cho</w:t>
      </w:r>
      <w:r>
        <w:rPr>
          <w:rFonts w:ascii="Times New Roman" w:hAnsi="Times New Roman" w:cs="Times New Roman"/>
          <w:szCs w:val="20"/>
          <w:vertAlign w:val="superscript"/>
        </w:rPr>
        <w:t>1,4,#</w:t>
      </w:r>
    </w:p>
    <w:p w14:paraId="08F54990" w14:textId="77777777" w:rsidR="00616318" w:rsidRDefault="00616318" w:rsidP="00616318">
      <w:pPr>
        <w:spacing w:line="360" w:lineRule="auto"/>
        <w:contextualSpacing/>
        <w:rPr>
          <w:rFonts w:ascii="Times New Roman" w:hAnsi="Times New Roman" w:cs="Times New Roman"/>
          <w:szCs w:val="20"/>
        </w:rPr>
      </w:pPr>
    </w:p>
    <w:p w14:paraId="4513DB40" w14:textId="77777777" w:rsidR="00616318" w:rsidRDefault="00616318" w:rsidP="00616318">
      <w:pPr>
        <w:spacing w:line="360" w:lineRule="auto"/>
        <w:contextualSpacing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1 Department of Mechanical Design and Robot Engineering, Seoul National University of Science and Technology, Seoul, 01811, Republic of Korea</w:t>
      </w:r>
    </w:p>
    <w:p w14:paraId="25CEFA19" w14:textId="77777777" w:rsidR="00616318" w:rsidRDefault="00616318" w:rsidP="00616318">
      <w:pPr>
        <w:spacing w:line="360" w:lineRule="auto"/>
        <w:contextualSpacing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2 School of Integrative Engineering, Chung-Ang University, Seoul, 06974, Republic of Korea</w:t>
      </w:r>
    </w:p>
    <w:p w14:paraId="105D4E60" w14:textId="77777777" w:rsidR="00616318" w:rsidRDefault="00616318" w:rsidP="00616318">
      <w:pPr>
        <w:spacing w:line="360" w:lineRule="auto"/>
        <w:contextualSpacing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3 PCL Inc., Seoul, 08510, Republic of Korea</w:t>
      </w:r>
    </w:p>
    <w:p w14:paraId="669482AD" w14:textId="77777777" w:rsidR="00616318" w:rsidRDefault="00616318" w:rsidP="00616318">
      <w:pPr>
        <w:spacing w:line="360" w:lineRule="auto"/>
        <w:contextualSpacing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4 Department of Mechanical System Design Engineering, Seoul National University of Science and Technology, Seoul, 01811, Republic of Korea</w:t>
      </w:r>
    </w:p>
    <w:p w14:paraId="6A6623D3" w14:textId="77777777" w:rsidR="00616318" w:rsidRDefault="00616318" w:rsidP="00616318">
      <w:pPr>
        <w:spacing w:line="360" w:lineRule="auto"/>
        <w:contextualSpacing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# Corresponding Author/E-mail: swlee@pclchip.com, TEL: +82-2-970-6361; yhcho@seoultech.ac.kr, TEL: +82-2-970-6361</w:t>
      </w:r>
    </w:p>
    <w:p w14:paraId="6B7954F4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28BD05C9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noProof/>
        </w:rPr>
        <w:lastRenderedPageBreak/>
        <w:drawing>
          <wp:inline distT="0" distB="0" distL="0" distR="0" wp14:anchorId="3E4645CD" wp14:editId="22135327">
            <wp:extent cx="5731510" cy="2822575"/>
            <wp:effectExtent l="0" t="0" r="0" b="0"/>
            <wp:docPr id="1037" name="shape1037" descr="A close-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shape1037" descr="A close-up of a scree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>.</w:t>
      </w:r>
      <w:r>
        <w:rPr>
          <w:noProof/>
        </w:rPr>
        <w:drawing>
          <wp:inline distT="0" distB="0" distL="0" distR="0" wp14:anchorId="2F54CCAA" wp14:editId="5A69C2AD">
            <wp:extent cx="2808000" cy="2226446"/>
            <wp:effectExtent l="0" t="0" r="0" b="0"/>
            <wp:docPr id="1038" name="shape1038" descr="A graph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shape1038" descr="A graph with different colored lin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222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AC9F22" wp14:editId="265E59F0">
            <wp:extent cx="2808000" cy="2152580"/>
            <wp:effectExtent l="0" t="0" r="0" b="0"/>
            <wp:docPr id="1039" name="shape1039" descr="A diagram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shape1039" descr="A diagram of a curv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215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3AE22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color w:val="FF0000"/>
          <w:szCs w:val="20"/>
          <w:highlight w:val="yellow"/>
        </w:rPr>
        <w:t>Fig. S1</w:t>
      </w:r>
      <w:r>
        <w:rPr>
          <w:rFonts w:ascii="Times New Roman" w:hAnsi="Times New Roman" w:cs="Times New Roman"/>
          <w:szCs w:val="20"/>
        </w:rPr>
        <w:t xml:space="preserve"> Focusing efficiency of submicron-sized particle at 0.1 </w:t>
      </w:r>
      <w:proofErr w:type="spellStart"/>
      <w:r>
        <w:rPr>
          <w:rFonts w:ascii="Times New Roman" w:hAnsi="Times New Roman" w:cs="Times New Roman"/>
          <w:szCs w:val="20"/>
        </w:rPr>
        <w:t>wt</w:t>
      </w:r>
      <w:proofErr w:type="spellEnd"/>
      <w:r>
        <w:rPr>
          <w:rFonts w:ascii="Times New Roman" w:hAnsi="Times New Roman" w:cs="Times New Roman"/>
          <w:szCs w:val="20"/>
        </w:rPr>
        <w:t>% PEO concertation</w:t>
      </w:r>
      <w:r>
        <w:rPr>
          <w:rFonts w:ascii="Times New Roman" w:eastAsia="BatangChe" w:hAnsi="Times New Roman" w:cs="Times New Roman"/>
          <w:szCs w:val="20"/>
        </w:rPr>
        <w:t>.</w:t>
      </w:r>
      <w:r>
        <w:rPr>
          <w:rFonts w:ascii="Times New Roman" w:hAnsi="Times New Roman" w:cs="Times New Roman"/>
          <w:szCs w:val="20"/>
        </w:rPr>
        <w:t xml:space="preserve"> (a) Flow stream images of fluorescent PS particles with 510, 250, 180 and 100 nm diameter obtained for the flow rate of &gt; 20 </w:t>
      </w:r>
      <w:r>
        <w:rPr>
          <w:rFonts w:ascii="Times New Roman" w:eastAsia="BatangChe" w:hAnsi="Times New Roman" w:cs="Times New Roman"/>
          <w:szCs w:val="20"/>
        </w:rPr>
        <w:t>µL/min</w:t>
      </w:r>
      <w:r>
        <w:rPr>
          <w:rFonts w:ascii="Times New Roman" w:hAnsi="Times New Roman" w:cs="Times New Roman"/>
          <w:szCs w:val="20"/>
        </w:rPr>
        <w:t xml:space="preserve">. (b) Focusing efficiencies are plotted as different flow rates. (c) Normalized </w:t>
      </w:r>
      <w:r>
        <w:rPr>
          <w:rFonts w:ascii="Times New Roman" w:eastAsia="Malgun Gothic" w:hAnsi="Times New Roman" w:cs="Times New Roman"/>
          <w:szCs w:val="20"/>
        </w:rPr>
        <w:t>fluorescence</w:t>
      </w:r>
      <w:r>
        <w:rPr>
          <w:rFonts w:ascii="Times New Roman" w:hAnsi="Times New Roman" w:cs="Times New Roman"/>
          <w:szCs w:val="20"/>
        </w:rPr>
        <w:t xml:space="preserve"> intensity profiles of 510 nm particles along the channel width </w:t>
      </w:r>
      <w:proofErr w:type="gramStart"/>
      <w:r>
        <w:rPr>
          <w:rFonts w:ascii="Times New Roman" w:hAnsi="Times New Roman" w:cs="Times New Roman"/>
          <w:szCs w:val="20"/>
        </w:rPr>
        <w:t>is</w:t>
      </w:r>
      <w:proofErr w:type="gramEnd"/>
      <w:r>
        <w:rPr>
          <w:rFonts w:ascii="Times New Roman" w:hAnsi="Times New Roman" w:cs="Times New Roman"/>
          <w:szCs w:val="20"/>
        </w:rPr>
        <w:t xml:space="preserve"> plotted as the flow rate of &gt; 20 </w:t>
      </w:r>
      <w:r>
        <w:rPr>
          <w:rFonts w:ascii="Times New Roman" w:eastAsia="BatangChe" w:hAnsi="Times New Roman" w:cs="Times New Roman"/>
          <w:szCs w:val="20"/>
        </w:rPr>
        <w:t>µL/min</w:t>
      </w:r>
    </w:p>
    <w:p w14:paraId="1A8C3E72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11446B11" w14:textId="77777777" w:rsidR="00616318" w:rsidRDefault="00616318" w:rsidP="00616318">
      <w:pPr>
        <w:widowControl/>
        <w:wordWrap/>
        <w:autoSpaceDE/>
        <w:autoSpaceDN/>
        <w:rPr>
          <w:noProof/>
        </w:rPr>
      </w:pPr>
      <w:r>
        <w:rPr>
          <w:noProof/>
        </w:rPr>
        <w:drawing>
          <wp:inline distT="0" distB="0" distL="0" distR="0" wp14:anchorId="2C353B3B" wp14:editId="0CAD2608">
            <wp:extent cx="1800000" cy="1378316"/>
            <wp:effectExtent l="0" t="0" r="0" b="0"/>
            <wp:docPr id="1040" name="shape1040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shape1040" descr="A graph of a diagram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37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EA4F11E" wp14:editId="6998AC36">
            <wp:extent cx="1800000" cy="1378315"/>
            <wp:effectExtent l="0" t="0" r="0" b="0"/>
            <wp:docPr id="1041" name="shape1041" descr="A graph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shape1041" descr="A graph of a curv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37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39627A4" wp14:editId="2113935F">
            <wp:extent cx="1800000" cy="1378315"/>
            <wp:effectExtent l="0" t="0" r="0" b="0"/>
            <wp:docPr id="1042" name="shape1042" descr="A graph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shape1042" descr="A graph of a curv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37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C21E1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color w:val="FF0000"/>
          <w:szCs w:val="20"/>
          <w:highlight w:val="yellow"/>
        </w:rPr>
        <w:t>Fig. S2</w:t>
      </w:r>
      <w:r>
        <w:rPr>
          <w:rFonts w:ascii="Times New Roman" w:hAnsi="Times New Roman" w:cs="Times New Roman"/>
          <w:szCs w:val="20"/>
        </w:rPr>
        <w:t xml:space="preserve"> Normalized fluorescence intensity profiles of (a) 250 nm, (b) 180 nm and (c) 100 nm particles along the channel width </w:t>
      </w:r>
      <w:proofErr w:type="gramStart"/>
      <w:r>
        <w:rPr>
          <w:rFonts w:ascii="Times New Roman" w:hAnsi="Times New Roman" w:cs="Times New Roman"/>
          <w:szCs w:val="20"/>
        </w:rPr>
        <w:t>is</w:t>
      </w:r>
      <w:proofErr w:type="gramEnd"/>
      <w:r>
        <w:rPr>
          <w:rFonts w:ascii="Times New Roman" w:hAnsi="Times New Roman" w:cs="Times New Roman"/>
          <w:szCs w:val="20"/>
        </w:rPr>
        <w:t xml:space="preserve"> plotted as five different flow rates</w:t>
      </w:r>
    </w:p>
    <w:p w14:paraId="1A3C58C8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1826B24C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noProof/>
          <w:szCs w:val="20"/>
        </w:rPr>
        <w:lastRenderedPageBreak/>
        <w:drawing>
          <wp:inline distT="0" distB="0" distL="0" distR="0" wp14:anchorId="7948816A" wp14:editId="070971BE">
            <wp:extent cx="5731510" cy="1240790"/>
            <wp:effectExtent l="0" t="0" r="0" b="0"/>
            <wp:docPr id="1043" name="shape1043" descr="A close up of a yellow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shape1043" descr="A close up of a yellow objec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Cs w:val="20"/>
        </w:rPr>
        <w:drawing>
          <wp:inline distT="0" distB="0" distL="0" distR="0" wp14:anchorId="3A93C65F" wp14:editId="105D2B6A">
            <wp:extent cx="2808000" cy="2133557"/>
            <wp:effectExtent l="0" t="0" r="0" b="0"/>
            <wp:docPr id="1044" name="shape1044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shape1044" descr="A graph with a lin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2133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Cs w:val="20"/>
        </w:rPr>
        <w:t>8</w:t>
      </w:r>
      <w:r>
        <w:rPr>
          <w:rFonts w:ascii="Times New Roman" w:hAnsi="Times New Roman" w:cs="Times New Roman" w:hint="eastAsia"/>
          <w:noProof/>
          <w:szCs w:val="20"/>
        </w:rPr>
        <w:drawing>
          <wp:inline distT="0" distB="0" distL="0" distR="0" wp14:anchorId="4B8375B1" wp14:editId="61574D7C">
            <wp:extent cx="2808000" cy="2142108"/>
            <wp:effectExtent l="0" t="0" r="0" b="0"/>
            <wp:docPr id="1045" name="shape1045" descr="A graph with lines draw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shape1045" descr="A graph with lines drawn on i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214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2C595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bCs/>
          <w:szCs w:val="20"/>
        </w:rPr>
      </w:pPr>
      <w:r>
        <w:rPr>
          <w:rFonts w:ascii="Times New Roman" w:hAnsi="Times New Roman" w:cs="Times New Roman"/>
          <w:color w:val="FF0000"/>
          <w:szCs w:val="20"/>
          <w:highlight w:val="yellow"/>
        </w:rPr>
        <w:t xml:space="preserve">Fig. S3 </w:t>
      </w:r>
      <w:r>
        <w:rPr>
          <w:rFonts w:ascii="Times New Roman" w:hAnsi="Times New Roman" w:cs="Times New Roman" w:hint="eastAsia"/>
          <w:bCs/>
          <w:szCs w:val="20"/>
        </w:rPr>
        <w:t>50 nm</w:t>
      </w:r>
      <w:r>
        <w:rPr>
          <w:rFonts w:ascii="Times New Roman" w:hAnsi="Times New Roman" w:cs="Times New Roman"/>
          <w:bCs/>
          <w:szCs w:val="20"/>
        </w:rPr>
        <w:t xml:space="preserve"> particle at 0.</w:t>
      </w:r>
      <w:r>
        <w:rPr>
          <w:rFonts w:ascii="Times New Roman" w:hAnsi="Times New Roman" w:cs="Times New Roman" w:hint="eastAsia"/>
          <w:bCs/>
          <w:szCs w:val="20"/>
        </w:rPr>
        <w:t>5</w:t>
      </w:r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wt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% PEO concertation. (a) Flow stream images of fluorescent PS particles with </w:t>
      </w:r>
      <w:r>
        <w:rPr>
          <w:rFonts w:ascii="Times New Roman" w:hAnsi="Times New Roman" w:cs="Times New Roman" w:hint="eastAsia"/>
          <w:bCs/>
          <w:szCs w:val="20"/>
        </w:rPr>
        <w:t>5</w:t>
      </w:r>
      <w:r>
        <w:rPr>
          <w:rFonts w:ascii="Times New Roman" w:hAnsi="Times New Roman" w:cs="Times New Roman"/>
          <w:bCs/>
          <w:szCs w:val="20"/>
        </w:rPr>
        <w:t>0</w:t>
      </w:r>
      <w:r>
        <w:rPr>
          <w:rFonts w:ascii="Times New Roman" w:hAnsi="Times New Roman" w:cs="Times New Roman" w:hint="eastAsia"/>
          <w:bCs/>
          <w:szCs w:val="20"/>
        </w:rPr>
        <w:t xml:space="preserve"> </w:t>
      </w:r>
      <w:r>
        <w:rPr>
          <w:rFonts w:ascii="Times New Roman" w:hAnsi="Times New Roman" w:cs="Times New Roman"/>
          <w:bCs/>
          <w:szCs w:val="20"/>
        </w:rPr>
        <w:t xml:space="preserve">nm diameter obtained for </w:t>
      </w:r>
      <w:r>
        <w:rPr>
          <w:rFonts w:ascii="Times New Roman" w:hAnsi="Times New Roman" w:cs="Times New Roman" w:hint="eastAsia"/>
          <w:bCs/>
          <w:szCs w:val="20"/>
        </w:rPr>
        <w:t>three</w:t>
      </w:r>
      <w:r>
        <w:rPr>
          <w:rFonts w:ascii="Times New Roman" w:hAnsi="Times New Roman" w:cs="Times New Roman"/>
          <w:bCs/>
          <w:szCs w:val="20"/>
        </w:rPr>
        <w:t xml:space="preserve"> different flow conditions. (b) Focusing efficiencies are plotted as different flow rates. (c) Normalized </w:t>
      </w:r>
      <w:r>
        <w:rPr>
          <w:rFonts w:ascii="Times New Roman" w:eastAsia="Malgun Gothic" w:hAnsi="Times New Roman" w:cs="Times New Roman"/>
          <w:bCs/>
          <w:szCs w:val="20"/>
        </w:rPr>
        <w:t>fluorescence</w:t>
      </w:r>
      <w:r>
        <w:rPr>
          <w:rFonts w:ascii="Times New Roman" w:hAnsi="Times New Roman" w:cs="Times New Roman"/>
          <w:bCs/>
          <w:szCs w:val="20"/>
        </w:rPr>
        <w:t xml:space="preserve"> intensity profiles of 50 nm particles along the channel width </w:t>
      </w:r>
      <w:proofErr w:type="gramStart"/>
      <w:r>
        <w:rPr>
          <w:rFonts w:ascii="Times New Roman" w:hAnsi="Times New Roman" w:cs="Times New Roman"/>
          <w:bCs/>
          <w:szCs w:val="20"/>
        </w:rPr>
        <w:t>is</w:t>
      </w:r>
      <w:proofErr w:type="gramEnd"/>
      <w:r>
        <w:rPr>
          <w:rFonts w:ascii="Times New Roman" w:hAnsi="Times New Roman" w:cs="Times New Roman"/>
          <w:bCs/>
          <w:szCs w:val="20"/>
        </w:rPr>
        <w:t xml:space="preserve"> plotted as three different flow rates</w:t>
      </w:r>
    </w:p>
    <w:p w14:paraId="5CB2B2E7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4E863696" w14:textId="77777777" w:rsidR="00616318" w:rsidRDefault="00616318" w:rsidP="00616318">
      <w:pPr>
        <w:widowControl/>
        <w:wordWrap/>
        <w:autoSpaceDE/>
        <w:autoSpaceDN/>
        <w:rPr>
          <w:noProof/>
        </w:rPr>
      </w:pPr>
      <w:r>
        <w:rPr>
          <w:noProof/>
        </w:rPr>
        <w:drawing>
          <wp:inline distT="0" distB="0" distL="0" distR="0" wp14:anchorId="75DE553A" wp14:editId="6D446EED">
            <wp:extent cx="1800000" cy="1378316"/>
            <wp:effectExtent l="0" t="0" r="0" b="0"/>
            <wp:docPr id="1046" name="shape1046" descr="A green line graph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shape1046" descr="A green line graph with numbe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37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4379B13B" wp14:editId="756074FA">
            <wp:extent cx="1800000" cy="1378316"/>
            <wp:effectExtent l="0" t="0" r="0" b="0"/>
            <wp:docPr id="1047" name="shape1047" descr="A graph of a curv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shape1047" descr="A graph of a curv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37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C57CB05" wp14:editId="107496D4">
            <wp:extent cx="1800000" cy="1378316"/>
            <wp:effectExtent l="0" t="0" r="0" b="0"/>
            <wp:docPr id="1048" name="shape1048" descr="A graph of a lin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shape1048" descr="A graph of a line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37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8FD33" w14:textId="77777777" w:rsidR="00616318" w:rsidRDefault="00616318" w:rsidP="00616318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color w:val="FF0000"/>
          <w:szCs w:val="20"/>
          <w:highlight w:val="yellow"/>
        </w:rPr>
        <w:t xml:space="preserve">Fig. S4 </w:t>
      </w:r>
      <w:r>
        <w:rPr>
          <w:rFonts w:ascii="Times New Roman" w:hAnsi="Times New Roman" w:cs="Times New Roman"/>
          <w:szCs w:val="20"/>
        </w:rPr>
        <w:t xml:space="preserve">Normalized fluorescence intensity profiles of (a) 250 nm, (b) 180 nm and (c) 100 nm particles along the channel width </w:t>
      </w:r>
      <w:proofErr w:type="gramStart"/>
      <w:r>
        <w:rPr>
          <w:rFonts w:ascii="Times New Roman" w:hAnsi="Times New Roman" w:cs="Times New Roman"/>
          <w:szCs w:val="20"/>
        </w:rPr>
        <w:t>is</w:t>
      </w:r>
      <w:proofErr w:type="gramEnd"/>
      <w:r>
        <w:rPr>
          <w:rFonts w:ascii="Times New Roman" w:hAnsi="Times New Roman" w:cs="Times New Roman"/>
          <w:szCs w:val="20"/>
        </w:rPr>
        <w:t xml:space="preserve"> plotted as three different PEO concentrations</w:t>
      </w:r>
    </w:p>
    <w:p w14:paraId="6CEEB3A5" w14:textId="77777777" w:rsidR="00616318" w:rsidRDefault="00616318"/>
    <w:sectPr w:rsidR="00616318" w:rsidSect="00616318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318"/>
    <w:rsid w:val="00616318"/>
    <w:rsid w:val="0077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FD1E09"/>
  <w15:chartTrackingRefBased/>
  <w15:docId w15:val="{DC3B29A6-17C0-0041-BA5B-ADCF7D525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318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318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JP"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JP"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JP"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JP"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JP"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JP"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JP"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JP"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318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JP"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3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3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3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3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3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3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318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JP"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6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318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JP"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6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318"/>
    <w:pPr>
      <w:widowControl/>
      <w:wordWrap/>
      <w:autoSpaceDE/>
      <w:autoSpaceDN/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JP"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63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318"/>
    <w:pPr>
      <w:widowControl/>
      <w:wordWrap/>
      <w:autoSpaceDE/>
      <w:autoSpaceDN/>
      <w:spacing w:line="278" w:lineRule="auto"/>
      <w:ind w:left="720"/>
      <w:contextualSpacing/>
      <w:jc w:val="left"/>
    </w:pPr>
    <w:rPr>
      <w:sz w:val="24"/>
      <w:szCs w:val="24"/>
      <w:lang w:val="en-JP"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63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31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JP"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3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3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511</dc:creator>
  <cp:keywords/>
  <dc:description/>
  <cp:lastModifiedBy>511</cp:lastModifiedBy>
  <cp:revision>1</cp:revision>
  <dcterms:created xsi:type="dcterms:W3CDTF">2024-09-09T04:25:00Z</dcterms:created>
  <dcterms:modified xsi:type="dcterms:W3CDTF">2024-09-09T04:26:00Z</dcterms:modified>
</cp:coreProperties>
</file>