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DD26F">
      <w:pPr>
        <w:tabs>
          <w:tab w:val="left" w:pos="2591"/>
          <w:tab w:val="center" w:pos="4153"/>
        </w:tabs>
        <w:bidi w:val="0"/>
        <w:spacing w:after="0" w:line="360" w:lineRule="auto"/>
        <w:jc w:val="both"/>
        <w:rPr>
          <w:rFonts w:hint="default" w:ascii="Times New Roman" w:hAnsi="Times New Roman" w:eastAsia="Calibri" w:cs="Times New Roman"/>
          <w:lang w:val="en-US" w:bidi="ar-EG"/>
        </w:rPr>
      </w:pPr>
      <w:r>
        <w:rPr>
          <w:rFonts w:ascii="Times New Roman" w:hAnsi="Times New Roman" w:eastAsia="Calibri" w:cs="Times New Roman"/>
          <w:b/>
          <w:bCs/>
        </w:rPr>
        <w:t>Table 1</w:t>
      </w:r>
      <w:r>
        <w:rPr>
          <w:rFonts w:ascii="Times New Roman" w:hAnsi="Times New Roman" w:eastAsia="Calibri" w:cs="Times New Roman"/>
          <w:lang w:bidi="ar-EG"/>
        </w:rPr>
        <w:t xml:space="preserve">  Specifications of the Ion Exchange Resin Amberlite IRA-400</w:t>
      </w:r>
      <w:r>
        <w:rPr>
          <w:rFonts w:hint="default" w:ascii="Times New Roman" w:hAnsi="Times New Roman" w:eastAsia="Calibri" w:cs="Times New Roman"/>
          <w:lang w:val="en-US" w:bidi="ar-EG"/>
        </w:rPr>
        <w:t>.</w:t>
      </w:r>
    </w:p>
    <w:p w14:paraId="518400D0">
      <w:pPr>
        <w:tabs>
          <w:tab w:val="left" w:pos="2591"/>
          <w:tab w:val="center" w:pos="4153"/>
        </w:tabs>
        <w:bidi w:val="0"/>
        <w:spacing w:after="0" w:line="360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lang w:bidi="ar-EG"/>
        </w:rPr>
        <w:t xml:space="preserve"> </w:t>
      </w:r>
    </w:p>
    <w:tbl>
      <w:tblPr>
        <w:tblStyle w:val="11"/>
        <w:tblW w:w="0" w:type="auto"/>
        <w:tblInd w:w="0" w:type="dxa"/>
        <w:tbl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H w:val="single" w:color="ED7D31" w:themeColor="accent2" w:sz="8" w:space="0"/>
          <w:insideV w:val="single" w:color="ED7D31" w:themeColor="accent2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835"/>
      </w:tblGrid>
      <w:tr w14:paraId="72577EF7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18" w:space="0"/>
              <w:right w:val="single" w:color="ED7D31" w:themeColor="accent2" w:sz="8" w:space="0"/>
              <w:insideH w:val="single" w:sz="18" w:space="0"/>
              <w:insideV w:val="single" w:sz="8" w:space="0"/>
            </w:tcBorders>
          </w:tcPr>
          <w:p w14:paraId="591294D3">
            <w:pPr>
              <w:tabs>
                <w:tab w:val="left" w:pos="2591"/>
                <w:tab w:val="center" w:pos="4153"/>
              </w:tabs>
              <w:bidi w:val="0"/>
              <w:spacing w:before="0"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 xml:space="preserve">Parameters 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18" w:space="0"/>
              <w:right w:val="single" w:color="ED7D31" w:themeColor="accent2" w:sz="8" w:space="0"/>
              <w:insideH w:val="single" w:sz="18" w:space="0"/>
              <w:insideV w:val="single" w:sz="8" w:space="0"/>
            </w:tcBorders>
          </w:tcPr>
          <w:p w14:paraId="08C92805">
            <w:pPr>
              <w:numPr>
                <w:ilvl w:val="0"/>
                <w:numId w:val="1"/>
              </w:numPr>
              <w:shd w:val="clear" w:color="auto" w:fill="FFFFFF"/>
              <w:bidi w:val="0"/>
              <w:spacing w:before="0" w:after="0" w:line="240" w:lineRule="auto"/>
              <w:ind w:left="120" w:right="180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S</w:t>
            </w:r>
            <w:r>
              <w:rPr>
                <w:rFonts w:ascii="Times New Roman" w:hAnsi="Times New Roman" w:eastAsia="Calibri" w:cs="Times New Roman"/>
                <w:b/>
                <w:bCs/>
                <w:i/>
                <w:iCs/>
                <w:sz w:val="24"/>
                <w:szCs w:val="24"/>
              </w:rPr>
              <w:t>pecification</w:t>
            </w:r>
          </w:p>
        </w:tc>
      </w:tr>
      <w:tr w14:paraId="65A9D0D1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  <w:shd w:val="clear" w:color="auto" w:fill="FADECC" w:themeFill="accent2" w:themeFillTint="3F"/>
          </w:tcPr>
          <w:p w14:paraId="1D7F026C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  <w:t>Polymer matrix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  <w:shd w:val="clear" w:color="auto" w:fill="FADECC" w:themeFill="accent2" w:themeFillTint="3F"/>
          </w:tcPr>
          <w:p w14:paraId="247499EE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Polystyrene DVB</w:t>
            </w:r>
          </w:p>
        </w:tc>
      </w:tr>
      <w:tr w14:paraId="29771DC1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</w:tcPr>
          <w:p w14:paraId="7DD0F10D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  <w:t>Functional group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</w:tcPr>
          <w:p w14:paraId="4B5CC340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–N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R3</w:t>
            </w:r>
          </w:p>
        </w:tc>
      </w:tr>
      <w:tr w14:paraId="1E511A49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  <w:shd w:val="clear" w:color="auto" w:fill="FADECC" w:themeFill="accent2" w:themeFillTint="3F"/>
          </w:tcPr>
          <w:p w14:paraId="7FBF5990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 xml:space="preserve">Ionic 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  <w:t>form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  <w:shd w:val="clear" w:color="auto" w:fill="FADECC" w:themeFill="accent2" w:themeFillTint="3F"/>
          </w:tcPr>
          <w:p w14:paraId="369BCF80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Cl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vertAlign w:val="superscript"/>
              </w:rPr>
              <w:t>−</w:t>
            </w:r>
          </w:p>
        </w:tc>
      </w:tr>
      <w:tr w14:paraId="687C8050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</w:tcPr>
          <w:p w14:paraId="1EA3AAD5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 xml:space="preserve">Exchange 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  <w:t>capacity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</w:tcPr>
          <w:p w14:paraId="4FC4EC79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2.6 – 3 eq kg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vertAlign w:val="superscript"/>
              </w:rPr>
              <w:t>−1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(dry mass)</w:t>
            </w:r>
          </w:p>
        </w:tc>
      </w:tr>
      <w:tr w14:paraId="66E64DA9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  <w:shd w:val="clear" w:color="auto" w:fill="FADECC" w:themeFill="accent2" w:themeFillTint="3F"/>
          </w:tcPr>
          <w:p w14:paraId="70AD76B0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  <w:t>Effective size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  <w:shd w:val="clear" w:color="auto" w:fill="FADECC" w:themeFill="accent2" w:themeFillTint="3F"/>
          </w:tcPr>
          <w:p w14:paraId="48A76C00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0.3–0.9 mm</w:t>
            </w:r>
          </w:p>
        </w:tc>
      </w:tr>
      <w:tr w14:paraId="5F8EDC7B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</w:tcPr>
          <w:p w14:paraId="469E692B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  <w:t xml:space="preserve">Operating temperature  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</w:tcPr>
          <w:p w14:paraId="46D6535F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80°C (maximum)</w:t>
            </w:r>
          </w:p>
        </w:tc>
      </w:tr>
      <w:tr w14:paraId="61DCD1D7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  <w:shd w:val="clear" w:color="auto" w:fill="FADECC" w:themeFill="accent2" w:themeFillTint="3F"/>
          </w:tcPr>
          <w:p w14:paraId="78DA5A05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  <w:t>pH range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  <w:shd w:val="clear" w:color="auto" w:fill="FADECC" w:themeFill="accent2" w:themeFillTint="3F"/>
          </w:tcPr>
          <w:p w14:paraId="755E957C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0–14</w:t>
            </w:r>
          </w:p>
        </w:tc>
      </w:tr>
      <w:tr w14:paraId="7B5FEBAF">
        <w:tblPrEx>
          <w:tblBorders>
            <w:top w:val="single" w:color="ED7D31" w:themeColor="accent2" w:sz="8" w:space="0"/>
            <w:left w:val="single" w:color="ED7D31" w:themeColor="accent2" w:sz="8" w:space="0"/>
            <w:bottom w:val="single" w:color="ED7D31" w:themeColor="accent2" w:sz="8" w:space="0"/>
            <w:right w:val="single" w:color="ED7D31" w:themeColor="accent2" w:sz="8" w:space="0"/>
            <w:insideH w:val="single" w:color="ED7D31" w:themeColor="accent2" w:sz="8" w:space="0"/>
            <w:insideV w:val="single" w:color="ED7D31" w:themeColor="accent2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660" w:type="dxa"/>
            <w:tcBorders>
              <w:top w:val="single" w:color="ED7D31" w:themeColor="accent2" w:sz="8" w:space="0"/>
              <w:left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</w:tcPr>
          <w:p w14:paraId="0C286324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highlight w:val="none"/>
                <w:lang w:bidi="ar-EG"/>
              </w:rPr>
              <w:t>Structure</w:t>
            </w:r>
          </w:p>
        </w:tc>
        <w:tc>
          <w:tcPr>
            <w:tcW w:w="2835" w:type="dxa"/>
            <w:tcBorders>
              <w:top w:val="single" w:color="ED7D31" w:themeColor="accent2" w:sz="8" w:space="0"/>
              <w:bottom w:val="single" w:color="ED7D31" w:themeColor="accent2" w:sz="8" w:space="0"/>
              <w:right w:val="single" w:color="ED7D31" w:themeColor="accent2" w:sz="8" w:space="0"/>
              <w:insideH w:val="single" w:sz="8" w:space="0"/>
              <w:insideV w:val="single" w:sz="8" w:space="0"/>
            </w:tcBorders>
          </w:tcPr>
          <w:p w14:paraId="647858DE">
            <w:pPr>
              <w:tabs>
                <w:tab w:val="left" w:pos="2591"/>
                <w:tab w:val="center" w:pos="4153"/>
              </w:tabs>
              <w:bidi w:val="0"/>
              <w:spacing w:after="0" w:line="36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drawing>
                <wp:inline distT="0" distB="0" distL="0" distR="0">
                  <wp:extent cx="1657350" cy="695325"/>
                  <wp:effectExtent l="0" t="0" r="0" b="9525"/>
                  <wp:docPr id="13" name="Picture 13" descr="G:\paper with د. سيد عبد الجواد-Resin with Se\Figures of results\structure of resin-sah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G:\paper with د. سيد عبد الجواد-Resin with Se\Figures of results\structure of resin-sah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A84A58">
      <w:pPr>
        <w:tabs>
          <w:tab w:val="right" w:pos="6379"/>
          <w:tab w:val="right" w:pos="6663"/>
          <w:tab w:val="right" w:pos="7230"/>
          <w:tab w:val="right" w:pos="7797"/>
        </w:tabs>
        <w:bidi w:val="0"/>
        <w:spacing w:after="200" w:line="360" w:lineRule="auto"/>
        <w:jc w:val="both"/>
        <w:rPr>
          <w:rFonts w:ascii="Times New Roman" w:hAnsi="Times New Roman" w:eastAsia="Calibri" w:cs="Times New Roman"/>
          <w:b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eastAsia="Calibri" w:cs="Times New Roman"/>
          <w:b/>
          <w:bCs/>
          <w:color w:val="222222"/>
          <w:sz w:val="24"/>
          <w:szCs w:val="24"/>
          <w:shd w:val="clear" w:color="auto" w:fill="FFFFFF"/>
        </w:rPr>
        <w:t xml:space="preserve">           </w:t>
      </w:r>
    </w:p>
    <w:p w14:paraId="1A3821AD">
      <w:pPr>
        <w:jc w:val="center"/>
        <w:rPr>
          <w:rFonts w:hint="default" w:ascii="Times New Roman" w:hAnsi="Times New Roman" w:eastAsia="SimSun" w:cs="Times New Roman"/>
          <w:kern w:val="0"/>
          <w:sz w:val="24"/>
          <w:szCs w:val="24"/>
          <w:lang w:val="en-US" w:eastAsia="zh-CN" w:bidi="ar"/>
        </w:rPr>
      </w:pPr>
      <w:r>
        <w:rPr>
          <w:rFonts w:ascii="Times New Roman" w:hAnsi="Times New Roman" w:eastAsia="Calibri" w:cs="Times New Roman"/>
          <w:b/>
          <w:bCs/>
          <w:color w:val="222222"/>
          <w:sz w:val="24"/>
          <w:szCs w:val="24"/>
          <w:shd w:val="clear" w:color="auto" w:fill="FFFFFF"/>
        </w:rPr>
        <w:br w:type="page"/>
      </w:r>
    </w:p>
    <w:p w14:paraId="247683E7">
      <w:pPr>
        <w:jc w:val="both"/>
        <w:rPr>
          <w:rFonts w:hint="default" w:ascii="Times New Roman" w:hAnsi="Times New Roman" w:eastAsia="SimSun" w:cs="Times New Roman"/>
          <w:kern w:val="0"/>
          <w:sz w:val="24"/>
          <w:szCs w:val="24"/>
          <w:lang w:val="en-US" w:eastAsia="zh-CN" w:bidi="ar"/>
        </w:rPr>
      </w:pPr>
    </w:p>
    <w:p w14:paraId="29D12A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eastAsia="Calibri" w:cs="Times New Roman"/>
          <w:sz w:val="24"/>
          <w:szCs w:val="24"/>
          <w:lang w:bidi="ar-EG"/>
        </w:rPr>
      </w:pPr>
      <w:r>
        <w:rPr>
          <w:rFonts w:hint="default" w:ascii="Times New Roman" w:hAnsi="Times New Roman" w:eastAsia="Calibri" w:cs="Times New Roman"/>
          <w:b/>
          <w:bCs/>
          <w:sz w:val="24"/>
          <w:szCs w:val="24"/>
          <w:lang w:bidi="ar-EG"/>
        </w:rPr>
        <w:t>Table 2</w:t>
      </w:r>
      <w:r>
        <w:rPr>
          <w:rFonts w:hint="default" w:ascii="Times New Roman" w:hAnsi="Times New Roman" w:eastAsia="Calibri" w:cs="Times New Roman"/>
          <w:sz w:val="24"/>
          <w:szCs w:val="24"/>
          <w:lang w:bidi="ar-EG"/>
        </w:rPr>
        <w:t xml:space="preserve"> Models and equilibrium isotherms for the sorption of selenium ions onto Amberlite </w:t>
      </w:r>
      <w:r>
        <w:rPr>
          <w:rFonts w:ascii="Times New Roman" w:hAnsi="Times New Roman" w:eastAsia="Calibri" w:cs="Times New Roman"/>
          <w:sz w:val="24"/>
          <w:szCs w:val="24"/>
          <w:lang w:bidi="ar-EG"/>
        </w:rPr>
        <w:t xml:space="preserve">IR 400 resin [25-27]. </w:t>
      </w:r>
    </w:p>
    <w:tbl>
      <w:tblPr>
        <w:tblStyle w:val="10"/>
        <w:tblpPr w:leftFromText="180" w:rightFromText="180" w:vertAnchor="text" w:horzAnchor="margin" w:tblpXSpec="center" w:tblpY="409"/>
        <w:tblW w:w="9306" w:type="dxa"/>
        <w:tblInd w:w="-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3469"/>
        <w:gridCol w:w="1417"/>
        <w:gridCol w:w="2410"/>
      </w:tblGrid>
      <w:tr w14:paraId="48719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010" w:type="dxa"/>
          </w:tcPr>
          <w:p w14:paraId="0E46BAA2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Isotherm </w:t>
            </w:r>
          </w:p>
        </w:tc>
        <w:tc>
          <w:tcPr>
            <w:tcW w:w="3469" w:type="dxa"/>
          </w:tcPr>
          <w:p w14:paraId="6C4B36DB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Linear form </w:t>
            </w:r>
          </w:p>
        </w:tc>
        <w:tc>
          <w:tcPr>
            <w:tcW w:w="1417" w:type="dxa"/>
          </w:tcPr>
          <w:p w14:paraId="09C789C9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Plot </w:t>
            </w:r>
          </w:p>
        </w:tc>
        <w:tc>
          <w:tcPr>
            <w:tcW w:w="2410" w:type="dxa"/>
          </w:tcPr>
          <w:p w14:paraId="092DCADD">
            <w:pPr>
              <w:bidi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Slope and intercept </w:t>
            </w:r>
          </w:p>
        </w:tc>
      </w:tr>
      <w:tr w14:paraId="7EDC1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010" w:type="dxa"/>
          </w:tcPr>
          <w:p w14:paraId="06D35327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ar-EG"/>
              </w:rPr>
              <w:t xml:space="preserve">      Langmuir</w:t>
            </w:r>
          </w:p>
        </w:tc>
        <w:tc>
          <w:tcPr>
            <w:tcW w:w="3469" w:type="dxa"/>
          </w:tcPr>
          <w:p w14:paraId="407D9168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  <w:lang w:bidi="ar-EG"/>
                          </w:rPr>
                          <m:t>C</m:t>
                        </m: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  <w:lang w:bidi="ar-EG"/>
                          </w:rPr>
                          <m:t>e</m:t>
                        </m: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  <w:lang w:bidi="ar-EG"/>
                          </w:rPr>
                          <m:t>q</m:t>
                        </m: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  <w:lang w:bidi="ar-EG"/>
                          </w:rPr>
                          <m:t>e</m:t>
                        </m: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den>
                </m:f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  <w:lang w:bidi="ar-EG"/>
                  </w:rPr>
                  <m:t>=</m:t>
                </m:r>
                <m:d>
                  <m:dPr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  <w:lang w:bidi="ar-EG"/>
                          </w:rPr>
                          <m:t>1</m:t>
                        </m: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eastAsia="Times New Roman" w:cs="Times New Roman"/>
                                <w:bCs/>
                                <w:sz w:val="20"/>
                                <w:szCs w:val="20"/>
                                <w:lang w:bidi="ar-EG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  <w:lang w:bidi="ar-EG"/>
                              </w:rPr>
                              <m:t>Q</m:t>
                            </m:r>
                            <m:ctrlPr>
                              <w:rPr>
                                <w:rFonts w:ascii="Cambria Math" w:hAnsi="Cambria Math" w:eastAsia="Times New Roman" w:cs="Times New Roman"/>
                                <w:bCs/>
                                <w:sz w:val="20"/>
                                <w:szCs w:val="20"/>
                                <w:lang w:bidi="ar-EG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  <w:lang w:bidi="ar-EG"/>
                              </w:rPr>
                              <m:t>o</m:t>
                            </m:r>
                            <m:ctrlPr>
                              <w:rPr>
                                <w:rFonts w:ascii="Cambria Math" w:hAnsi="Cambria Math" w:eastAsia="Times New Roman" w:cs="Times New Roman"/>
                                <w:bCs/>
                                <w:sz w:val="20"/>
                                <w:szCs w:val="20"/>
                                <w:lang w:bidi="ar-EG"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  <w:lang w:bidi="ar-EG"/>
                          </w:rPr>
                          <m:t>b</m:t>
                        </m: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den>
                    </m:f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e>
                </m:d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  <w:lang w:bidi="ar-EG"/>
                  </w:rPr>
                  <m:t>+</m:t>
                </m:r>
                <m:d>
                  <m:dPr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  <w:lang w:bidi="ar-EG"/>
                          </w:rPr>
                          <m:t>1</m:t>
                        </m:r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eastAsia="Times New Roman" w:cs="Times New Roman"/>
                                <w:bCs/>
                                <w:sz w:val="20"/>
                                <w:szCs w:val="20"/>
                                <w:lang w:bidi="ar-EG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  <w:lang w:bidi="ar-EG"/>
                              </w:rPr>
                              <m:t>Q</m:t>
                            </m:r>
                            <m:ctrlPr>
                              <w:rPr>
                                <w:rFonts w:ascii="Cambria Math" w:hAnsi="Cambria Math" w:eastAsia="Times New Roman" w:cs="Times New Roman"/>
                                <w:bCs/>
                                <w:sz w:val="20"/>
                                <w:szCs w:val="20"/>
                                <w:lang w:bidi="ar-EG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  <w:lang w:bidi="ar-EG"/>
                              </w:rPr>
                              <m:t>o</m:t>
                            </m:r>
                            <m:ctrlPr>
                              <w:rPr>
                                <w:rFonts w:ascii="Cambria Math" w:hAnsi="Cambria Math" w:eastAsia="Times New Roman" w:cs="Times New Roman"/>
                                <w:bCs/>
                                <w:sz w:val="20"/>
                                <w:szCs w:val="20"/>
                                <w:lang w:bidi="ar-EG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eastAsia="Times New Roman" w:cs="Times New Roman"/>
                            <w:bCs/>
                            <w:sz w:val="20"/>
                            <w:szCs w:val="20"/>
                            <w:lang w:bidi="ar-EG"/>
                          </w:rPr>
                        </m:ctrlPr>
                      </m:den>
                    </m:f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e>
                </m:d>
                <m:sSub>
                  <m:sSubPr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  <w:lang w:bidi="ar-EG"/>
                      </w:rPr>
                      <m:t>C</m:t>
                    </m:r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  <w:lang w:bidi="ar-EG"/>
                      </w:rPr>
                      <m:t>e</m:t>
                    </m:r>
                    <m:ctrlPr>
                      <w:rPr>
                        <w:rFonts w:ascii="Cambria Math" w:hAnsi="Cambria Math" w:eastAsia="Times New Roman" w:cs="Times New Roman"/>
                        <w:bCs/>
                        <w:sz w:val="20"/>
                        <w:szCs w:val="20"/>
                        <w:lang w:bidi="ar-EG"/>
                      </w:rPr>
                    </m:ctrlPr>
                  </m:sub>
                </m:sSub>
              </m:oMath>
            </m:oMathPara>
          </w:p>
          <w:p w14:paraId="74B13C04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1/ 1+bC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o                </w:t>
            </w:r>
          </w:p>
        </w:tc>
        <w:tc>
          <w:tcPr>
            <w:tcW w:w="1417" w:type="dxa"/>
          </w:tcPr>
          <w:p w14:paraId="23AC8120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/q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bidi="ar-EG"/>
              </w:rPr>
              <w:t xml:space="preserve"> versus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C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2410" w:type="dxa"/>
          </w:tcPr>
          <w:p w14:paraId="2B5E12F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Slope= 1/ Q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30C3AF7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 =1/ Q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14:paraId="2F254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010" w:type="dxa"/>
          </w:tcPr>
          <w:p w14:paraId="4A6858C0">
            <w:pPr>
              <w:autoSpaceDE w:val="0"/>
              <w:autoSpaceDN w:val="0"/>
              <w:bidi w:val="0"/>
              <w:adjustRightInd w:val="0"/>
              <w:spacing w:after="0" w:line="240" w:lineRule="auto"/>
              <w:ind w:firstLine="200" w:firstLineChars="1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Freundlich</w:t>
            </w:r>
          </w:p>
        </w:tc>
        <w:tc>
          <w:tcPr>
            <w:tcW w:w="3469" w:type="dxa"/>
          </w:tcPr>
          <w:p w14:paraId="3666487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funcPr>
                  <m:fNam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log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fNam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</w:rPr>
                          <m:t>e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sub>
                    </m:sSub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e>
                </m:func>
                <m:r>
                  <m:rPr/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  <m:t>=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funcPr>
                  <m:fNam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log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fNam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</w:rPr>
                          <m:t>f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sub>
                    </m:sSub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e>
                </m:func>
                <m:r>
                  <m:rPr/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n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den>
                </m:f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funcPr>
                  <m:fNam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log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fNam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</w:rPr>
                          <m:t>C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</w:rPr>
                          <m:t>e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</w:rPr>
                        </m:ctrlPr>
                      </m:sub>
                    </m:sSub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e>
                </m:func>
              </m:oMath>
            </m:oMathPara>
          </w:p>
          <w:p w14:paraId="087FCDF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391347D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bidi="ar-EG"/>
              </w:rPr>
              <w:t>log q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bscript"/>
                <w:lang w:bidi="ar-EG"/>
              </w:rPr>
              <w:t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bidi="ar-EG"/>
              </w:rPr>
              <w:t xml:space="preserve"> versus log C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bscript"/>
                <w:lang w:bidi="ar-EG"/>
              </w:rPr>
              <w:t>e</w:t>
            </w:r>
          </w:p>
        </w:tc>
        <w:tc>
          <w:tcPr>
            <w:tcW w:w="2410" w:type="dxa"/>
          </w:tcPr>
          <w:p w14:paraId="247CE2B9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Slope=  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  <w:p w14:paraId="42C0C1EE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 = logK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</w:tr>
      <w:tr w14:paraId="50061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010" w:type="dxa"/>
          </w:tcPr>
          <w:p w14:paraId="07573C5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Thermodynamic</w:t>
            </w:r>
          </w:p>
        </w:tc>
        <w:tc>
          <w:tcPr>
            <w:tcW w:w="3469" w:type="dxa"/>
          </w:tcPr>
          <w:p w14:paraId="20E5EF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ar-EG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ar-EG"/>
                    </w:rPr>
                  </m:ctrlPr>
                </m:sSubPr>
                <m:e>
                  <m:r>
                    <m:rPr/>
                    <w:rPr>
                      <w:rFonts w:ascii="Cambria Math" w:hAnsi="Cambria Math" w:cs="Times New Roman"/>
                      <w:sz w:val="20"/>
                      <w:szCs w:val="20"/>
                      <w:lang w:bidi="ar-EG"/>
                    </w:rPr>
                    <m:t>lnK</m:t>
                  </m: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ar-EG"/>
                    </w:rPr>
                  </m:ctrlPr>
                </m:e>
                <m:sub>
                  <m:r>
                    <m:rPr/>
                    <w:rPr>
                      <w:rFonts w:ascii="Cambria Math" w:hAnsi="Cambria Math" w:cs="Times New Roman"/>
                      <w:sz w:val="20"/>
                      <w:szCs w:val="20"/>
                      <w:lang w:bidi="ar-EG"/>
                    </w:rPr>
                    <m:t>d</m:t>
                  </m: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ar-EG"/>
                    </w:rPr>
                  </m:ctrlPr>
                </m:sub>
              </m:sSub>
              <m:r>
                <m:rPr/>
                <w:rPr>
                  <w:rFonts w:ascii="Cambria Math" w:hAnsi="Cambria Math" w:cs="Times New Roman"/>
                  <w:sz w:val="20"/>
                  <w:szCs w:val="20"/>
                  <w:lang w:bidi="ar-EG"/>
                </w:rPr>
                <m:t>=ΔS°/R+</m:t>
              </m:r>
            </m:oMath>
            <w:r>
              <w:rPr>
                <w:rFonts w:ascii="Cambria Math" w:hAnsi="Cambria Math" w:cs="Times New Roman"/>
                <w:i/>
                <w:sz w:val="20"/>
                <w:szCs w:val="20"/>
                <w:lang w:bidi="ar-EG"/>
              </w:rPr>
              <w:t>-ΔH°</w:t>
            </w:r>
            <m:oMath>
              <m:r>
                <m:rPr/>
                <w:rPr>
                  <w:rFonts w:ascii="Cambria Math" w:hAnsi="Cambria Math" w:cs="Times New Roman"/>
                  <w:sz w:val="20"/>
                  <w:szCs w:val="20"/>
                  <w:lang w:bidi="ar-EG"/>
                </w:rPr>
                <m:t xml:space="preserve">  /R 1 /T</m:t>
              </m:r>
            </m:oMath>
            <w:r>
              <w:rPr>
                <w:rFonts w:ascii="Cambria Math" w:hAnsi="Cambria Math" w:cs="Times New Roman"/>
                <w:i/>
                <w:sz w:val="20"/>
                <w:szCs w:val="20"/>
                <w:lang w:bidi="ar-EG"/>
              </w:rPr>
              <w:t xml:space="preserve">    </w:t>
            </w:r>
          </w:p>
          <w:p w14:paraId="0467F7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rtl/>
                <w:lang w:bidi="ar-EG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ΔG°</m:t>
                </m:r>
                <m:r>
                  <m:rPr/>
                  <w:rPr>
                    <w:rFonts w:ascii="Cambria Math" w:hAnsi="Cambria Math" w:cs="Arial"/>
                    <w:sz w:val="20"/>
                    <w:szCs w:val="20"/>
                  </w:rPr>
                  <m:t>=−RTln</m:t>
                </m:r>
                <m:sSub>
                  <m:sSubPr>
                    <m:ctrlPr>
                      <w:rPr>
                        <w:rFonts w:ascii="Cambria Math" w:hAnsi="Cambria Math" w:cs="Arial"/>
                        <w:sz w:val="20"/>
                        <w:szCs w:val="20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Arial"/>
                        <w:sz w:val="20"/>
                        <w:szCs w:val="20"/>
                      </w:rPr>
                      <m:t>K</m:t>
                    </m:r>
                    <m:ctrlPr>
                      <w:rPr>
                        <w:rFonts w:ascii="Cambria Math" w:hAnsi="Cambria Math" w:cs="Arial"/>
                        <w:sz w:val="20"/>
                        <w:szCs w:val="20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Arial"/>
                        <w:sz w:val="20"/>
                        <w:szCs w:val="20"/>
                      </w:rPr>
                      <m:t>d</m:t>
                    </m:r>
                    <m:ctrlPr>
                      <w:rPr>
                        <w:rFonts w:ascii="Cambria Math" w:hAnsi="Cambria Math" w:cs="Arial"/>
                        <w:sz w:val="20"/>
                        <w:szCs w:val="20"/>
                      </w:rPr>
                    </m:ctrlPr>
                  </m:sub>
                </m:sSub>
              </m:oMath>
            </m:oMathPara>
          </w:p>
        </w:tc>
        <w:tc>
          <w:tcPr>
            <w:tcW w:w="1417" w:type="dxa"/>
          </w:tcPr>
          <w:p w14:paraId="0FCFE6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lnK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versus 1/T</w:t>
            </w:r>
          </w:p>
        </w:tc>
        <w:tc>
          <w:tcPr>
            <w:tcW w:w="2410" w:type="dxa"/>
          </w:tcPr>
          <w:p w14:paraId="14B5B50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Slope=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ΔH°/R</w:t>
            </w:r>
          </w:p>
          <w:p w14:paraId="6E2E5C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rtl/>
                <w:lang w:bidi="ar-EG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Intercept =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ΔS°/R</w:t>
            </w:r>
          </w:p>
        </w:tc>
      </w:tr>
      <w:tr w14:paraId="63452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9306" w:type="dxa"/>
            <w:gridSpan w:val="4"/>
          </w:tcPr>
          <w:p w14:paraId="3601E94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Kinetic model</w:t>
            </w:r>
          </w:p>
        </w:tc>
      </w:tr>
      <w:tr w14:paraId="020A3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010" w:type="dxa"/>
          </w:tcPr>
          <w:p w14:paraId="3D0EAE33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Pseudo-First-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rder</w:t>
            </w:r>
          </w:p>
        </w:tc>
        <w:tc>
          <w:tcPr>
            <w:tcW w:w="3469" w:type="dxa"/>
          </w:tcPr>
          <w:p w14:paraId="0E103EE9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  <w:lang w:bidi="ar-EG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bidi="ar-EG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  <m:t>log</m:t>
                    </m: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bidi="ar-EG"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  <w:lang w:bidi="ar-EG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  <m:t>q</m:t>
                            </m: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  <m:t>e</m:t>
                            </m: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cs="Times New Roman"/>
                            <w:sz w:val="20"/>
                            <w:szCs w:val="20"/>
                            <w:lang w:bidi="ar-EG"/>
                          </w:rPr>
                          <m:t xml:space="preserve">− 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  <m:t>q</m:t>
                            </m: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  <m:t>t</m:t>
                            </m: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bidi="ar-EG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  <w:lang w:bidi="ar-EG"/>
                          </w:rPr>
                        </m:ctrlPr>
                      </m:e>
                    </m:d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bidi="ar-EG"/>
                      </w:rPr>
                    </m:ctrlPr>
                  </m:e>
                </m:func>
                <m:r>
                  <m:rPr/>
                  <w:rPr>
                    <w:rFonts w:ascii="Cambria Math" w:hAnsi="Cambria Math" w:cs="Times New Roman"/>
                    <w:sz w:val="20"/>
                    <w:szCs w:val="20"/>
                    <w:lang w:bidi="ar-EG"/>
                  </w:rPr>
                  <m:t>=log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  <m:t>q</m:t>
                    </m: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  <m:t>e</m:t>
                    </m: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</m:ctrlPr>
                  </m:sub>
                </m:sSub>
                <m:r>
                  <m:rPr/>
                  <w:rPr>
                    <w:rFonts w:ascii="Cambria Math" w:hAnsi="Cambria Math" w:cs="Times New Roman"/>
                    <w:sz w:val="20"/>
                    <w:szCs w:val="20"/>
                    <w:lang w:bidi="ar-EG"/>
                  </w:rPr>
                  <m:t>−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bidi="ar-EG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cs="Times New Roman"/>
                            <w:sz w:val="20"/>
                            <w:szCs w:val="20"/>
                            <w:lang w:bidi="ar-EG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bidi="ar-EG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sz w:val="20"/>
                            <w:szCs w:val="20"/>
                            <w:lang w:bidi="ar-EG"/>
                          </w:rPr>
                          <m:t xml:space="preserve">1  </m:t>
                        </m: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bidi="ar-EG"/>
                          </w:rPr>
                        </m:ctrlPr>
                      </m:sub>
                    </m:sSub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  <m:t>2.303</m:t>
                    </m: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lang w:bidi="ar-EG"/>
                      </w:rPr>
                    </m:ctrlPr>
                  </m:den>
                </m:f>
                <m:r>
                  <m:rPr/>
                  <w:rPr>
                    <w:rFonts w:ascii="Cambria Math" w:hAnsi="Cambria Math" w:cs="Times New Roman"/>
                    <w:sz w:val="20"/>
                    <w:szCs w:val="20"/>
                    <w:lang w:bidi="ar-EG"/>
                  </w:rPr>
                  <m:t xml:space="preserve"> t</m:t>
                </m:r>
              </m:oMath>
            </m:oMathPara>
          </w:p>
        </w:tc>
        <w:tc>
          <w:tcPr>
            <w:tcW w:w="1417" w:type="dxa"/>
          </w:tcPr>
          <w:p w14:paraId="2CA04C39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Log(q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-q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 versus t</w:t>
            </w:r>
          </w:p>
        </w:tc>
        <w:tc>
          <w:tcPr>
            <w:tcW w:w="2410" w:type="dxa"/>
          </w:tcPr>
          <w:p w14:paraId="14DF3C1C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Slope= - 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2.303</w:t>
            </w:r>
          </w:p>
          <w:p w14:paraId="6E820587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 = log q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</w:t>
            </w:r>
          </w:p>
        </w:tc>
      </w:tr>
      <w:tr w14:paraId="35D15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010" w:type="dxa"/>
          </w:tcPr>
          <w:p w14:paraId="03334E82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Pseudo-Second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-o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rder</w:t>
            </w:r>
          </w:p>
        </w:tc>
        <w:tc>
          <w:tcPr>
            <w:tcW w:w="3469" w:type="dxa"/>
          </w:tcPr>
          <w:p w14:paraId="14DD27C9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ar-EG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fPr>
                  <m:num>
                    <m:r>
                      <m:rPr>
                        <m:nor/>
                        <m:sty m:val="p"/>
                      </m:rPr>
                      <w:rPr>
                        <w:rFonts w:ascii="Times New Roman" w:hAnsi="Times New Roman" w:cs="Times New Roman"/>
                        <w:b w:val="0"/>
                        <w:i w:val="0"/>
                        <w:sz w:val="24"/>
                        <w:szCs w:val="24"/>
                        <w:lang w:bidi="ar-EG"/>
                      </w:rPr>
                      <m:t>t</m:t>
                    </m: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>t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ub>
                    </m:sSub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den>
                </m:f>
                <m:r>
                  <m:rPr/>
                  <w:rPr>
                    <w:rFonts w:ascii="Cambria Math" w:hAnsi="Cambria Math" w:cs="Times New Roman"/>
                    <w:sz w:val="24"/>
                    <w:szCs w:val="24"/>
                    <w:lang w:bidi="ar-EG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 xml:space="preserve">2  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SubSupPr>
                      <m:e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>e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>2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up>
                    </m:sSubSup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den>
                </m:f>
                <m:r>
                  <m:rPr/>
                  <w:rPr>
                    <w:rFonts w:ascii="Cambria Math" w:hAnsi="Cambria Math" w:cs="Times New Roman"/>
                    <w:sz w:val="24"/>
                    <w:szCs w:val="24"/>
                    <w:lang w:bidi="ar-EG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  <m:t>t</m:t>
                    </m: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>q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  <m:t>e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bidi="ar-EG"/>
                          </w:rPr>
                        </m:ctrlPr>
                      </m:sub>
                    </m:sSub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bidi="ar-EG"/>
                      </w:rPr>
                    </m:ctrlPr>
                  </m:den>
                </m:f>
              </m:oMath>
            </m:oMathPara>
          </w:p>
        </w:tc>
        <w:tc>
          <w:tcPr>
            <w:tcW w:w="1417" w:type="dxa"/>
          </w:tcPr>
          <w:p w14:paraId="24D633C0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t/q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versus t</w:t>
            </w:r>
          </w:p>
        </w:tc>
        <w:tc>
          <w:tcPr>
            <w:tcW w:w="2410" w:type="dxa"/>
          </w:tcPr>
          <w:p w14:paraId="65293AC4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Slope= 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</w:p>
          <w:p w14:paraId="5486797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 = 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SupPr>
                <m:e>
                  <m:r>
                    <m:rPr/>
                    <w:rPr>
                      <w:rFonts w:ascii="Cambria Math" w:hAnsi="Cambria Math" w:cs="Times New Roman"/>
                      <w:sz w:val="20"/>
                      <w:szCs w:val="20"/>
                    </w:rPr>
                    <m:t>q</m:t>
                  </m: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e>
                <m:sub>
                  <m:r>
                    <m:rPr/>
                    <w:rPr>
                      <w:rFonts w:ascii="Cambria Math" w:hAnsi="Cambria Math" w:cs="Times New Roman"/>
                      <w:sz w:val="20"/>
                      <w:szCs w:val="20"/>
                    </w:rPr>
                    <m:t>e</m:t>
                  </m: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ub>
                <m:sup>
                  <m:r>
                    <m:rPr/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up>
              </m:sSubSup>
            </m:oMath>
          </w:p>
        </w:tc>
      </w:tr>
    </w:tbl>
    <w:p w14:paraId="6CD80901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eastAsia="Calibri" w:cs="Times New Roman"/>
          <w:sz w:val="24"/>
          <w:szCs w:val="24"/>
          <w:lang w:val="en-GB"/>
        </w:rPr>
      </w:pPr>
    </w:p>
    <w:p w14:paraId="2E57E47E">
      <w:pPr>
        <w:rPr>
          <w:rFonts w:ascii="Times New Roman" w:hAnsi="Times New Roman" w:eastAsia="Calibri" w:cs="Times New Roman"/>
          <w:b/>
          <w:bCs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</w:rPr>
        <w:br w:type="page"/>
      </w:r>
    </w:p>
    <w:p w14:paraId="09DBA7D5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</w:pPr>
    </w:p>
    <w:p w14:paraId="147320F3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</w:pPr>
    </w:p>
    <w:p w14:paraId="2577CE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bCs/>
        </w:rPr>
        <w:t>Table 3.</w:t>
      </w:r>
      <w:r>
        <w:rPr>
          <w:rFonts w:ascii="Times New Roman" w:hAnsi="Times New Roman" w:eastAsia="Times New Roman" w:cs="Times New Roman"/>
        </w:rPr>
        <w:t xml:space="preserve">  Kinetic model parameters for the adsorption of Se(IV) ([Se(IV)] = 100 mg/L, pH = 3, V = 5 m</w:t>
      </w:r>
      <w:r>
        <w:rPr>
          <w:rFonts w:hint="default" w:ascii="Times New Roman" w:hAnsi="Times New Roman" w:eastAsia="Times New Roman" w:cs="Times New Roman"/>
          <w:lang w:val="en-US"/>
        </w:rPr>
        <w:t>l</w:t>
      </w:r>
      <w:r>
        <w:rPr>
          <w:rFonts w:ascii="Times New Roman" w:hAnsi="Times New Roman" w:eastAsia="Times New Roman" w:cs="Times New Roman"/>
        </w:rPr>
        <w:t xml:space="preserve">,  adsorbent dosage = 0.10 g, T = 25 °C) from aqueous solutions. </w:t>
      </w:r>
    </w:p>
    <w:p w14:paraId="0AB406BC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eastAsia="Times New Roman" w:cs="Times New Roman"/>
          <w:sz w:val="8"/>
          <w:szCs w:val="8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443"/>
        <w:gridCol w:w="1453"/>
      </w:tblGrid>
      <w:tr w14:paraId="344884A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30" w:type="dxa"/>
            <w:vMerge w:val="restart"/>
            <w:vAlign w:val="center"/>
          </w:tcPr>
          <w:p w14:paraId="1935C598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  <w:t>kinetic</w:t>
            </w:r>
          </w:p>
        </w:tc>
        <w:tc>
          <w:tcPr>
            <w:tcW w:w="1443" w:type="dxa"/>
            <w:vMerge w:val="restart"/>
            <w:vAlign w:val="center"/>
          </w:tcPr>
          <w:p w14:paraId="6E37FF4D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  <w:t>parameters</w:t>
            </w:r>
          </w:p>
        </w:tc>
        <w:tc>
          <w:tcPr>
            <w:tcW w:w="1453" w:type="dxa"/>
            <w:tcBorders>
              <w:right w:val="nil"/>
            </w:tcBorders>
            <w:vAlign w:val="center"/>
          </w:tcPr>
          <w:p w14:paraId="58405D32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  <w:t xml:space="preserve">  Metal ion</w:t>
            </w:r>
          </w:p>
        </w:tc>
      </w:tr>
      <w:tr w14:paraId="275F6FD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30" w:type="dxa"/>
            <w:vMerge w:val="continue"/>
            <w:vAlign w:val="center"/>
          </w:tcPr>
          <w:p w14:paraId="0D3BD56E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1443" w:type="dxa"/>
            <w:vMerge w:val="continue"/>
            <w:vAlign w:val="center"/>
          </w:tcPr>
          <w:p w14:paraId="42708F23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1453" w:type="dxa"/>
            <w:tcBorders>
              <w:right w:val="nil"/>
            </w:tcBorders>
            <w:vAlign w:val="center"/>
          </w:tcPr>
          <w:p w14:paraId="2C786DBD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vertAlign w:val="superscript"/>
                <w:lang w:bidi="ar-EG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  <w:t>Se(IV)</w:t>
            </w:r>
          </w:p>
        </w:tc>
      </w:tr>
      <w:tr w14:paraId="4ED197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730" w:type="dxa"/>
            <w:vMerge w:val="restart"/>
            <w:tcBorders>
              <w:top w:val="nil"/>
            </w:tcBorders>
            <w:vAlign w:val="center"/>
          </w:tcPr>
          <w:p w14:paraId="0D55FC0F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  <w:t xml:space="preserve">Pseudo-First order </w:t>
            </w:r>
          </w:p>
        </w:tc>
        <w:tc>
          <w:tcPr>
            <w:tcW w:w="1443" w:type="dxa"/>
            <w:tcBorders>
              <w:top w:val="nil"/>
            </w:tcBorders>
          </w:tcPr>
          <w:p w14:paraId="198E6F29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q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vertAlign w:val="subscript"/>
                <w:lang w:bidi="ar-EG"/>
              </w:rPr>
              <w:t>e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 xml:space="preserve"> (mg/g)</w:t>
            </w:r>
          </w:p>
        </w:tc>
        <w:tc>
          <w:tcPr>
            <w:tcW w:w="1453" w:type="dxa"/>
            <w:tcBorders>
              <w:top w:val="nil"/>
              <w:right w:val="nil"/>
            </w:tcBorders>
            <w:vAlign w:val="center"/>
          </w:tcPr>
          <w:p w14:paraId="56122065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1.79</w:t>
            </w:r>
          </w:p>
        </w:tc>
      </w:tr>
      <w:tr w14:paraId="5E7F890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vAlign w:val="center"/>
          </w:tcPr>
          <w:p w14:paraId="519C6A1A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1443" w:type="dxa"/>
          </w:tcPr>
          <w:p w14:paraId="34ED4EC8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K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vertAlign w:val="subscript"/>
                <w:lang w:bidi="ar-EG"/>
              </w:rPr>
              <w:t>1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 xml:space="preserve"> (g/mg.min)</w:t>
            </w:r>
          </w:p>
        </w:tc>
        <w:tc>
          <w:tcPr>
            <w:tcW w:w="1453" w:type="dxa"/>
            <w:tcBorders>
              <w:right w:val="nil"/>
            </w:tcBorders>
            <w:vAlign w:val="center"/>
          </w:tcPr>
          <w:p w14:paraId="5F4AF972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0.767</w:t>
            </w:r>
          </w:p>
        </w:tc>
      </w:tr>
      <w:tr w14:paraId="2ACF58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vAlign w:val="center"/>
          </w:tcPr>
          <w:p w14:paraId="33EDA43B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1443" w:type="dxa"/>
          </w:tcPr>
          <w:p w14:paraId="51F57290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R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vertAlign w:val="superscript"/>
                <w:lang w:bidi="ar-EG"/>
              </w:rPr>
              <w:t>2</w:t>
            </w:r>
          </w:p>
        </w:tc>
        <w:tc>
          <w:tcPr>
            <w:tcW w:w="1453" w:type="dxa"/>
            <w:vAlign w:val="center"/>
          </w:tcPr>
          <w:p w14:paraId="26C26F8C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0.809</w:t>
            </w:r>
          </w:p>
        </w:tc>
      </w:tr>
      <w:tr w14:paraId="4287EB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730" w:type="dxa"/>
            <w:vMerge w:val="restart"/>
            <w:vAlign w:val="center"/>
          </w:tcPr>
          <w:p w14:paraId="017323B1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  <w:t>Pseudo-Second order</w:t>
            </w:r>
          </w:p>
        </w:tc>
        <w:tc>
          <w:tcPr>
            <w:tcW w:w="1443" w:type="dxa"/>
          </w:tcPr>
          <w:p w14:paraId="53B4F130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q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vertAlign w:val="subscript"/>
                <w:lang w:bidi="ar-EG"/>
              </w:rPr>
              <w:t>e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 xml:space="preserve"> (mg/g)</w:t>
            </w:r>
          </w:p>
        </w:tc>
        <w:tc>
          <w:tcPr>
            <w:tcW w:w="1453" w:type="dxa"/>
            <w:vAlign w:val="center"/>
          </w:tcPr>
          <w:p w14:paraId="21987BD1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4.12</w:t>
            </w:r>
          </w:p>
        </w:tc>
      </w:tr>
      <w:tr w14:paraId="01EB8D6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tcBorders>
              <w:top w:val="nil"/>
            </w:tcBorders>
            <w:vAlign w:val="center"/>
          </w:tcPr>
          <w:p w14:paraId="056EF209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1443" w:type="dxa"/>
            <w:tcBorders>
              <w:top w:val="nil"/>
            </w:tcBorders>
          </w:tcPr>
          <w:p w14:paraId="1A10B22B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K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vertAlign w:val="subscript"/>
                <w:lang w:bidi="ar-EG"/>
              </w:rPr>
              <w:t>2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 xml:space="preserve"> (g/mg.min)</w:t>
            </w:r>
          </w:p>
        </w:tc>
        <w:tc>
          <w:tcPr>
            <w:tcW w:w="1453" w:type="dxa"/>
            <w:tcBorders>
              <w:top w:val="nil"/>
            </w:tcBorders>
            <w:vAlign w:val="center"/>
          </w:tcPr>
          <w:p w14:paraId="7475E48C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1.76</w:t>
            </w:r>
          </w:p>
        </w:tc>
      </w:tr>
      <w:tr w14:paraId="0352B63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vAlign w:val="center"/>
          </w:tcPr>
          <w:p w14:paraId="6499A6BE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1443" w:type="dxa"/>
          </w:tcPr>
          <w:p w14:paraId="4EC4AAF6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R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vertAlign w:val="superscript"/>
                <w:lang w:bidi="ar-EG"/>
              </w:rPr>
              <w:t>2</w:t>
            </w:r>
          </w:p>
        </w:tc>
        <w:tc>
          <w:tcPr>
            <w:tcW w:w="1453" w:type="dxa"/>
            <w:vAlign w:val="center"/>
          </w:tcPr>
          <w:p w14:paraId="50FD0D5E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0.999</w:t>
            </w:r>
          </w:p>
        </w:tc>
      </w:tr>
      <w:tr w14:paraId="2FBDA6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Align w:val="center"/>
          </w:tcPr>
          <w:p w14:paraId="6FE6BEE0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b/>
                <w:bCs/>
                <w:lang w:bidi="ar-EG"/>
              </w:rPr>
              <w:t>q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vertAlign w:val="subscript"/>
                <w:lang w:bidi="ar-EG"/>
              </w:rPr>
              <w:t>exp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bidi="ar-EG"/>
              </w:rPr>
              <w:t>,</w:t>
            </w:r>
            <w:r>
              <w:rPr>
                <w:rFonts w:ascii="Times New Roman" w:hAnsi="Times New Roman" w:eastAsia="Calibri" w:cs="Times New Roman"/>
                <w:b/>
                <w:bCs/>
                <w:lang w:bidi="ar-EG"/>
              </w:rPr>
              <w:t xml:space="preserve"> mg/ g</w:t>
            </w:r>
          </w:p>
        </w:tc>
        <w:tc>
          <w:tcPr>
            <w:tcW w:w="1443" w:type="dxa"/>
          </w:tcPr>
          <w:p w14:paraId="71FA8355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</w:p>
        </w:tc>
        <w:tc>
          <w:tcPr>
            <w:tcW w:w="1453" w:type="dxa"/>
            <w:vAlign w:val="center"/>
          </w:tcPr>
          <w:p w14:paraId="7B68571A">
            <w:pPr>
              <w:bidi w:val="0"/>
              <w:spacing w:after="200" w:line="36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bidi="ar-EG"/>
              </w:rPr>
              <w:t>4.11</w:t>
            </w:r>
          </w:p>
        </w:tc>
      </w:tr>
    </w:tbl>
    <w:p w14:paraId="446E3DBD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</w:pPr>
    </w:p>
    <w:p w14:paraId="3BF3265B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hAnsi="Times New Roman" w:eastAsia="Calibri" w:cs="Times New Roman"/>
          <w:b/>
          <w:bCs/>
          <w:color w:val="000000"/>
          <w:sz w:val="24"/>
          <w:szCs w:val="24"/>
        </w:rPr>
      </w:pPr>
    </w:p>
    <w:p w14:paraId="5FFE5B3E">
      <w:pPr>
        <w:rPr>
          <w:rFonts w:ascii="Times New Roman" w:hAnsi="Times New Roman" w:eastAsia="Times New Roman" w:cs="Times New Roman"/>
        </w:rPr>
      </w:pPr>
      <w:r>
        <w:rPr>
          <w:rFonts w:hint="default" w:ascii="Times New Roman" w:hAnsi="Times New Roman" w:eastAsia="Calibri" w:cs="Times New Roman"/>
          <w:b/>
          <w:bCs/>
          <w:sz w:val="24"/>
          <w:szCs w:val="24"/>
        </w:rPr>
        <w:br w:type="page"/>
      </w:r>
    </w:p>
    <w:p w14:paraId="43141C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b/>
          <w:bCs/>
          <w:sz w:val="24"/>
          <w:szCs w:val="24"/>
        </w:rPr>
        <w:t>Table 4.</w:t>
      </w:r>
      <w:r>
        <w:rPr>
          <w:rFonts w:ascii="Times New Roman" w:hAnsi="Times New Roman" w:eastAsia="Calibri" w:cs="Times New Roman"/>
          <w:sz w:val="24"/>
          <w:szCs w:val="24"/>
        </w:rPr>
        <w:t xml:space="preserve"> Linearized sorption isotherm parameters for Se(IV) sorption onto the Amberlite IRA 400 resin. 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658"/>
        <w:gridCol w:w="1453"/>
      </w:tblGrid>
      <w:tr w14:paraId="3907C1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30" w:type="dxa"/>
            <w:vMerge w:val="restart"/>
            <w:vAlign w:val="center"/>
          </w:tcPr>
          <w:p w14:paraId="6553D532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  <w:r>
              <w:rPr>
                <w:rFonts w:ascii="Times New Roman" w:hAnsi="Times New Roman" w:eastAsia="Calibri" w:cs="Times New Roman"/>
                <w:b/>
                <w:bCs/>
              </w:rPr>
              <w:t>isotherm</w:t>
            </w:r>
          </w:p>
        </w:tc>
        <w:tc>
          <w:tcPr>
            <w:tcW w:w="1443" w:type="dxa"/>
            <w:vMerge w:val="restart"/>
            <w:vAlign w:val="center"/>
          </w:tcPr>
          <w:p w14:paraId="1B6F145C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  <w:r>
              <w:rPr>
                <w:rFonts w:ascii="Times New Roman" w:hAnsi="Times New Roman" w:eastAsia="Calibri" w:cs="Times New Roman"/>
                <w:b/>
                <w:bCs/>
              </w:rPr>
              <w:t>parameters</w:t>
            </w:r>
          </w:p>
        </w:tc>
        <w:tc>
          <w:tcPr>
            <w:tcW w:w="1453" w:type="dxa"/>
            <w:tcBorders>
              <w:right w:val="nil"/>
            </w:tcBorders>
            <w:vAlign w:val="center"/>
          </w:tcPr>
          <w:p w14:paraId="673E4622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  <w:r>
              <w:rPr>
                <w:rFonts w:ascii="Times New Roman" w:hAnsi="Times New Roman" w:eastAsia="Calibri" w:cs="Times New Roman"/>
                <w:b/>
                <w:bCs/>
              </w:rPr>
              <w:t>Metal ion</w:t>
            </w:r>
          </w:p>
        </w:tc>
      </w:tr>
      <w:tr w14:paraId="32289B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30" w:type="dxa"/>
            <w:vMerge w:val="continue"/>
            <w:vAlign w:val="center"/>
          </w:tcPr>
          <w:p w14:paraId="5D138645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</w:p>
        </w:tc>
        <w:tc>
          <w:tcPr>
            <w:tcW w:w="1443" w:type="dxa"/>
            <w:vMerge w:val="continue"/>
            <w:vAlign w:val="center"/>
          </w:tcPr>
          <w:p w14:paraId="71C6DA08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</w:p>
        </w:tc>
        <w:tc>
          <w:tcPr>
            <w:tcW w:w="1453" w:type="dxa"/>
            <w:tcBorders>
              <w:right w:val="nil"/>
            </w:tcBorders>
            <w:vAlign w:val="center"/>
          </w:tcPr>
          <w:p w14:paraId="1FE10FD2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eastAsia="Calibri" w:cs="Times New Roman"/>
                <w:b/>
                <w:bCs/>
              </w:rPr>
              <w:t>Se(IV)</w:t>
            </w:r>
          </w:p>
        </w:tc>
      </w:tr>
      <w:tr w14:paraId="2F65B8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730" w:type="dxa"/>
            <w:vMerge w:val="restart"/>
            <w:tcBorders>
              <w:top w:val="nil"/>
            </w:tcBorders>
            <w:vAlign w:val="center"/>
          </w:tcPr>
          <w:p w14:paraId="7FC975EA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  <w:r>
              <w:rPr>
                <w:rFonts w:ascii="Times New Roman" w:hAnsi="Times New Roman" w:eastAsia="Calibri" w:cs="Times New Roman"/>
                <w:b/>
                <w:bCs/>
              </w:rPr>
              <w:t>Langmuir</w:t>
            </w:r>
          </w:p>
        </w:tc>
        <w:tc>
          <w:tcPr>
            <w:tcW w:w="1443" w:type="dxa"/>
            <w:tcBorders>
              <w:top w:val="nil"/>
            </w:tcBorders>
          </w:tcPr>
          <w:p w14:paraId="1F3CDFBE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Qo (mg/g)</w:t>
            </w:r>
          </w:p>
        </w:tc>
        <w:tc>
          <w:tcPr>
            <w:tcW w:w="1453" w:type="dxa"/>
            <w:tcBorders>
              <w:top w:val="nil"/>
              <w:right w:val="nil"/>
            </w:tcBorders>
            <w:vAlign w:val="center"/>
          </w:tcPr>
          <w:p w14:paraId="731E7826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18.52</w:t>
            </w:r>
          </w:p>
        </w:tc>
      </w:tr>
      <w:tr w14:paraId="0852D0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vAlign w:val="center"/>
          </w:tcPr>
          <w:p w14:paraId="3C1C332B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</w:p>
        </w:tc>
        <w:tc>
          <w:tcPr>
            <w:tcW w:w="1443" w:type="dxa"/>
          </w:tcPr>
          <w:p w14:paraId="667AA4AE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b (ml/mg)</w:t>
            </w:r>
          </w:p>
        </w:tc>
        <w:tc>
          <w:tcPr>
            <w:tcW w:w="1453" w:type="dxa"/>
            <w:tcBorders>
              <w:right w:val="nil"/>
            </w:tcBorders>
            <w:vAlign w:val="center"/>
          </w:tcPr>
          <w:p w14:paraId="7B3313A3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-0.066</w:t>
            </w:r>
          </w:p>
        </w:tc>
      </w:tr>
      <w:tr w14:paraId="43D74D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vAlign w:val="center"/>
          </w:tcPr>
          <w:p w14:paraId="646729EB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</w:p>
        </w:tc>
        <w:tc>
          <w:tcPr>
            <w:tcW w:w="1443" w:type="dxa"/>
          </w:tcPr>
          <w:p w14:paraId="0F8BE421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vertAlign w:val="subscript"/>
              </w:rPr>
            </w:pPr>
            <w:r>
              <w:rPr>
                <w:rFonts w:ascii="Times New Roman" w:hAnsi="Times New Roman" w:eastAsia="Calibri" w:cs="Times New Roman"/>
              </w:rPr>
              <w:t>R</w:t>
            </w:r>
            <w:r>
              <w:rPr>
                <w:rFonts w:ascii="Times New Roman" w:hAnsi="Times New Roman" w:eastAsia="Calibri" w:cs="Times New Roman"/>
                <w:vertAlign w:val="subscript"/>
              </w:rPr>
              <w:t>L</w:t>
            </w:r>
          </w:p>
        </w:tc>
        <w:tc>
          <w:tcPr>
            <w:tcW w:w="1453" w:type="dxa"/>
            <w:vAlign w:val="center"/>
          </w:tcPr>
          <w:p w14:paraId="24A99BA2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-0.18</w:t>
            </w:r>
          </w:p>
        </w:tc>
      </w:tr>
      <w:tr w14:paraId="7FA6A3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vAlign w:val="center"/>
          </w:tcPr>
          <w:p w14:paraId="0E19782E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</w:p>
        </w:tc>
        <w:tc>
          <w:tcPr>
            <w:tcW w:w="1443" w:type="dxa"/>
          </w:tcPr>
          <w:p w14:paraId="1B3281C7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R</w:t>
            </w:r>
            <w:r>
              <w:rPr>
                <w:rFonts w:ascii="Times New Roman" w:hAnsi="Times New Roman" w:eastAsia="Calibri" w:cs="Times New Roman"/>
                <w:vertAlign w:val="superscript"/>
              </w:rPr>
              <w:t>2</w:t>
            </w:r>
          </w:p>
        </w:tc>
        <w:tc>
          <w:tcPr>
            <w:tcW w:w="1453" w:type="dxa"/>
            <w:vAlign w:val="center"/>
          </w:tcPr>
          <w:p w14:paraId="61707DA3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0.999</w:t>
            </w:r>
          </w:p>
        </w:tc>
      </w:tr>
      <w:tr w14:paraId="694F3F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730" w:type="dxa"/>
            <w:vMerge w:val="restart"/>
            <w:vAlign w:val="center"/>
          </w:tcPr>
          <w:p w14:paraId="3CE67D55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  <w:r>
              <w:rPr>
                <w:rFonts w:ascii="Times New Roman" w:hAnsi="Times New Roman" w:eastAsia="Calibri" w:cs="Times New Roman"/>
                <w:b/>
                <w:bCs/>
              </w:rPr>
              <w:t>Freundlich</w:t>
            </w:r>
          </w:p>
        </w:tc>
        <w:tc>
          <w:tcPr>
            <w:tcW w:w="1443" w:type="dxa"/>
          </w:tcPr>
          <w:p w14:paraId="3DF1777C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K</w:t>
            </w:r>
            <w:r>
              <w:rPr>
                <w:rFonts w:ascii="Times New Roman" w:hAnsi="Times New Roman" w:eastAsia="Calibri" w:cs="Times New Roman"/>
                <w:vertAlign w:val="subscript"/>
              </w:rPr>
              <w:t xml:space="preserve">f </w:t>
            </w:r>
            <w:r>
              <w:rPr>
                <w:rFonts w:ascii="Times New Roman" w:hAnsi="Times New Roman" w:eastAsia="Calibri" w:cs="Times New Roman"/>
              </w:rPr>
              <w:t>(mg/g)</w:t>
            </w:r>
          </w:p>
        </w:tc>
        <w:tc>
          <w:tcPr>
            <w:tcW w:w="1453" w:type="dxa"/>
            <w:vAlign w:val="center"/>
          </w:tcPr>
          <w:p w14:paraId="79F4109F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1.32</w:t>
            </w:r>
          </w:p>
        </w:tc>
      </w:tr>
      <w:tr w14:paraId="23730B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tcBorders>
              <w:top w:val="nil"/>
            </w:tcBorders>
            <w:vAlign w:val="center"/>
          </w:tcPr>
          <w:p w14:paraId="015787AD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</w:p>
        </w:tc>
        <w:tc>
          <w:tcPr>
            <w:tcW w:w="1443" w:type="dxa"/>
            <w:tcBorders>
              <w:top w:val="nil"/>
            </w:tcBorders>
          </w:tcPr>
          <w:p w14:paraId="077CF18B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n</w:t>
            </w:r>
          </w:p>
        </w:tc>
        <w:tc>
          <w:tcPr>
            <w:tcW w:w="1453" w:type="dxa"/>
            <w:tcBorders>
              <w:top w:val="nil"/>
            </w:tcBorders>
            <w:vAlign w:val="center"/>
          </w:tcPr>
          <w:p w14:paraId="1FE9A76F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4.925</w:t>
            </w:r>
          </w:p>
        </w:tc>
      </w:tr>
      <w:tr w14:paraId="03E007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vMerge w:val="continue"/>
            <w:vAlign w:val="center"/>
          </w:tcPr>
          <w:p w14:paraId="3B0C712B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</w:p>
        </w:tc>
        <w:tc>
          <w:tcPr>
            <w:tcW w:w="1443" w:type="dxa"/>
          </w:tcPr>
          <w:p w14:paraId="38672075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R</w:t>
            </w:r>
            <w:r>
              <w:rPr>
                <w:rFonts w:ascii="Times New Roman" w:hAnsi="Times New Roman" w:eastAsia="Calibri" w:cs="Times New Roman"/>
                <w:vertAlign w:val="superscript"/>
              </w:rPr>
              <w:t>2</w:t>
            </w:r>
          </w:p>
        </w:tc>
        <w:tc>
          <w:tcPr>
            <w:tcW w:w="1453" w:type="dxa"/>
            <w:vAlign w:val="center"/>
          </w:tcPr>
          <w:p w14:paraId="5BA9E3CC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0.978</w:t>
            </w:r>
          </w:p>
        </w:tc>
      </w:tr>
      <w:tr w14:paraId="0A5174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30" w:type="dxa"/>
            <w:tcBorders>
              <w:bottom w:val="single" w:color="auto" w:sz="4" w:space="0"/>
            </w:tcBorders>
            <w:vAlign w:val="center"/>
          </w:tcPr>
          <w:p w14:paraId="5D6FF35D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  <w:r>
              <w:rPr>
                <w:rFonts w:ascii="Times New Roman" w:hAnsi="Times New Roman" w:eastAsia="Calibri" w:cs="Times New Roman"/>
                <w:b/>
                <w:bCs/>
              </w:rPr>
              <w:t>q</w:t>
            </w:r>
            <w:r>
              <w:rPr>
                <w:rFonts w:ascii="Times New Roman" w:hAnsi="Times New Roman" w:eastAsia="Calibri" w:cs="Times New Roman"/>
                <w:b/>
                <w:bCs/>
                <w:vertAlign w:val="subscript"/>
              </w:rPr>
              <w:t>exp</w:t>
            </w:r>
            <w:r>
              <w:rPr>
                <w:rFonts w:ascii="Times New Roman" w:hAnsi="Times New Roman" w:eastAsia="Calibri" w:cs="Times New Roman"/>
                <w:b/>
                <w:bCs/>
              </w:rPr>
              <w:t>, mg/ g</w:t>
            </w:r>
          </w:p>
        </w:tc>
        <w:tc>
          <w:tcPr>
            <w:tcW w:w="1443" w:type="dxa"/>
          </w:tcPr>
          <w:p w14:paraId="50E01FBA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1453" w:type="dxa"/>
            <w:vAlign w:val="center"/>
          </w:tcPr>
          <w:p w14:paraId="6EC135F0">
            <w:pPr>
              <w:bidi w:val="0"/>
              <w:spacing w:after="0" w:line="276" w:lineRule="auto"/>
              <w:ind w:left="720" w:hanging="720"/>
              <w:jc w:val="both"/>
              <w:rPr>
                <w:rFonts w:ascii="Times New Roman" w:hAnsi="Times New Roman" w:eastAsia="Calibri" w:cs="Times New Roman"/>
                <w:b/>
                <w:bCs/>
              </w:rPr>
            </w:pPr>
            <w:r>
              <w:rPr>
                <w:rFonts w:ascii="Times New Roman" w:hAnsi="Times New Roman" w:eastAsia="Calibri" w:cs="Times New Roman"/>
                <w:b/>
                <w:bCs/>
              </w:rPr>
              <w:t>18.25</w:t>
            </w:r>
          </w:p>
        </w:tc>
      </w:tr>
    </w:tbl>
    <w:p w14:paraId="4AB7A26D">
      <w:pPr>
        <w:jc w:val="both"/>
        <w:rPr>
          <w:rFonts w:hint="default" w:ascii="Times New Roman" w:hAnsi="Times New Roman" w:eastAsia="Calibri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kern w:val="0"/>
          <w:sz w:val="24"/>
          <w:szCs w:val="24"/>
          <w:lang w:val="en-US" w:eastAsia="zh-CN" w:bidi="ar"/>
        </w:rPr>
        <w:t xml:space="preserve"> </w:t>
      </w:r>
    </w:p>
    <w:p w14:paraId="44903367">
      <w:pPr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br w:type="page"/>
      </w:r>
    </w:p>
    <w:p w14:paraId="23F4725F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Table 5</w:t>
      </w:r>
      <w:r>
        <w:rPr>
          <w:rFonts w:ascii="Times New Roman" w:hAnsi="Times New Roman" w:eastAsia="Times New Roman" w:cs="Times New Roman"/>
          <w:sz w:val="24"/>
          <w:szCs w:val="24"/>
        </w:rPr>
        <w:t>: Parameters of thermodynamics for the sorption of selenium ions.</w:t>
      </w:r>
    </w:p>
    <w:tbl>
      <w:tblPr>
        <w:tblStyle w:val="16"/>
        <w:tblW w:w="0" w:type="auto"/>
        <w:tblInd w:w="134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751"/>
        <w:gridCol w:w="1633"/>
        <w:gridCol w:w="1633"/>
        <w:gridCol w:w="1633"/>
      </w:tblGrid>
      <w:tr w14:paraId="23E416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70" w:type="dxa"/>
            <w:vAlign w:val="center"/>
          </w:tcPr>
          <w:p w14:paraId="7B40357C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Metal ions</w:t>
            </w:r>
          </w:p>
        </w:tc>
        <w:tc>
          <w:tcPr>
            <w:tcW w:w="751" w:type="dxa"/>
            <w:vAlign w:val="center"/>
          </w:tcPr>
          <w:p w14:paraId="4C5CEE43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T, K</w:t>
            </w:r>
          </w:p>
        </w:tc>
        <w:tc>
          <w:tcPr>
            <w:tcW w:w="1633" w:type="dxa"/>
            <w:vAlign w:val="center"/>
          </w:tcPr>
          <w:p w14:paraId="06FAAFE7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ΔG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vertAlign w:val="superscript"/>
              </w:rPr>
              <w:t>o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, k J mole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633" w:type="dxa"/>
            <w:vAlign w:val="center"/>
          </w:tcPr>
          <w:p w14:paraId="4AF2DD8C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ΔH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vertAlign w:val="superscript"/>
              </w:rPr>
              <w:t>o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, k J mole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633" w:type="dxa"/>
            <w:vAlign w:val="center"/>
          </w:tcPr>
          <w:p w14:paraId="53DAC1C7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ΔS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vertAlign w:val="superscript"/>
              </w:rPr>
              <w:t>o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, J mole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 xml:space="preserve">K </w:t>
            </w: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  <w:vertAlign w:val="superscript"/>
              </w:rPr>
              <w:t>-1</w:t>
            </w:r>
          </w:p>
        </w:tc>
      </w:tr>
      <w:tr w14:paraId="3397C73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1170" w:type="dxa"/>
            <w:vMerge w:val="restart"/>
            <w:vAlign w:val="center"/>
          </w:tcPr>
          <w:p w14:paraId="78C80479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  <w:t>Se (IV)</w:t>
            </w:r>
          </w:p>
        </w:tc>
        <w:tc>
          <w:tcPr>
            <w:tcW w:w="751" w:type="dxa"/>
          </w:tcPr>
          <w:p w14:paraId="56C469DE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298</w:t>
            </w:r>
          </w:p>
        </w:tc>
        <w:tc>
          <w:tcPr>
            <w:tcW w:w="1633" w:type="dxa"/>
          </w:tcPr>
          <w:p w14:paraId="617E2786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-17.024</w:t>
            </w:r>
          </w:p>
        </w:tc>
        <w:tc>
          <w:tcPr>
            <w:tcW w:w="1633" w:type="dxa"/>
            <w:vMerge w:val="restart"/>
            <w:vAlign w:val="center"/>
          </w:tcPr>
          <w:p w14:paraId="24481A1B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-8.15</w:t>
            </w:r>
          </w:p>
        </w:tc>
        <w:tc>
          <w:tcPr>
            <w:tcW w:w="1633" w:type="dxa"/>
            <w:vMerge w:val="restart"/>
            <w:vAlign w:val="center"/>
          </w:tcPr>
          <w:p w14:paraId="5DE8C853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  <w:p w14:paraId="3D5EA5A5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29.78</w:t>
            </w:r>
          </w:p>
          <w:p w14:paraId="61024E29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</w:tr>
      <w:tr w14:paraId="1CFCD4C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1170" w:type="dxa"/>
            <w:vMerge w:val="continue"/>
            <w:vAlign w:val="center"/>
          </w:tcPr>
          <w:p w14:paraId="7FC6397F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1" w:type="dxa"/>
          </w:tcPr>
          <w:p w14:paraId="216C1398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308</w:t>
            </w:r>
          </w:p>
        </w:tc>
        <w:tc>
          <w:tcPr>
            <w:tcW w:w="1633" w:type="dxa"/>
          </w:tcPr>
          <w:p w14:paraId="5AC73602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-17.32</w:t>
            </w:r>
          </w:p>
        </w:tc>
        <w:tc>
          <w:tcPr>
            <w:tcW w:w="1633" w:type="dxa"/>
            <w:vMerge w:val="continue"/>
            <w:vAlign w:val="center"/>
          </w:tcPr>
          <w:p w14:paraId="0896414F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  <w:tc>
          <w:tcPr>
            <w:tcW w:w="1633" w:type="dxa"/>
            <w:vMerge w:val="continue"/>
            <w:vAlign w:val="center"/>
          </w:tcPr>
          <w:p w14:paraId="11CCDAB4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</w:tr>
      <w:tr w14:paraId="2D833C9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70" w:type="dxa"/>
            <w:vMerge w:val="continue"/>
            <w:vAlign w:val="center"/>
          </w:tcPr>
          <w:p w14:paraId="531C43CF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1" w:type="dxa"/>
          </w:tcPr>
          <w:p w14:paraId="2943406C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318</w:t>
            </w:r>
          </w:p>
        </w:tc>
        <w:tc>
          <w:tcPr>
            <w:tcW w:w="1633" w:type="dxa"/>
          </w:tcPr>
          <w:p w14:paraId="35B51331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-17.62</w:t>
            </w:r>
          </w:p>
        </w:tc>
        <w:tc>
          <w:tcPr>
            <w:tcW w:w="1633" w:type="dxa"/>
            <w:vMerge w:val="continue"/>
            <w:vAlign w:val="center"/>
          </w:tcPr>
          <w:p w14:paraId="3B764281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  <w:tc>
          <w:tcPr>
            <w:tcW w:w="1633" w:type="dxa"/>
            <w:vMerge w:val="continue"/>
            <w:vAlign w:val="center"/>
          </w:tcPr>
          <w:p w14:paraId="2E15588E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</w:tr>
      <w:tr w14:paraId="319230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70" w:type="dxa"/>
            <w:vMerge w:val="continue"/>
            <w:vAlign w:val="center"/>
          </w:tcPr>
          <w:p w14:paraId="68223E79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1" w:type="dxa"/>
          </w:tcPr>
          <w:p w14:paraId="105B644F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328</w:t>
            </w:r>
          </w:p>
        </w:tc>
        <w:tc>
          <w:tcPr>
            <w:tcW w:w="1633" w:type="dxa"/>
          </w:tcPr>
          <w:p w14:paraId="5983D080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-17.92</w:t>
            </w:r>
          </w:p>
        </w:tc>
        <w:tc>
          <w:tcPr>
            <w:tcW w:w="1633" w:type="dxa"/>
            <w:vMerge w:val="continue"/>
            <w:vAlign w:val="center"/>
          </w:tcPr>
          <w:p w14:paraId="252749AE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  <w:tc>
          <w:tcPr>
            <w:tcW w:w="1633" w:type="dxa"/>
            <w:vMerge w:val="continue"/>
            <w:vAlign w:val="center"/>
          </w:tcPr>
          <w:p w14:paraId="27535003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</w:tr>
      <w:tr w14:paraId="138944A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70" w:type="dxa"/>
            <w:vMerge w:val="continue"/>
            <w:vAlign w:val="center"/>
          </w:tcPr>
          <w:p w14:paraId="6C74FBB1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1" w:type="dxa"/>
          </w:tcPr>
          <w:p w14:paraId="0951B33F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338</w:t>
            </w:r>
          </w:p>
        </w:tc>
        <w:tc>
          <w:tcPr>
            <w:tcW w:w="1633" w:type="dxa"/>
          </w:tcPr>
          <w:p w14:paraId="55090DE6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-18.22</w:t>
            </w:r>
          </w:p>
        </w:tc>
        <w:tc>
          <w:tcPr>
            <w:tcW w:w="1633" w:type="dxa"/>
            <w:vMerge w:val="continue"/>
            <w:vAlign w:val="center"/>
          </w:tcPr>
          <w:p w14:paraId="45D1E3A4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  <w:tc>
          <w:tcPr>
            <w:tcW w:w="1633" w:type="dxa"/>
            <w:vMerge w:val="continue"/>
            <w:vAlign w:val="center"/>
          </w:tcPr>
          <w:p w14:paraId="3526E52C">
            <w:pPr>
              <w:bidi w:val="0"/>
              <w:spacing w:after="200" w:line="276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</w:p>
        </w:tc>
      </w:tr>
    </w:tbl>
    <w:p w14:paraId="7A258E0D">
      <w:pPr>
        <w:rPr>
          <w:rFonts w:hint="default" w:ascii="Times New Roman" w:hAnsi="Times New Roman" w:eastAsia="SimSun" w:cs="Times New Roman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bidi="ar-EG"/>
        </w:rPr>
        <w:br w:type="page"/>
      </w:r>
    </w:p>
    <w:p w14:paraId="5F0B2A2C">
      <w:pPr>
        <w:keepNext w:val="0"/>
        <w:keepLines w:val="0"/>
        <w:pageBreakBefore w:val="0"/>
        <w:widowControl/>
        <w:tabs>
          <w:tab w:val="left" w:pos="33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eastAsia="Calibri" w:cs="Times New Roman"/>
          <w:sz w:val="24"/>
          <w:szCs w:val="24"/>
          <w:rtl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</w:rPr>
        <w:t>Table 6</w:t>
      </w:r>
      <w:r>
        <w:rPr>
          <w:rFonts w:ascii="Times New Roman" w:hAnsi="Times New Roman" w:eastAsia="Calibri" w:cs="Times New Roman"/>
          <w:sz w:val="24"/>
          <w:szCs w:val="24"/>
        </w:rPr>
        <w:t>: Desorption of Se(IV) from loaded Amberlite IRA 400  resin using several desorbing agents of different concentration ranges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bidi="ar-EG"/>
        </w:rPr>
        <w:t>*</w:t>
      </w:r>
      <w:r>
        <w:rPr>
          <w:rFonts w:ascii="Times New Roman" w:hAnsi="Times New Roman" w:eastAsia="Calibri" w:cs="Times New Roman"/>
          <w:sz w:val="24"/>
          <w:szCs w:val="24"/>
        </w:rPr>
        <w:t>.</w:t>
      </w:r>
    </w:p>
    <w:p w14:paraId="05C5D44C">
      <w:pPr>
        <w:tabs>
          <w:tab w:val="left" w:pos="3315"/>
        </w:tabs>
        <w:bidi w:val="0"/>
        <w:spacing w:after="0" w:line="360" w:lineRule="auto"/>
        <w:jc w:val="both"/>
        <w:rPr>
          <w:rFonts w:ascii="Times New Roman" w:hAnsi="Times New Roman" w:eastAsia="Times New Roman" w:cs="Times New Roman"/>
          <w:sz w:val="24"/>
          <w:szCs w:val="24"/>
          <w:rtl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288"/>
        <w:gridCol w:w="2349"/>
      </w:tblGrid>
      <w:tr w14:paraId="3191D4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133" w:type="dxa"/>
            <w:shd w:val="clear" w:color="auto" w:fill="F2F2F2"/>
            <w:vAlign w:val="center"/>
          </w:tcPr>
          <w:p w14:paraId="0678F4B5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Desorbing agent</w:t>
            </w:r>
          </w:p>
        </w:tc>
        <w:tc>
          <w:tcPr>
            <w:tcW w:w="2288" w:type="dxa"/>
            <w:shd w:val="clear" w:color="auto" w:fill="F2F2F2"/>
            <w:vAlign w:val="center"/>
          </w:tcPr>
          <w:p w14:paraId="13D83A15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Concentration </w:t>
            </w:r>
            <w:r>
              <w:rPr>
                <w:rFonts w:ascii="Times New Roman" w:hAnsi="Times New Roman" w:eastAsia="Times New Roman" w:cs="Times New Roman"/>
                <w:lang w:bidi="ar-EG"/>
              </w:rPr>
              <w:t>(mol/L)</w:t>
            </w:r>
          </w:p>
        </w:tc>
        <w:tc>
          <w:tcPr>
            <w:tcW w:w="2349" w:type="dxa"/>
            <w:shd w:val="clear" w:color="auto" w:fill="F2F2F2"/>
            <w:vAlign w:val="center"/>
          </w:tcPr>
          <w:p w14:paraId="161D19FF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Desorption percent (%)</w:t>
            </w:r>
          </w:p>
        </w:tc>
      </w:tr>
      <w:tr w14:paraId="21707A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133" w:type="dxa"/>
            <w:vMerge w:val="restart"/>
          </w:tcPr>
          <w:p w14:paraId="30C9ED0F">
            <w:pPr>
              <w:bidi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lang w:bidi="ar-EG"/>
              </w:rPr>
            </w:pPr>
          </w:p>
          <w:p w14:paraId="3FDA5682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Times New Roman" w:cs="Times New Roman"/>
                <w:lang w:bidi="ar-EG"/>
              </w:rPr>
              <w:t>HNO</w:t>
            </w:r>
            <w:r>
              <w:rPr>
                <w:rFonts w:ascii="Times New Roman" w:hAnsi="Times New Roman" w:eastAsia="Times New Roman" w:cs="Times New Roman"/>
                <w:vertAlign w:val="subscript"/>
                <w:lang w:bidi="ar-EG"/>
              </w:rPr>
              <w:t>3</w:t>
            </w:r>
          </w:p>
        </w:tc>
        <w:tc>
          <w:tcPr>
            <w:tcW w:w="2288" w:type="dxa"/>
            <w:vAlign w:val="center"/>
          </w:tcPr>
          <w:p w14:paraId="1EDBFDA1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0.10</w:t>
            </w:r>
          </w:p>
        </w:tc>
        <w:tc>
          <w:tcPr>
            <w:tcW w:w="2349" w:type="dxa"/>
            <w:vAlign w:val="center"/>
          </w:tcPr>
          <w:p w14:paraId="5E05CD83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88.90</w:t>
            </w:r>
          </w:p>
        </w:tc>
      </w:tr>
      <w:tr w14:paraId="199488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2133" w:type="dxa"/>
            <w:vMerge w:val="continue"/>
          </w:tcPr>
          <w:p w14:paraId="6C282CE7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288" w:type="dxa"/>
            <w:vAlign w:val="center"/>
          </w:tcPr>
          <w:p w14:paraId="36F794F3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0.5</w:t>
            </w:r>
          </w:p>
        </w:tc>
        <w:tc>
          <w:tcPr>
            <w:tcW w:w="2349" w:type="dxa"/>
            <w:vAlign w:val="center"/>
          </w:tcPr>
          <w:p w14:paraId="7266FF34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89.12</w:t>
            </w:r>
          </w:p>
        </w:tc>
      </w:tr>
      <w:tr w14:paraId="6D8604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2133" w:type="dxa"/>
            <w:vMerge w:val="continue"/>
          </w:tcPr>
          <w:p w14:paraId="5A707918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288" w:type="dxa"/>
            <w:vAlign w:val="center"/>
          </w:tcPr>
          <w:p w14:paraId="466FCDE9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1.0</w:t>
            </w:r>
          </w:p>
        </w:tc>
        <w:tc>
          <w:tcPr>
            <w:tcW w:w="2349" w:type="dxa"/>
            <w:vAlign w:val="center"/>
          </w:tcPr>
          <w:p w14:paraId="096290C2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96.40</w:t>
            </w:r>
          </w:p>
        </w:tc>
      </w:tr>
      <w:tr w14:paraId="0953B3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133" w:type="dxa"/>
            <w:vMerge w:val="restart"/>
          </w:tcPr>
          <w:p w14:paraId="20B963CD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</w:p>
          <w:p w14:paraId="390727C2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HCl</w:t>
            </w:r>
          </w:p>
        </w:tc>
        <w:tc>
          <w:tcPr>
            <w:tcW w:w="2288" w:type="dxa"/>
            <w:vAlign w:val="center"/>
          </w:tcPr>
          <w:p w14:paraId="2017BA9B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0.10</w:t>
            </w:r>
          </w:p>
        </w:tc>
        <w:tc>
          <w:tcPr>
            <w:tcW w:w="2349" w:type="dxa"/>
            <w:vAlign w:val="center"/>
          </w:tcPr>
          <w:p w14:paraId="77D44A1A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91.42</w:t>
            </w:r>
          </w:p>
        </w:tc>
      </w:tr>
      <w:tr w14:paraId="1E336B2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2133" w:type="dxa"/>
            <w:vMerge w:val="continue"/>
          </w:tcPr>
          <w:p w14:paraId="7AB0F3BE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288" w:type="dxa"/>
            <w:vAlign w:val="center"/>
          </w:tcPr>
          <w:p w14:paraId="490FED7F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0.5</w:t>
            </w:r>
          </w:p>
        </w:tc>
        <w:tc>
          <w:tcPr>
            <w:tcW w:w="2349" w:type="dxa"/>
            <w:vAlign w:val="center"/>
          </w:tcPr>
          <w:p w14:paraId="472B4868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92.92</w:t>
            </w:r>
          </w:p>
        </w:tc>
      </w:tr>
      <w:tr w14:paraId="55150C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2133" w:type="dxa"/>
            <w:vMerge w:val="continue"/>
          </w:tcPr>
          <w:p w14:paraId="4E91FD83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288" w:type="dxa"/>
            <w:vAlign w:val="center"/>
          </w:tcPr>
          <w:p w14:paraId="08CD0BE1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1.0</w:t>
            </w:r>
          </w:p>
        </w:tc>
        <w:tc>
          <w:tcPr>
            <w:tcW w:w="2349" w:type="dxa"/>
            <w:vAlign w:val="center"/>
          </w:tcPr>
          <w:p w14:paraId="42C9C591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93.66</w:t>
            </w:r>
          </w:p>
        </w:tc>
      </w:tr>
      <w:tr w14:paraId="386C55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133" w:type="dxa"/>
            <w:vMerge w:val="restart"/>
          </w:tcPr>
          <w:p w14:paraId="504785A6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Sodium Acetate</w:t>
            </w:r>
          </w:p>
        </w:tc>
        <w:tc>
          <w:tcPr>
            <w:tcW w:w="2288" w:type="dxa"/>
            <w:vAlign w:val="center"/>
          </w:tcPr>
          <w:p w14:paraId="1B41FBFA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0.5</w:t>
            </w:r>
          </w:p>
        </w:tc>
        <w:tc>
          <w:tcPr>
            <w:tcW w:w="2349" w:type="dxa"/>
            <w:vAlign w:val="center"/>
          </w:tcPr>
          <w:p w14:paraId="295F77D9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89.45</w:t>
            </w:r>
          </w:p>
        </w:tc>
      </w:tr>
      <w:tr w14:paraId="113442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133" w:type="dxa"/>
            <w:vMerge w:val="continue"/>
          </w:tcPr>
          <w:p w14:paraId="2E0A18C9">
            <w:pPr>
              <w:bidi w:val="0"/>
              <w:spacing w:after="0" w:line="240" w:lineRule="auto"/>
              <w:jc w:val="both"/>
              <w:rPr>
                <w:rFonts w:ascii="Times New Roman" w:hAnsi="Times New Roman" w:eastAsia="Calibri" w:cs="Times New Roman"/>
              </w:rPr>
            </w:pPr>
          </w:p>
        </w:tc>
        <w:tc>
          <w:tcPr>
            <w:tcW w:w="2288" w:type="dxa"/>
            <w:vAlign w:val="center"/>
          </w:tcPr>
          <w:p w14:paraId="288BA032">
            <w:pPr>
              <w:bidi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Calibri" w:cs="Times New Roman"/>
              </w:rPr>
              <w:t>1.0</w:t>
            </w:r>
          </w:p>
        </w:tc>
        <w:tc>
          <w:tcPr>
            <w:tcW w:w="2349" w:type="dxa"/>
            <w:vAlign w:val="center"/>
          </w:tcPr>
          <w:p w14:paraId="21EEBEFC">
            <w:pPr>
              <w:bidi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93.26</w:t>
            </w:r>
          </w:p>
        </w:tc>
      </w:tr>
    </w:tbl>
    <w:p w14:paraId="19E5FCCB">
      <w:pPr>
        <w:bidi w:val="0"/>
        <w:spacing w:after="200" w:line="360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bidi="ar-EG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bidi="ar-EG"/>
        </w:rPr>
        <w:t>*</w:t>
      </w:r>
      <w:r>
        <w:rPr>
          <w:rFonts w:ascii="Times New Roman" w:hAnsi="Times New Roman" w:eastAsia="Times New Roman" w:cs="Times New Roman"/>
          <w:sz w:val="24"/>
          <w:szCs w:val="24"/>
          <w:lang w:bidi="ar-EG"/>
        </w:rPr>
        <w:t>V/m = 0.05 L/g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bidi="ar-EG"/>
        </w:rPr>
        <w:t xml:space="preserve">, </w:t>
      </w:r>
      <w:r>
        <w:rPr>
          <w:rFonts w:ascii="Times New Roman" w:hAnsi="Times New Roman" w:eastAsia="Times New Roman" w:cs="Times New Roman"/>
          <w:sz w:val="24"/>
          <w:szCs w:val="24"/>
          <w:lang w:bidi="ar-EG"/>
        </w:rPr>
        <w:t xml:space="preserve">shaken time= 30.0 min, T = 25±1°C </w:t>
      </w:r>
    </w:p>
    <w:p w14:paraId="5728729C">
      <w:pPr>
        <w:rPr>
          <w:rFonts w:ascii="Times New Roman" w:hAnsi="Times New Roman" w:eastAsia="Calibri" w:cs="Times New Roman"/>
          <w:b/>
          <w:bCs/>
          <w:sz w:val="24"/>
          <w:szCs w:val="24"/>
        </w:rPr>
      </w:pPr>
    </w:p>
    <w:p w14:paraId="396E3F5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bidi="ar-EG"/>
        </w:rPr>
      </w:pPr>
      <w:bookmarkStart w:id="0" w:name="_GoBack"/>
      <w:bookmarkEnd w:id="0"/>
    </w:p>
    <w:sectPr>
      <w:footerReference r:id="rId5" w:type="default"/>
      <w:pgSz w:w="11906" w:h="16838"/>
      <w:pgMar w:top="1440" w:right="1440" w:bottom="1440" w:left="1440" w:header="708" w:footer="708" w:gutter="0"/>
      <w:cols w:space="708" w:num="1"/>
      <w:bidi/>
      <w:rtlGutter w:val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tl/>
      </w:rPr>
      <w:id w:val="1355532928"/>
      <w:docPartObj>
        <w:docPartGallery w:val="autotext"/>
      </w:docPartObj>
    </w:sdtPr>
    <w:sdtEndPr>
      <w:rPr>
        <w:rtl/>
      </w:rPr>
    </w:sdtEndPr>
    <w:sdtContent>
      <w:p w14:paraId="6D34C800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rtl/>
            <w:lang w:val="ar-SA"/>
          </w:rPr>
          <w:t>15</w:t>
        </w:r>
        <w:r>
          <w:fldChar w:fldCharType="end"/>
        </w:r>
      </w:p>
    </w:sdtContent>
  </w:sdt>
  <w:p w14:paraId="0056E639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030F15"/>
    <w:multiLevelType w:val="multilevel"/>
    <w:tmpl w:val="08030F1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06F"/>
    <w:rsid w:val="000110A8"/>
    <w:rsid w:val="000140DA"/>
    <w:rsid w:val="00016887"/>
    <w:rsid w:val="00023A6D"/>
    <w:rsid w:val="00025608"/>
    <w:rsid w:val="00030B69"/>
    <w:rsid w:val="00045109"/>
    <w:rsid w:val="00047364"/>
    <w:rsid w:val="000628D8"/>
    <w:rsid w:val="00063D41"/>
    <w:rsid w:val="000659B9"/>
    <w:rsid w:val="00065DBC"/>
    <w:rsid w:val="00075D2D"/>
    <w:rsid w:val="000762F1"/>
    <w:rsid w:val="0008620F"/>
    <w:rsid w:val="000A1AC5"/>
    <w:rsid w:val="000B6A8A"/>
    <w:rsid w:val="000D28A1"/>
    <w:rsid w:val="000E3B2E"/>
    <w:rsid w:val="000F0899"/>
    <w:rsid w:val="000F139F"/>
    <w:rsid w:val="000F581A"/>
    <w:rsid w:val="000F675A"/>
    <w:rsid w:val="000F7CDF"/>
    <w:rsid w:val="000F7F57"/>
    <w:rsid w:val="00110835"/>
    <w:rsid w:val="0011200A"/>
    <w:rsid w:val="00130213"/>
    <w:rsid w:val="001536E0"/>
    <w:rsid w:val="00164174"/>
    <w:rsid w:val="00180471"/>
    <w:rsid w:val="00184BCF"/>
    <w:rsid w:val="00184CB3"/>
    <w:rsid w:val="001964B8"/>
    <w:rsid w:val="001B44BC"/>
    <w:rsid w:val="001C333F"/>
    <w:rsid w:val="001C66B0"/>
    <w:rsid w:val="001D3EE3"/>
    <w:rsid w:val="001D3FF4"/>
    <w:rsid w:val="001F092E"/>
    <w:rsid w:val="00200809"/>
    <w:rsid w:val="002074A2"/>
    <w:rsid w:val="00207765"/>
    <w:rsid w:val="002167F8"/>
    <w:rsid w:val="00230C5A"/>
    <w:rsid w:val="00237A52"/>
    <w:rsid w:val="00245B04"/>
    <w:rsid w:val="002525F5"/>
    <w:rsid w:val="002528A3"/>
    <w:rsid w:val="00261E1E"/>
    <w:rsid w:val="00265FE5"/>
    <w:rsid w:val="002A6F6B"/>
    <w:rsid w:val="002B2EAB"/>
    <w:rsid w:val="002B5B62"/>
    <w:rsid w:val="002C1B82"/>
    <w:rsid w:val="002D258E"/>
    <w:rsid w:val="00302766"/>
    <w:rsid w:val="003632AC"/>
    <w:rsid w:val="00365882"/>
    <w:rsid w:val="00374B09"/>
    <w:rsid w:val="00383078"/>
    <w:rsid w:val="003B26F1"/>
    <w:rsid w:val="003B6945"/>
    <w:rsid w:val="003B7F9C"/>
    <w:rsid w:val="003D0371"/>
    <w:rsid w:val="0041076D"/>
    <w:rsid w:val="0042164D"/>
    <w:rsid w:val="00466AE7"/>
    <w:rsid w:val="004772BE"/>
    <w:rsid w:val="00481B00"/>
    <w:rsid w:val="00485A0A"/>
    <w:rsid w:val="004B2671"/>
    <w:rsid w:val="004D27CA"/>
    <w:rsid w:val="004D7F2B"/>
    <w:rsid w:val="004E123E"/>
    <w:rsid w:val="004E413C"/>
    <w:rsid w:val="00501B4D"/>
    <w:rsid w:val="00513BB2"/>
    <w:rsid w:val="00516235"/>
    <w:rsid w:val="00523B4F"/>
    <w:rsid w:val="005459EC"/>
    <w:rsid w:val="0054605C"/>
    <w:rsid w:val="0055424C"/>
    <w:rsid w:val="00583249"/>
    <w:rsid w:val="0058609B"/>
    <w:rsid w:val="005911BB"/>
    <w:rsid w:val="005B3EBE"/>
    <w:rsid w:val="005D5C6A"/>
    <w:rsid w:val="005D6BF2"/>
    <w:rsid w:val="005E1866"/>
    <w:rsid w:val="005F6942"/>
    <w:rsid w:val="0062152A"/>
    <w:rsid w:val="00633383"/>
    <w:rsid w:val="00637309"/>
    <w:rsid w:val="00687FFE"/>
    <w:rsid w:val="006927FF"/>
    <w:rsid w:val="006B35D8"/>
    <w:rsid w:val="006B5692"/>
    <w:rsid w:val="006C63EF"/>
    <w:rsid w:val="006C693B"/>
    <w:rsid w:val="006D26F3"/>
    <w:rsid w:val="006D7146"/>
    <w:rsid w:val="006E3334"/>
    <w:rsid w:val="006E570E"/>
    <w:rsid w:val="006F5B8B"/>
    <w:rsid w:val="0070044F"/>
    <w:rsid w:val="00707EF2"/>
    <w:rsid w:val="00720E18"/>
    <w:rsid w:val="007217CF"/>
    <w:rsid w:val="00754408"/>
    <w:rsid w:val="007657EA"/>
    <w:rsid w:val="00765B7D"/>
    <w:rsid w:val="00766A4E"/>
    <w:rsid w:val="00776006"/>
    <w:rsid w:val="00783B0B"/>
    <w:rsid w:val="007859BF"/>
    <w:rsid w:val="00786132"/>
    <w:rsid w:val="00792673"/>
    <w:rsid w:val="007959EF"/>
    <w:rsid w:val="007B30BF"/>
    <w:rsid w:val="007B553A"/>
    <w:rsid w:val="007C12CC"/>
    <w:rsid w:val="007C32D4"/>
    <w:rsid w:val="007C6957"/>
    <w:rsid w:val="007D0AD6"/>
    <w:rsid w:val="007D72E6"/>
    <w:rsid w:val="007E2418"/>
    <w:rsid w:val="007E287F"/>
    <w:rsid w:val="007E4161"/>
    <w:rsid w:val="007F1A41"/>
    <w:rsid w:val="007F7D9C"/>
    <w:rsid w:val="008310A7"/>
    <w:rsid w:val="00835A93"/>
    <w:rsid w:val="00842670"/>
    <w:rsid w:val="00843F4A"/>
    <w:rsid w:val="00846B15"/>
    <w:rsid w:val="00884BB4"/>
    <w:rsid w:val="008852E7"/>
    <w:rsid w:val="00886773"/>
    <w:rsid w:val="008A6EFD"/>
    <w:rsid w:val="008B5EF1"/>
    <w:rsid w:val="008B66A6"/>
    <w:rsid w:val="008D33DE"/>
    <w:rsid w:val="008E1AFA"/>
    <w:rsid w:val="008E7B49"/>
    <w:rsid w:val="008F7084"/>
    <w:rsid w:val="00903B91"/>
    <w:rsid w:val="00913F14"/>
    <w:rsid w:val="00920B2B"/>
    <w:rsid w:val="00937D4C"/>
    <w:rsid w:val="0095516C"/>
    <w:rsid w:val="00964E47"/>
    <w:rsid w:val="0096691A"/>
    <w:rsid w:val="00970C0F"/>
    <w:rsid w:val="00972654"/>
    <w:rsid w:val="0097688F"/>
    <w:rsid w:val="00983D4E"/>
    <w:rsid w:val="00992206"/>
    <w:rsid w:val="00993BD5"/>
    <w:rsid w:val="00994202"/>
    <w:rsid w:val="009A27F7"/>
    <w:rsid w:val="009D2937"/>
    <w:rsid w:val="009D2CD1"/>
    <w:rsid w:val="009D461C"/>
    <w:rsid w:val="009E29FD"/>
    <w:rsid w:val="00A02620"/>
    <w:rsid w:val="00A52006"/>
    <w:rsid w:val="00A54CA6"/>
    <w:rsid w:val="00A6209F"/>
    <w:rsid w:val="00A66964"/>
    <w:rsid w:val="00A80912"/>
    <w:rsid w:val="00AA58F4"/>
    <w:rsid w:val="00AB719A"/>
    <w:rsid w:val="00AB7941"/>
    <w:rsid w:val="00AD0CE2"/>
    <w:rsid w:val="00AD7677"/>
    <w:rsid w:val="00AE1F4F"/>
    <w:rsid w:val="00AF7B9A"/>
    <w:rsid w:val="00B03F49"/>
    <w:rsid w:val="00B11821"/>
    <w:rsid w:val="00B30C40"/>
    <w:rsid w:val="00B36ACC"/>
    <w:rsid w:val="00B42EFD"/>
    <w:rsid w:val="00B43B1B"/>
    <w:rsid w:val="00B44CC2"/>
    <w:rsid w:val="00B64C80"/>
    <w:rsid w:val="00B82A80"/>
    <w:rsid w:val="00B90380"/>
    <w:rsid w:val="00B904E4"/>
    <w:rsid w:val="00B90BAD"/>
    <w:rsid w:val="00B92F8E"/>
    <w:rsid w:val="00BA0FAA"/>
    <w:rsid w:val="00BB4714"/>
    <w:rsid w:val="00BC005E"/>
    <w:rsid w:val="00BC4B4C"/>
    <w:rsid w:val="00BE5F45"/>
    <w:rsid w:val="00BF5F0E"/>
    <w:rsid w:val="00BF78AC"/>
    <w:rsid w:val="00C10AB9"/>
    <w:rsid w:val="00C165CD"/>
    <w:rsid w:val="00C227DF"/>
    <w:rsid w:val="00C41EA9"/>
    <w:rsid w:val="00C56AC7"/>
    <w:rsid w:val="00C5701A"/>
    <w:rsid w:val="00C93C57"/>
    <w:rsid w:val="00C96EB5"/>
    <w:rsid w:val="00CB1311"/>
    <w:rsid w:val="00CB52DC"/>
    <w:rsid w:val="00CD4C63"/>
    <w:rsid w:val="00CD7350"/>
    <w:rsid w:val="00CE112B"/>
    <w:rsid w:val="00CE2E5B"/>
    <w:rsid w:val="00CF5905"/>
    <w:rsid w:val="00D27830"/>
    <w:rsid w:val="00D303AA"/>
    <w:rsid w:val="00D50FE8"/>
    <w:rsid w:val="00D560A8"/>
    <w:rsid w:val="00D608D1"/>
    <w:rsid w:val="00D65F3A"/>
    <w:rsid w:val="00D73DEA"/>
    <w:rsid w:val="00D9081A"/>
    <w:rsid w:val="00D9319F"/>
    <w:rsid w:val="00DA1487"/>
    <w:rsid w:val="00DA3A6A"/>
    <w:rsid w:val="00DB0FD8"/>
    <w:rsid w:val="00DC5A6C"/>
    <w:rsid w:val="00DE0A96"/>
    <w:rsid w:val="00DF1B63"/>
    <w:rsid w:val="00E03A8D"/>
    <w:rsid w:val="00E2339D"/>
    <w:rsid w:val="00E2590C"/>
    <w:rsid w:val="00E261E7"/>
    <w:rsid w:val="00E328F4"/>
    <w:rsid w:val="00E422BA"/>
    <w:rsid w:val="00E44F39"/>
    <w:rsid w:val="00E55AB7"/>
    <w:rsid w:val="00E60518"/>
    <w:rsid w:val="00E8006F"/>
    <w:rsid w:val="00EA0C15"/>
    <w:rsid w:val="00EA576F"/>
    <w:rsid w:val="00EC2272"/>
    <w:rsid w:val="00EE54BD"/>
    <w:rsid w:val="00EE6173"/>
    <w:rsid w:val="00EE72D8"/>
    <w:rsid w:val="00EF37BD"/>
    <w:rsid w:val="00F03317"/>
    <w:rsid w:val="00F170E7"/>
    <w:rsid w:val="00F17B81"/>
    <w:rsid w:val="00F536A7"/>
    <w:rsid w:val="00F6100F"/>
    <w:rsid w:val="00F6217B"/>
    <w:rsid w:val="00F77198"/>
    <w:rsid w:val="00F817B3"/>
    <w:rsid w:val="00F9471D"/>
    <w:rsid w:val="00F94FF9"/>
    <w:rsid w:val="00F9585C"/>
    <w:rsid w:val="00F96DFE"/>
    <w:rsid w:val="00FB5C42"/>
    <w:rsid w:val="00FB7E0C"/>
    <w:rsid w:val="00FD24D7"/>
    <w:rsid w:val="00FD7C8A"/>
    <w:rsid w:val="00FE1398"/>
    <w:rsid w:val="00FF2A4A"/>
    <w:rsid w:val="00FF5D73"/>
    <w:rsid w:val="01BB2C1C"/>
    <w:rsid w:val="065A3ABE"/>
    <w:rsid w:val="0A330166"/>
    <w:rsid w:val="15C479BD"/>
    <w:rsid w:val="17A96AE7"/>
    <w:rsid w:val="1B9362BB"/>
    <w:rsid w:val="1C9C462F"/>
    <w:rsid w:val="1FD9786A"/>
    <w:rsid w:val="1FF016F9"/>
    <w:rsid w:val="236F098B"/>
    <w:rsid w:val="25C762D9"/>
    <w:rsid w:val="26F05C68"/>
    <w:rsid w:val="28323D41"/>
    <w:rsid w:val="29CA071F"/>
    <w:rsid w:val="29FA3ADB"/>
    <w:rsid w:val="2A94196C"/>
    <w:rsid w:val="2E7A3CE4"/>
    <w:rsid w:val="302777FC"/>
    <w:rsid w:val="33205FA8"/>
    <w:rsid w:val="36C70F9C"/>
    <w:rsid w:val="393D29A7"/>
    <w:rsid w:val="3DA828A2"/>
    <w:rsid w:val="42A014D4"/>
    <w:rsid w:val="4D5B4869"/>
    <w:rsid w:val="504273BB"/>
    <w:rsid w:val="51BB11A6"/>
    <w:rsid w:val="552C6E1A"/>
    <w:rsid w:val="5B20598C"/>
    <w:rsid w:val="5EA26B50"/>
    <w:rsid w:val="5EF569B6"/>
    <w:rsid w:val="5F9A6976"/>
    <w:rsid w:val="60206ED1"/>
    <w:rsid w:val="63C02548"/>
    <w:rsid w:val="6CE22CC3"/>
    <w:rsid w:val="6CED673D"/>
    <w:rsid w:val="6E6779ED"/>
    <w:rsid w:val="6E76273B"/>
    <w:rsid w:val="70FA580B"/>
    <w:rsid w:val="727A75E7"/>
    <w:rsid w:val="7A676E7F"/>
    <w:rsid w:val="7CB763AC"/>
    <w:rsid w:val="7F6B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bidi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5">
    <w:name w:val="Emphasis"/>
    <w:basedOn w:val="2"/>
    <w:qFormat/>
    <w:uiPriority w:val="20"/>
    <w:rPr>
      <w:i/>
      <w:iCs/>
    </w:rPr>
  </w:style>
  <w:style w:type="paragraph" w:styleId="6">
    <w:name w:val="footer"/>
    <w:basedOn w:val="1"/>
    <w:link w:val="14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7">
    <w:name w:val="header"/>
    <w:basedOn w:val="1"/>
    <w:link w:val="13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Normal (Web)"/>
    <w:basedOn w:val="1"/>
    <w:semiHidden/>
    <w:unhideWhenUsed/>
    <w:qFormat/>
    <w:uiPriority w:val="99"/>
    <w:pPr>
      <w:bidi w:val="0"/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10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Light Grid Accent 2"/>
    <w:basedOn w:val="3"/>
    <w:qFormat/>
    <w:uiPriority w:val="62"/>
    <w:pPr>
      <w:spacing w:after="0" w:line="240" w:lineRule="auto"/>
    </w:p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1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  <w:shd w:val="clear" w:color="auto" w:fill="FADECC" w:themeFill="accent2" w:themeFillTint="3F"/>
      </w:tcPr>
    </w:tblStylePr>
    <w:tblStylePr w:type="band2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</w:tcPr>
    </w:tblStyle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رأس الصفحة Char"/>
    <w:basedOn w:val="2"/>
    <w:link w:val="7"/>
    <w:qFormat/>
    <w:uiPriority w:val="99"/>
  </w:style>
  <w:style w:type="character" w:customStyle="1" w:styleId="14">
    <w:name w:val="تذييل الصفحة Char"/>
    <w:basedOn w:val="2"/>
    <w:link w:val="6"/>
    <w:uiPriority w:val="99"/>
  </w:style>
  <w:style w:type="table" w:customStyle="1" w:styleId="15">
    <w:name w:val="شبكة جدول14"/>
    <w:basedOn w:val="3"/>
    <w:qFormat/>
    <w:uiPriority w:val="39"/>
    <w:pPr>
      <w:spacing w:after="0" w:line="240" w:lineRule="auto"/>
    </w:pPr>
    <w:rPr>
      <w:rFonts w:eastAsia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شبكة جدول7"/>
    <w:basedOn w:val="3"/>
    <w:qFormat/>
    <w:uiPriority w:val="39"/>
    <w:pPr>
      <w:spacing w:after="0" w:line="240" w:lineRule="auto"/>
    </w:pPr>
    <w:rPr>
      <w:rFonts w:eastAsia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شبكة جدول1"/>
    <w:basedOn w:val="3"/>
    <w:qFormat/>
    <w:uiPriority w:val="59"/>
    <w:pPr>
      <w:spacing w:after="0" w:line="240" w:lineRule="auto"/>
    </w:pPr>
    <w:rPr>
      <w:rFonts w:eastAsia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شبكة جدول2"/>
    <w:basedOn w:val="3"/>
    <w:qFormat/>
    <w:uiPriority w:val="59"/>
    <w:pPr>
      <w:spacing w:after="0" w:line="240" w:lineRule="auto"/>
    </w:pPr>
    <w:rPr>
      <w:rFonts w:eastAsia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نص في بالون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20">
    <w:name w:val="Plain Table 5"/>
    <w:basedOn w:val="3"/>
    <w:uiPriority w:val="45"/>
    <w:pPr>
      <w:spacing w:after="0" w:line="240" w:lineRule="auto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hAnsi="Cambria" w:eastAsia="Times New Roman" w:cs="Times New Roman"/>
        <w:i/>
        <w:iCs/>
        <w:sz w:val="26"/>
      </w:rPr>
      <w:tcPr>
        <w:tcBorders>
          <w:bottom w:val="single" w:color="7F7F7F" w:sz="4" w:space="0"/>
        </w:tcBorders>
        <w:shd w:val="clear" w:color="auto" w:fill="FFFFFF"/>
      </w:tcPr>
    </w:tblStylePr>
    <w:tblStylePr w:type="lastRow">
      <w:rPr>
        <w:rFonts w:ascii="Cambria" w:hAnsi="Cambria" w:eastAsia="Times New Roman" w:cs="Times New Roman"/>
        <w:i/>
        <w:iCs/>
        <w:sz w:val="26"/>
      </w:rPr>
      <w:tcPr>
        <w:tcBorders>
          <w:top w:val="single" w:color="7F7F7F" w:sz="4" w:space="0"/>
        </w:tcBorders>
        <w:shd w:val="clear" w:color="auto" w:fill="FFFFFF"/>
      </w:tcPr>
    </w:tblStylePr>
    <w:tblStylePr w:type="firstCol">
      <w:pPr>
        <w:jc w:val="right"/>
      </w:pPr>
      <w:rPr>
        <w:rFonts w:ascii="Cambria" w:hAnsi="Cambria" w:eastAsia="Times New Roman" w:cs="Times New Roman"/>
        <w:i/>
        <w:iCs/>
        <w:sz w:val="26"/>
      </w:rPr>
      <w:tcPr>
        <w:tcBorders>
          <w:right w:val="single" w:color="7F7F7F" w:sz="4" w:space="0"/>
        </w:tcBorders>
        <w:shd w:val="clear" w:color="auto" w:fill="FFFFFF"/>
      </w:tcPr>
    </w:tblStylePr>
    <w:tblStylePr w:type="lastCol">
      <w:rPr>
        <w:rFonts w:ascii="Cambria" w:hAnsi="Cambria" w:eastAsia="Times New Roman" w:cs="Times New Roman"/>
        <w:i/>
        <w:iCs/>
        <w:sz w:val="26"/>
      </w:rPr>
      <w:tcPr>
        <w:tcBorders>
          <w:left w:val="single" w:color="7F7F7F" w:sz="4" w:space="0"/>
        </w:tcBorders>
        <w:shd w:val="clear" w:color="auto" w:fill="FFFFFF"/>
      </w:tc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21">
    <w:name w:val="katex-mathml"/>
    <w:basedOn w:val="2"/>
    <w:qFormat/>
    <w:uiPriority w:val="0"/>
  </w:style>
  <w:style w:type="character" w:customStyle="1" w:styleId="22">
    <w:name w:val="mord"/>
    <w:basedOn w:val="2"/>
    <w:uiPriority w:val="0"/>
  </w:style>
  <w:style w:type="character" w:customStyle="1" w:styleId="23">
    <w:name w:val="vlist-s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SACC</Company>
  <Pages>6</Pages>
  <Words>4314</Words>
  <Characters>24593</Characters>
  <Lines>204</Lines>
  <Paragraphs>57</Paragraphs>
  <TotalTime>23</TotalTime>
  <ScaleCrop>false</ScaleCrop>
  <LinksUpToDate>false</LinksUpToDate>
  <CharactersWithSpaces>28850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2024-07-04T23:10:00Z</dcterms:created>
  <dc:creator>Windows User</dc:creator>
  <cp:lastModifiedBy>aml eltantawy</cp:lastModifiedBy>
  <dcterms:modified xsi:type="dcterms:W3CDTF">2024-08-10T12:48:23Z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c810f8fe3c520f36a4de5ae45a92235970a49e8afa35e62988094609610beda8</vt:lpwstr>
  </property>
  <property fmtid="{D5CDD505-2E9C-101B-9397-08002B2CF9AE}" pid="3" name="KSOProductBuildVer">
    <vt:lpwstr>1033-12.2.0.17153</vt:lpwstr>
  </property>
  <property fmtid="{D5CDD505-2E9C-101B-9397-08002B2CF9AE}" pid="4" name="ICV">
    <vt:lpwstr>5AEA1A5474C245A6AEE9BFBA76C6B8D2_12</vt:lpwstr>
  </property>
</Properties>
</file>