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37E371" w14:textId="77777777" w:rsidR="008C0D75" w:rsidRPr="00AB3C1E" w:rsidRDefault="008C0D75" w:rsidP="008C0D75">
      <w:pPr>
        <w:pStyle w:val="NoSpacing"/>
        <w:spacing w:line="480" w:lineRule="auto"/>
        <w:ind w:leftChars="-1" w:left="-2"/>
        <w:outlineLvl w:val="0"/>
        <w:rPr>
          <w:rFonts w:ascii="Arial" w:hAnsi="Arial" w:cs="Arial"/>
          <w:b/>
          <w:color w:val="000000" w:themeColor="text1"/>
          <w:sz w:val="22"/>
          <w:lang w:val="en-US"/>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b/>
          <w:color w:val="000000" w:themeColor="text1"/>
          <w:sz w:val="22"/>
        </w:rPr>
        <w:t>Figure</w:t>
      </w:r>
      <w:r>
        <w:rPr>
          <w:rFonts w:ascii="Arial" w:hAnsi="Arial" w:cs="Arial" w:hint="eastAsia"/>
          <w:b/>
          <w:color w:val="000000" w:themeColor="text1"/>
          <w:sz w:val="22"/>
        </w:rPr>
        <w:t>s</w:t>
      </w:r>
    </w:p>
    <w:p w14:paraId="231D442A" w14:textId="77777777" w:rsidR="008C0D75" w:rsidRPr="00AB3C1E" w:rsidRDefault="008C0D75" w:rsidP="008C0D75">
      <w:pPr>
        <w:pStyle w:val="ListParagraph"/>
        <w:spacing w:line="480" w:lineRule="auto"/>
        <w:jc w:val="both"/>
        <w:outlineLvl w:val="1"/>
        <w:rPr>
          <w:rFonts w:ascii="Arial" w:hAnsi="Arial" w:cs="Arial"/>
          <w:b/>
          <w:bCs/>
          <w:color w:val="000000" w:themeColor="text1"/>
        </w:rPr>
      </w:pPr>
      <w:r w:rsidRPr="00AB3C1E">
        <w:rPr>
          <w:rFonts w:ascii="Arial" w:hAnsi="Arial" w:cs="Arial"/>
          <w:b/>
          <w:bCs/>
          <w:color w:val="000000" w:themeColor="text1"/>
        </w:rPr>
        <w:t>Extended Data Figure 1</w:t>
      </w:r>
    </w:p>
    <w:p w14:paraId="34CCB821" w14:textId="77777777" w:rsidR="008C0D75" w:rsidRPr="003173F1" w:rsidRDefault="008C0D75" w:rsidP="008C0D75">
      <w:pPr>
        <w:spacing w:line="480" w:lineRule="auto"/>
        <w:jc w:val="both"/>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14:anchorId="50CC7D86" wp14:editId="4FF85A11">
            <wp:extent cx="5274310" cy="5739765"/>
            <wp:effectExtent l="0" t="0" r="0" b="635"/>
            <wp:docPr id="1893287261" name="图片 7"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287261" name="图片 7" descr="图示, 示意图&#10;&#10;描述已自动生成"/>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5739765"/>
                    </a:xfrm>
                    <a:prstGeom prst="rect">
                      <a:avLst/>
                    </a:prstGeom>
                  </pic:spPr>
                </pic:pic>
              </a:graphicData>
            </a:graphic>
          </wp:inline>
        </w:drawing>
      </w:r>
    </w:p>
    <w:p w14:paraId="2CC09EA9" w14:textId="77777777" w:rsidR="008C0D75" w:rsidRPr="003173F1" w:rsidRDefault="008C0D75" w:rsidP="008C0D75">
      <w:pPr>
        <w:spacing w:line="480" w:lineRule="auto"/>
        <w:jc w:val="both"/>
        <w:rPr>
          <w:rFonts w:ascii="Arial" w:hAnsi="Arial" w:cs="Arial"/>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hint="eastAsia"/>
          <w:b/>
          <w:bCs/>
          <w:color w:val="000000" w:themeColor="text1"/>
          <w:sz w:val="22"/>
          <w:szCs w:val="22"/>
        </w:rPr>
        <w:t>F</w:t>
      </w:r>
      <w:r w:rsidRPr="003173F1">
        <w:rPr>
          <w:rFonts w:ascii="Arial" w:hAnsi="Arial" w:cs="Arial"/>
          <w:b/>
          <w:bCs/>
          <w:color w:val="000000" w:themeColor="text1"/>
          <w:sz w:val="22"/>
          <w:szCs w:val="22"/>
        </w:rPr>
        <w:t>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1. Protocol for generating RMF pellets and characterization of RMF pellet-derived cells, related to 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1</w:t>
      </w:r>
    </w:p>
    <w:p w14:paraId="7493769C"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a</w:t>
      </w:r>
      <w:r>
        <w:rPr>
          <w:rFonts w:ascii="Arial" w:hAnsi="Arial" w:cs="Arial"/>
          <w:color w:val="000000" w:themeColor="text1"/>
          <w:sz w:val="22"/>
          <w:szCs w:val="22"/>
        </w:rPr>
        <w:t>,</w:t>
      </w:r>
      <w:r w:rsidRPr="003173F1">
        <w:rPr>
          <w:rFonts w:ascii="Arial" w:hAnsi="Arial" w:cs="Arial"/>
          <w:color w:val="000000" w:themeColor="text1"/>
          <w:sz w:val="22"/>
          <w:szCs w:val="22"/>
        </w:rPr>
        <w:t xml:space="preserve"> Schematic protocol for generating 4-mm RMF pellets from human adipose tissue. </w:t>
      </w:r>
    </w:p>
    <w:p w14:paraId="583A27DF"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b</w:t>
      </w:r>
      <w:r>
        <w:rPr>
          <w:rFonts w:ascii="Arial" w:hAnsi="Arial" w:cs="Arial"/>
          <w:color w:val="000000" w:themeColor="text1"/>
          <w:sz w:val="22"/>
          <w:szCs w:val="22"/>
        </w:rPr>
        <w:t>,</w:t>
      </w:r>
      <w:r w:rsidRPr="003173F1">
        <w:rPr>
          <w:rFonts w:ascii="Arial" w:hAnsi="Arial" w:cs="Arial"/>
          <w:color w:val="000000" w:themeColor="text1"/>
          <w:sz w:val="22"/>
          <w:szCs w:val="22"/>
        </w:rPr>
        <w:t xml:space="preserve"> Schematic showing the harvesting of SVFs (native fat), RMF cells, P0 ADSCs, and expended ADSCs for characterization of cell populations. RMF cells were obtained </w:t>
      </w:r>
      <w:r w:rsidRPr="003173F1">
        <w:rPr>
          <w:rFonts w:ascii="Arial" w:hAnsi="Arial" w:cs="Arial"/>
          <w:color w:val="000000" w:themeColor="text1"/>
          <w:sz w:val="22"/>
          <w:szCs w:val="22"/>
        </w:rPr>
        <w:lastRenderedPageBreak/>
        <w:t xml:space="preserve">from RMF pellets by collagenase digestion; SVFs were isolated from native fat tissues by collagenase digestion; The SVFs were then seeded onto plastic cell culture plates for adhesive culture in growth medium for 5 to 7 days. The resulting cells were detached using Trypsin-EDTA and used as primary ADSCs (P0 ADSCs). The ADSCs cultured in growth medium and </w:t>
      </w:r>
      <w:bookmarkStart w:id="0" w:name="OLE_LINK13"/>
      <w:bookmarkStart w:id="1" w:name="OLE_LINK14"/>
      <w:r w:rsidRPr="003173F1">
        <w:rPr>
          <w:rFonts w:ascii="Arial" w:hAnsi="Arial" w:cs="Arial"/>
          <w:color w:val="000000" w:themeColor="text1"/>
          <w:sz w:val="22"/>
          <w:szCs w:val="22"/>
        </w:rPr>
        <w:t xml:space="preserve">passaged </w:t>
      </w:r>
      <w:bookmarkEnd w:id="0"/>
      <w:bookmarkEnd w:id="1"/>
      <w:r w:rsidRPr="003173F1">
        <w:rPr>
          <w:rFonts w:ascii="Arial" w:hAnsi="Arial" w:cs="Arial"/>
          <w:color w:val="000000" w:themeColor="text1"/>
          <w:sz w:val="22"/>
          <w:szCs w:val="22"/>
        </w:rPr>
        <w:t>5 to 7 times until day 28 were harvested and used as expanded ADSCs in subsequent experiments.</w:t>
      </w:r>
    </w:p>
    <w:p w14:paraId="4A1870C0"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c</w:t>
      </w:r>
      <w:r>
        <w:rPr>
          <w:rFonts w:ascii="Arial" w:hAnsi="Arial" w:cs="Arial"/>
          <w:color w:val="000000" w:themeColor="text1"/>
          <w:sz w:val="22"/>
          <w:szCs w:val="22"/>
        </w:rPr>
        <w:t>,</w:t>
      </w:r>
      <w:r w:rsidRPr="003173F1">
        <w:rPr>
          <w:rFonts w:ascii="Arial" w:hAnsi="Arial" w:cs="Arial"/>
          <w:color w:val="000000" w:themeColor="text1"/>
          <w:sz w:val="22"/>
          <w:szCs w:val="22"/>
        </w:rPr>
        <w:t xml:space="preserve"> Proliferation capacity of the SVFs (native fat), RMF cells, P0 ADSCs, and expanded ADSCs. Data are presented as mean ± SD (n = 6 biological replicates). Two-way ANOVA with Dunnett’s test is used for comparison of multiple groups.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 01,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 0001; ns, not significant. </w:t>
      </w:r>
    </w:p>
    <w:p w14:paraId="26AA4E51"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d</w:t>
      </w:r>
      <w:r>
        <w:rPr>
          <w:rFonts w:ascii="Arial" w:hAnsi="Arial" w:cs="Arial"/>
          <w:color w:val="000000" w:themeColor="text1"/>
          <w:sz w:val="22"/>
          <w:szCs w:val="22"/>
        </w:rPr>
        <w:t>,</w:t>
      </w:r>
      <w:r w:rsidRPr="003173F1">
        <w:rPr>
          <w:rFonts w:ascii="Arial" w:hAnsi="Arial" w:cs="Arial"/>
          <w:color w:val="000000" w:themeColor="text1"/>
          <w:sz w:val="22"/>
          <w:szCs w:val="22"/>
        </w:rPr>
        <w:t xml:space="preserve"> Colony-forming capacity of the </w:t>
      </w:r>
      <w:bookmarkStart w:id="2" w:name="OLE_LINK21"/>
      <w:bookmarkStart w:id="3" w:name="OLE_LINK22"/>
      <w:r w:rsidRPr="003173F1">
        <w:rPr>
          <w:rFonts w:ascii="Arial" w:hAnsi="Arial" w:cs="Arial"/>
          <w:color w:val="000000" w:themeColor="text1"/>
          <w:sz w:val="22"/>
          <w:szCs w:val="22"/>
        </w:rPr>
        <w:t>SVFs (native fat), RMF cells, P0 ADSCs, and expanded ADSCs</w:t>
      </w:r>
      <w:bookmarkEnd w:id="2"/>
      <w:bookmarkEnd w:id="3"/>
      <w:r w:rsidRPr="003173F1">
        <w:rPr>
          <w:rFonts w:ascii="Arial" w:hAnsi="Arial" w:cs="Arial"/>
          <w:color w:val="000000" w:themeColor="text1"/>
          <w:sz w:val="22"/>
          <w:szCs w:val="22"/>
        </w:rPr>
        <w:t xml:space="preserve">. The colony numbers generated from 1 × </w:t>
      </w:r>
      <w:bookmarkStart w:id="4" w:name="OLE_LINK504"/>
      <w:bookmarkStart w:id="5" w:name="OLE_LINK505"/>
      <w:r w:rsidRPr="003173F1">
        <w:rPr>
          <w:rFonts w:ascii="Arial" w:hAnsi="Arial" w:cs="Arial"/>
          <w:color w:val="000000" w:themeColor="text1"/>
          <w:sz w:val="22"/>
          <w:szCs w:val="22"/>
        </w:rPr>
        <w:t>10</w:t>
      </w:r>
      <w:r w:rsidRPr="003173F1">
        <w:rPr>
          <w:rFonts w:ascii="Arial" w:hAnsi="Arial" w:cs="Arial"/>
          <w:color w:val="000000" w:themeColor="text1"/>
          <w:sz w:val="22"/>
          <w:szCs w:val="22"/>
          <w:vertAlign w:val="superscript"/>
        </w:rPr>
        <w:t>4</w:t>
      </w:r>
      <w:bookmarkEnd w:id="4"/>
      <w:bookmarkEnd w:id="5"/>
      <w:r w:rsidRPr="003173F1">
        <w:rPr>
          <w:rFonts w:ascii="Arial" w:hAnsi="Arial" w:cs="Arial"/>
          <w:color w:val="000000" w:themeColor="text1"/>
          <w:sz w:val="22"/>
          <w:szCs w:val="22"/>
        </w:rPr>
        <w:t xml:space="preserve"> of RMF cells, SVFs (native fat), P0 ADSCs, and expanded ADSCs are shown on the right. Data are presented as mean ± SD (n = 6 biological replicates). One-way ANOVA with Tukey’s test is used for comparison of multiple groups. Scale bars, 1 cm.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0.05.</w:t>
      </w:r>
    </w:p>
    <w:p w14:paraId="6E8B47B9"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e</w:t>
      </w:r>
      <w:r>
        <w:rPr>
          <w:rFonts w:ascii="Arial" w:hAnsi="Arial" w:cs="Arial"/>
          <w:color w:val="000000" w:themeColor="text1"/>
          <w:sz w:val="22"/>
          <w:szCs w:val="22"/>
        </w:rPr>
        <w:t>,</w:t>
      </w:r>
      <w:r w:rsidRPr="003173F1">
        <w:rPr>
          <w:rFonts w:ascii="Arial" w:hAnsi="Arial" w:cs="Arial"/>
          <w:color w:val="000000" w:themeColor="text1"/>
          <w:sz w:val="22"/>
          <w:szCs w:val="22"/>
        </w:rPr>
        <w:t xml:space="preserve"> SVFs (native fat), RMF cells, P0 ADSCs, and expanded ADSCs were submitted for osteogenic, adipogenic, and chondrogenic differentiation in corresponding differentiation induction media for indicated days. Representative images of Alizarin Red staining for osteogenic differentiation, Oil red staining for adipogenic differentiation, and Safranin O staining for chondrogenic differentiation for the induced </w:t>
      </w:r>
      <w:bookmarkStart w:id="6" w:name="OLE_LINK29"/>
      <w:bookmarkStart w:id="7" w:name="OLE_LINK30"/>
      <w:r w:rsidRPr="003173F1">
        <w:rPr>
          <w:rFonts w:ascii="Arial" w:hAnsi="Arial" w:cs="Arial"/>
          <w:color w:val="000000" w:themeColor="text1"/>
          <w:sz w:val="22"/>
          <w:szCs w:val="22"/>
        </w:rPr>
        <w:t>SVFs (native fat), RMF cells, P0 ADSCs, and expanded ADSCs</w:t>
      </w:r>
      <w:bookmarkEnd w:id="6"/>
      <w:bookmarkEnd w:id="7"/>
      <w:r w:rsidRPr="003173F1">
        <w:rPr>
          <w:rFonts w:ascii="Arial" w:hAnsi="Arial" w:cs="Arial"/>
          <w:color w:val="000000" w:themeColor="text1"/>
          <w:sz w:val="22"/>
          <w:szCs w:val="22"/>
        </w:rPr>
        <w:t>. Scale bars, 20 μm.</w:t>
      </w:r>
    </w:p>
    <w:p w14:paraId="704B7D4A" w14:textId="77777777" w:rsidR="008C0D75" w:rsidRPr="003173F1" w:rsidRDefault="008C0D75" w:rsidP="008C0D75">
      <w:pPr>
        <w:pStyle w:val="NoSpacing"/>
        <w:spacing w:line="480" w:lineRule="auto"/>
        <w:ind w:leftChars="-1" w:left="-2"/>
        <w:outlineLvl w:val="0"/>
        <w:rPr>
          <w:rFonts w:ascii="Arial" w:hAnsi="Arial" w:cs="Arial"/>
          <w:color w:val="000000" w:themeColor="text1"/>
          <w:sz w:val="22"/>
        </w:rPr>
      </w:pPr>
      <w:r w:rsidRPr="003173F1">
        <w:rPr>
          <w:rFonts w:ascii="Arial" w:hAnsi="Arial" w:cs="Arial"/>
          <w:b/>
          <w:color w:val="000000" w:themeColor="text1"/>
          <w:sz w:val="22"/>
        </w:rPr>
        <w:br w:type="page"/>
      </w:r>
    </w:p>
    <w:p w14:paraId="1B126E1B" w14:textId="77777777" w:rsidR="008C0D75" w:rsidRPr="00AB3C1E" w:rsidRDefault="008C0D75" w:rsidP="008C0D75">
      <w:pPr>
        <w:pStyle w:val="ListParagraph"/>
        <w:spacing w:line="480" w:lineRule="auto"/>
        <w:jc w:val="both"/>
        <w:outlineLvl w:val="1"/>
        <w:rPr>
          <w:rFonts w:ascii="Arial" w:hAnsi="Arial" w:cs="Arial"/>
          <w:b/>
          <w:bCs/>
          <w:color w:val="000000" w:themeColor="text1"/>
        </w:rPr>
      </w:pPr>
      <w:r w:rsidRPr="00AB3C1E">
        <w:rPr>
          <w:rFonts w:ascii="Arial" w:hAnsi="Arial" w:cs="Arial"/>
          <w:b/>
          <w:bCs/>
          <w:color w:val="000000" w:themeColor="text1"/>
        </w:rPr>
        <w:lastRenderedPageBreak/>
        <w:t>Extended Data Figure 2</w:t>
      </w:r>
    </w:p>
    <w:p w14:paraId="2D16BCC7" w14:textId="77777777" w:rsidR="008C0D75" w:rsidRPr="003173F1" w:rsidRDefault="008C0D75" w:rsidP="008C0D75">
      <w:pPr>
        <w:spacing w:line="480" w:lineRule="auto"/>
        <w:jc w:val="both"/>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14:anchorId="05A41698" wp14:editId="03038596">
            <wp:extent cx="5274310" cy="6711950"/>
            <wp:effectExtent l="0" t="0" r="0" b="6350"/>
            <wp:docPr id="162855716" name="图片 8"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55716" name="图片 8" descr="图形用户界面&#10;&#10;描述已自动生成"/>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6711950"/>
                    </a:xfrm>
                    <a:prstGeom prst="rect">
                      <a:avLst/>
                    </a:prstGeom>
                  </pic:spPr>
                </pic:pic>
              </a:graphicData>
            </a:graphic>
          </wp:inline>
        </w:drawing>
      </w:r>
    </w:p>
    <w:p w14:paraId="5C54F642" w14:textId="77777777" w:rsidR="008C0D75" w:rsidRPr="003173F1" w:rsidRDefault="008C0D75" w:rsidP="008C0D75">
      <w:pPr>
        <w:spacing w:line="480" w:lineRule="auto"/>
        <w:jc w:val="both"/>
        <w:rPr>
          <w:rFonts w:ascii="Arial" w:hAnsi="Arial" w:cs="Arial"/>
          <w:b/>
          <w:bCs/>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hint="eastAsia"/>
          <w:b/>
          <w:bCs/>
          <w:color w:val="000000" w:themeColor="text1"/>
          <w:sz w:val="22"/>
          <w:szCs w:val="22"/>
        </w:rPr>
        <w:t>F</w:t>
      </w:r>
      <w:r w:rsidRPr="003173F1">
        <w:rPr>
          <w:rFonts w:ascii="Arial" w:hAnsi="Arial" w:cs="Arial"/>
          <w:b/>
          <w:bCs/>
          <w:color w:val="000000" w:themeColor="text1"/>
          <w:sz w:val="22"/>
          <w:szCs w:val="22"/>
        </w:rPr>
        <w:t>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2</w:t>
      </w:r>
      <w:r w:rsidRPr="003173F1">
        <w:rPr>
          <w:rFonts w:ascii="Arial" w:hAnsi="Arial" w:cs="Arial"/>
          <w:b/>
          <w:bCs/>
          <w:color w:val="000000" w:themeColor="text1"/>
          <w:sz w:val="22"/>
          <w:szCs w:val="22"/>
        </w:rPr>
        <w:t>. Characterization of RMF-derived chondroids and hOssicles, related to 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2</w:t>
      </w:r>
    </w:p>
    <w:p w14:paraId="42782542"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a</w:t>
      </w:r>
      <w:r>
        <w:rPr>
          <w:rFonts w:ascii="Arial" w:hAnsi="Arial" w:cs="Arial"/>
          <w:color w:val="000000" w:themeColor="text1"/>
          <w:sz w:val="22"/>
          <w:szCs w:val="22"/>
        </w:rPr>
        <w:t>,</w:t>
      </w:r>
      <w:r w:rsidRPr="003173F1">
        <w:rPr>
          <w:rFonts w:ascii="Arial" w:hAnsi="Arial" w:cs="Arial"/>
          <w:color w:val="000000" w:themeColor="text1"/>
          <w:sz w:val="22"/>
          <w:szCs w:val="22"/>
        </w:rPr>
        <w:t xml:space="preserve"> Immunohistochemistry</w:t>
      </w:r>
      <w:r w:rsidRPr="003173F1">
        <w:rPr>
          <w:rFonts w:ascii="Arial" w:hAnsi="Arial" w:cs="Arial" w:hint="eastAsia"/>
          <w:color w:val="000000" w:themeColor="text1"/>
          <w:sz w:val="22"/>
          <w:szCs w:val="22"/>
        </w:rPr>
        <w:t xml:space="preserve"> </w:t>
      </w:r>
      <w:r w:rsidRPr="003173F1">
        <w:rPr>
          <w:rFonts w:ascii="Arial" w:hAnsi="Arial" w:cs="Arial"/>
          <w:color w:val="000000" w:themeColor="text1"/>
          <w:sz w:val="22"/>
          <w:szCs w:val="22"/>
        </w:rPr>
        <w:t xml:space="preserve">of Col I, BSP, MMP9, and MMP13 in RMF pellets after 6 weeks of endochondral priming. Col I and BSP staining were revealed with Vector red, </w:t>
      </w:r>
      <w:r w:rsidRPr="003173F1">
        <w:rPr>
          <w:rFonts w:ascii="Arial" w:hAnsi="Arial" w:cs="Arial"/>
          <w:color w:val="000000" w:themeColor="text1"/>
          <w:sz w:val="22"/>
          <w:szCs w:val="22"/>
        </w:rPr>
        <w:lastRenderedPageBreak/>
        <w:t>MMP9 and MMP13 staining were revealed with DAB. Representative of 6 independent biological replicates. Scale bars, 100 μm.</w:t>
      </w:r>
    </w:p>
    <w:p w14:paraId="163A224E"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b</w:t>
      </w:r>
      <w:r>
        <w:rPr>
          <w:rFonts w:ascii="Arial" w:hAnsi="Arial" w:cs="Arial"/>
          <w:color w:val="000000" w:themeColor="text1"/>
          <w:sz w:val="22"/>
          <w:szCs w:val="22"/>
        </w:rPr>
        <w:t>,</w:t>
      </w:r>
      <w:r w:rsidRPr="003173F1">
        <w:rPr>
          <w:rFonts w:ascii="Arial" w:hAnsi="Arial" w:cs="Arial"/>
          <w:color w:val="000000" w:themeColor="text1"/>
          <w:sz w:val="22"/>
          <w:szCs w:val="22"/>
        </w:rPr>
        <w:t xml:space="preserve"> Safranin O images demonstrating the worst, moderate, and best chondroid pellets after 6 weeks of in vitro endochondral priming. Percentage of each type of chondroid pellet samples is shown on the right. Scale bars, 1 mm. Data are presented as mean ± SD (n = 6 biological replicates, each biological replicate contained 10 mice, each mouse carried 4 pellets). </w:t>
      </w:r>
    </w:p>
    <w:p w14:paraId="4F42CF32"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c</w:t>
      </w:r>
      <w:r>
        <w:rPr>
          <w:rFonts w:ascii="Arial" w:hAnsi="Arial" w:cs="Arial"/>
          <w:color w:val="000000" w:themeColor="text1"/>
          <w:sz w:val="22"/>
          <w:szCs w:val="22"/>
        </w:rPr>
        <w:t>,</w:t>
      </w:r>
      <w:r w:rsidRPr="003173F1">
        <w:rPr>
          <w:rFonts w:ascii="Arial" w:hAnsi="Arial" w:cs="Arial"/>
          <w:color w:val="000000" w:themeColor="text1"/>
          <w:sz w:val="22"/>
          <w:szCs w:val="22"/>
        </w:rPr>
        <w:t xml:space="preserve"> Gross view of explanted ossicle samples explanted at 2, 4, 6, 8, and 12 weeks following transplantation in NPSG mice. Representative of 3 biological replicates. Scale bars, 1 mm.</w:t>
      </w:r>
    </w:p>
    <w:p w14:paraId="5113883B"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d</w:t>
      </w:r>
      <w:r>
        <w:rPr>
          <w:rFonts w:ascii="Arial" w:hAnsi="Arial" w:cs="Arial"/>
          <w:color w:val="000000" w:themeColor="text1"/>
          <w:sz w:val="22"/>
          <w:szCs w:val="22"/>
        </w:rPr>
        <w:t>,</w:t>
      </w:r>
      <w:r w:rsidRPr="003173F1">
        <w:rPr>
          <w:rFonts w:ascii="Arial" w:hAnsi="Arial" w:cs="Arial"/>
          <w:color w:val="000000" w:themeColor="text1"/>
          <w:sz w:val="22"/>
          <w:szCs w:val="22"/>
        </w:rPr>
        <w:t xml:space="preserve"> Movat’s </w:t>
      </w:r>
      <w:bookmarkStart w:id="8" w:name="OLE_LINK113"/>
      <w:bookmarkStart w:id="9" w:name="OLE_LINK114"/>
      <w:r w:rsidRPr="003173F1">
        <w:rPr>
          <w:rFonts w:ascii="Arial" w:hAnsi="Arial" w:cs="Arial"/>
          <w:color w:val="000000" w:themeColor="text1"/>
          <w:sz w:val="22"/>
          <w:szCs w:val="22"/>
        </w:rPr>
        <w:t xml:space="preserve">pentachrome </w:t>
      </w:r>
      <w:bookmarkEnd w:id="8"/>
      <w:bookmarkEnd w:id="9"/>
      <w:r w:rsidRPr="003173F1">
        <w:rPr>
          <w:rFonts w:ascii="Arial" w:hAnsi="Arial" w:cs="Arial"/>
          <w:color w:val="000000" w:themeColor="text1"/>
          <w:sz w:val="22"/>
          <w:szCs w:val="22"/>
        </w:rPr>
        <w:t>staining images of explanted ossicles. The cartilage matrix is stained blue, dense bone tissue</w:t>
      </w:r>
      <w:r w:rsidRPr="003173F1">
        <w:rPr>
          <w:rFonts w:ascii="Arial" w:hAnsi="Arial" w:cs="Arial" w:hint="eastAsia"/>
          <w:color w:val="000000" w:themeColor="text1"/>
          <w:sz w:val="22"/>
          <w:szCs w:val="22"/>
        </w:rPr>
        <w:t xml:space="preserve"> </w:t>
      </w:r>
      <w:r w:rsidRPr="003173F1">
        <w:rPr>
          <w:rFonts w:ascii="Arial" w:hAnsi="Arial" w:cs="Arial"/>
          <w:color w:val="000000" w:themeColor="text1"/>
          <w:sz w:val="22"/>
          <w:szCs w:val="22"/>
        </w:rPr>
        <w:t xml:space="preserve">is stained red, and new bone tissue is stained yellow. Magnified images of boxed areas on the below illustrating the residual cartilage, bone, or bone marrow. Representative of 3 biological replicates. Scale bars, 1 mm in large images, 100 μm </w:t>
      </w:r>
      <w:r w:rsidRPr="003173F1">
        <w:rPr>
          <w:rFonts w:ascii="Arial" w:hAnsi="Arial" w:cs="Arial" w:hint="eastAsia"/>
          <w:color w:val="000000" w:themeColor="text1"/>
          <w:sz w:val="22"/>
          <w:szCs w:val="22"/>
        </w:rPr>
        <w:t>in</w:t>
      </w:r>
      <w:r w:rsidRPr="003173F1">
        <w:rPr>
          <w:rFonts w:ascii="Arial" w:hAnsi="Arial" w:cs="Arial"/>
          <w:color w:val="000000" w:themeColor="text1"/>
          <w:sz w:val="22"/>
          <w:szCs w:val="22"/>
        </w:rPr>
        <w:t xml:space="preserve"> </w:t>
      </w:r>
      <w:r w:rsidRPr="003173F1">
        <w:rPr>
          <w:rFonts w:ascii="Arial" w:hAnsi="Arial" w:cs="Arial" w:hint="eastAsia"/>
          <w:color w:val="000000" w:themeColor="text1"/>
          <w:sz w:val="22"/>
          <w:szCs w:val="22"/>
        </w:rPr>
        <w:t>ma</w:t>
      </w:r>
      <w:r w:rsidRPr="003173F1">
        <w:rPr>
          <w:rFonts w:ascii="Arial" w:hAnsi="Arial" w:cs="Arial"/>
          <w:color w:val="000000" w:themeColor="text1"/>
          <w:sz w:val="22"/>
          <w:szCs w:val="22"/>
        </w:rPr>
        <w:t>gnified images. B, bone; BM, bone marrow; C, cartilage.</w:t>
      </w:r>
    </w:p>
    <w:p w14:paraId="755E1BD1"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e</w:t>
      </w:r>
      <w:r>
        <w:rPr>
          <w:rFonts w:ascii="Arial" w:hAnsi="Arial" w:cs="Arial"/>
          <w:color w:val="000000" w:themeColor="text1"/>
          <w:sz w:val="22"/>
          <w:szCs w:val="22"/>
        </w:rPr>
        <w:t>,</w:t>
      </w:r>
      <w:r w:rsidRPr="003173F1">
        <w:rPr>
          <w:rFonts w:ascii="Arial" w:hAnsi="Arial" w:cs="Arial"/>
          <w:color w:val="000000" w:themeColor="text1"/>
          <w:sz w:val="22"/>
          <w:szCs w:val="22"/>
        </w:rPr>
        <w:t xml:space="preserve"> Pseudocolored images for demonstrating the area of cartilage, bone, bone marrow, adipose, and fibrotic tissues in explanted ossicles, which outlined on the Movat’s pentachrome staining images using the area calculation tool in ImageJ software. Cartilage, green; bone, blue; bone marrow, red; adipose tissue, yellow; fibrotic tissues, purple. Representative of 3 biological replicates. Scale bars, 1 mm.</w:t>
      </w:r>
    </w:p>
    <w:p w14:paraId="365E1FB5"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f</w:t>
      </w:r>
      <w:r>
        <w:rPr>
          <w:rFonts w:ascii="Arial" w:hAnsi="Arial" w:cs="Arial"/>
          <w:color w:val="000000" w:themeColor="text1"/>
          <w:sz w:val="22"/>
          <w:szCs w:val="22"/>
        </w:rPr>
        <w:t>,</w:t>
      </w:r>
      <w:r w:rsidRPr="003173F1">
        <w:rPr>
          <w:rFonts w:ascii="Arial" w:hAnsi="Arial" w:cs="Arial"/>
          <w:color w:val="000000" w:themeColor="text1"/>
          <w:sz w:val="22"/>
          <w:szCs w:val="22"/>
        </w:rPr>
        <w:t xml:space="preserve"> Time-course quantification analysis of bone, cartilage, and bone marrow tissue areas within explanted ossicles at each time points following transplantation. Data are </w:t>
      </w:r>
      <w:r w:rsidRPr="003173F1">
        <w:rPr>
          <w:rFonts w:ascii="Arial" w:hAnsi="Arial" w:cs="Arial"/>
          <w:color w:val="000000" w:themeColor="text1"/>
          <w:sz w:val="22"/>
          <w:szCs w:val="22"/>
        </w:rPr>
        <w:lastRenderedPageBreak/>
        <w:t>presented as mean ± SD (n = 4 biological replicates, 4 ossicles per time points). Two-way ANOVA with Dunnett’s test is used for comparison of multiple groups. Within a group, each time point is</w:t>
      </w:r>
      <w:r w:rsidRPr="003173F1">
        <w:rPr>
          <w:rFonts w:ascii="Arial" w:hAnsi="Arial" w:cs="Arial" w:hint="eastAsia"/>
          <w:color w:val="000000" w:themeColor="text1"/>
          <w:sz w:val="22"/>
          <w:szCs w:val="22"/>
        </w:rPr>
        <w:t xml:space="preserve"> </w:t>
      </w:r>
      <w:r w:rsidRPr="003173F1">
        <w:rPr>
          <w:rFonts w:ascii="Arial" w:hAnsi="Arial" w:cs="Arial"/>
          <w:color w:val="000000" w:themeColor="text1"/>
          <w:sz w:val="22"/>
          <w:szCs w:val="22"/>
        </w:rPr>
        <w:t>compared with the 2 weeks; between tissue types, each tissue type is compared with the bone marrow.</w:t>
      </w:r>
      <w:r w:rsidRPr="003173F1">
        <w:rPr>
          <w:rFonts w:ascii="Arial" w:hAnsi="Arial" w:cs="Arial" w:hint="eastAsia"/>
          <w:color w:val="000000" w:themeColor="text1"/>
          <w:sz w:val="22"/>
          <w:szCs w:val="22"/>
        </w:rPr>
        <w:t xml:space="preserve"> </w:t>
      </w:r>
      <w:r w:rsidRPr="003173F1">
        <w:rPr>
          <w:rFonts w:ascii="Arial" w:hAnsi="Arial" w:cs="Arial"/>
          <w:color w:val="000000" w:themeColor="text1"/>
          <w:sz w:val="22"/>
          <w:szCs w:val="22"/>
        </w:rPr>
        <w:t>*</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0.05,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 01. </w:t>
      </w:r>
    </w:p>
    <w:p w14:paraId="53F3231E" w14:textId="77777777" w:rsidR="008C0D75"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g</w:t>
      </w:r>
      <w:r>
        <w:rPr>
          <w:rFonts w:ascii="Arial" w:hAnsi="Arial" w:cs="Arial"/>
          <w:color w:val="000000" w:themeColor="text1"/>
          <w:sz w:val="22"/>
          <w:szCs w:val="22"/>
        </w:rPr>
        <w:t>,</w:t>
      </w:r>
      <w:r w:rsidRPr="003173F1">
        <w:rPr>
          <w:rFonts w:ascii="Arial" w:hAnsi="Arial" w:cs="Arial"/>
          <w:color w:val="000000" w:themeColor="text1"/>
          <w:sz w:val="22"/>
          <w:szCs w:val="22"/>
        </w:rPr>
        <w:t xml:space="preserve"> microCT images of ossicles explanted at 4, 8, and 12 weeks post-transplantation. Representative of 3 independent biological replicates. Scale bars, 1 mm. </w:t>
      </w:r>
    </w:p>
    <w:p w14:paraId="319710DD" w14:textId="77777777" w:rsidR="008C0D75"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h</w:t>
      </w:r>
      <w:r>
        <w:rPr>
          <w:rFonts w:ascii="Arial" w:hAnsi="Arial" w:cs="Arial"/>
          <w:color w:val="000000" w:themeColor="text1"/>
          <w:sz w:val="22"/>
          <w:szCs w:val="22"/>
        </w:rPr>
        <w:t>,</w:t>
      </w:r>
      <w:r w:rsidRPr="003173F1">
        <w:rPr>
          <w:rFonts w:ascii="Arial" w:hAnsi="Arial" w:cs="Arial"/>
          <w:color w:val="000000" w:themeColor="text1"/>
          <w:sz w:val="22"/>
          <w:szCs w:val="22"/>
        </w:rPr>
        <w:t xml:space="preserve"> Quantification of bone volume (BV), total volume (TV) and BV/TV of explanted ossicles, based on microCT data. Data are presented as mean ± SD (n = 3 biological replicates, 4 ossicles per time points). One-way ANOVA with Tukey’s test is used for comparison of multiple groups.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0.05,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 0001; ns, not significant.</w:t>
      </w:r>
    </w:p>
    <w:p w14:paraId="0B6EB565"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i</w:t>
      </w:r>
      <w:r>
        <w:rPr>
          <w:rFonts w:ascii="Arial" w:hAnsi="Arial" w:cs="Arial"/>
          <w:color w:val="000000" w:themeColor="text1"/>
          <w:sz w:val="22"/>
          <w:szCs w:val="22"/>
        </w:rPr>
        <w:t>,</w:t>
      </w:r>
      <w:r w:rsidRPr="003173F1">
        <w:rPr>
          <w:rFonts w:ascii="Arial" w:hAnsi="Arial" w:cs="Arial"/>
          <w:color w:val="000000" w:themeColor="text1"/>
          <w:sz w:val="22"/>
          <w:szCs w:val="22"/>
        </w:rPr>
        <w:t xml:space="preserve"> HE images demonstrating the worst, moderate, and best retrieved ossicle samples after 12 weeks of implantation. Percentage of each type of ossicle samples is shown on the right. Scale bars, 1 mm. Data are presented as mean ± SD (n = 4 biological replicates, each biological replicate contained 10 mice, each mouse carried 4 pellets). </w:t>
      </w:r>
    </w:p>
    <w:p w14:paraId="3131A5A1" w14:textId="77777777" w:rsidR="008C0D75" w:rsidRPr="003173F1" w:rsidRDefault="008C0D75" w:rsidP="008C0D75">
      <w:pPr>
        <w:spacing w:line="480" w:lineRule="auto"/>
        <w:jc w:val="both"/>
        <w:rPr>
          <w:rFonts w:ascii="Arial" w:hAnsi="Arial" w:cs="Arial"/>
          <w:color w:val="000000" w:themeColor="text1"/>
          <w:sz w:val="22"/>
          <w:szCs w:val="22"/>
        </w:rPr>
      </w:pPr>
    </w:p>
    <w:p w14:paraId="58ABE555" w14:textId="77777777" w:rsidR="008C0D75" w:rsidRPr="003173F1" w:rsidRDefault="008C0D75" w:rsidP="008C0D75">
      <w:pPr>
        <w:rPr>
          <w:rFonts w:ascii="Arial" w:hAnsi="Arial" w:cs="Arial"/>
          <w:color w:val="000000" w:themeColor="text1"/>
          <w:sz w:val="22"/>
          <w:szCs w:val="22"/>
        </w:rPr>
      </w:pPr>
      <w:r w:rsidRPr="003173F1">
        <w:rPr>
          <w:rFonts w:ascii="Arial" w:hAnsi="Arial" w:cs="Arial"/>
          <w:color w:val="000000" w:themeColor="text1"/>
          <w:sz w:val="22"/>
          <w:szCs w:val="22"/>
        </w:rPr>
        <w:br w:type="page"/>
      </w:r>
    </w:p>
    <w:p w14:paraId="5589D188" w14:textId="77777777" w:rsidR="008C0D75" w:rsidRPr="00AB3C1E" w:rsidRDefault="008C0D75" w:rsidP="008C0D75">
      <w:pPr>
        <w:pStyle w:val="ListParagraph"/>
        <w:spacing w:line="480" w:lineRule="auto"/>
        <w:jc w:val="both"/>
        <w:outlineLvl w:val="1"/>
        <w:rPr>
          <w:rFonts w:ascii="Arial" w:hAnsi="Arial" w:cs="Arial"/>
          <w:b/>
          <w:bCs/>
          <w:color w:val="000000" w:themeColor="text1"/>
        </w:rPr>
      </w:pPr>
      <w:r w:rsidRPr="00AB3C1E">
        <w:rPr>
          <w:rFonts w:ascii="Arial" w:hAnsi="Arial" w:cs="Arial"/>
          <w:b/>
          <w:bCs/>
          <w:color w:val="000000" w:themeColor="text1"/>
        </w:rPr>
        <w:lastRenderedPageBreak/>
        <w:t>Extended Data Figure 3</w:t>
      </w:r>
    </w:p>
    <w:p w14:paraId="23383E93" w14:textId="77777777" w:rsidR="008C0D75" w:rsidRPr="003173F1" w:rsidRDefault="008C0D75" w:rsidP="008C0D75">
      <w:pPr>
        <w:spacing w:line="480" w:lineRule="auto"/>
        <w:jc w:val="center"/>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14:anchorId="39288018" wp14:editId="61C6DFD4">
            <wp:extent cx="5274310" cy="2688590"/>
            <wp:effectExtent l="0" t="0" r="0" b="3810"/>
            <wp:docPr id="1875023343" name="图片 9"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023343" name="图片 9" descr="图示&#10;&#10;中度可信度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2688590"/>
                    </a:xfrm>
                    <a:prstGeom prst="rect">
                      <a:avLst/>
                    </a:prstGeom>
                  </pic:spPr>
                </pic:pic>
              </a:graphicData>
            </a:graphic>
          </wp:inline>
        </w:drawing>
      </w:r>
    </w:p>
    <w:p w14:paraId="3FC56405" w14:textId="77777777" w:rsidR="008C0D75" w:rsidRPr="003173F1" w:rsidRDefault="008C0D75" w:rsidP="008C0D75">
      <w:pPr>
        <w:spacing w:line="480" w:lineRule="auto"/>
        <w:jc w:val="both"/>
        <w:rPr>
          <w:rFonts w:ascii="Arial" w:hAnsi="Arial" w:cs="Arial"/>
          <w:b/>
          <w:bCs/>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hint="eastAsia"/>
          <w:b/>
          <w:bCs/>
          <w:color w:val="000000" w:themeColor="text1"/>
          <w:sz w:val="22"/>
          <w:szCs w:val="22"/>
        </w:rPr>
        <w:t>F</w:t>
      </w:r>
      <w:r w:rsidRPr="003173F1">
        <w:rPr>
          <w:rFonts w:ascii="Arial" w:hAnsi="Arial" w:cs="Arial"/>
          <w:b/>
          <w:bCs/>
          <w:color w:val="000000" w:themeColor="text1"/>
          <w:sz w:val="22"/>
          <w:szCs w:val="22"/>
        </w:rPr>
        <w:t>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3</w:t>
      </w:r>
      <w:r w:rsidRPr="003173F1">
        <w:rPr>
          <w:rFonts w:ascii="Arial" w:hAnsi="Arial" w:cs="Arial"/>
          <w:b/>
          <w:bCs/>
          <w:color w:val="000000" w:themeColor="text1"/>
          <w:sz w:val="22"/>
          <w:szCs w:val="22"/>
        </w:rPr>
        <w:t>. Flow cytometry analysis of bone marrow cells within hOssicles, related to 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2</w:t>
      </w:r>
    </w:p>
    <w:p w14:paraId="129AECC2" w14:textId="77777777" w:rsidR="008C0D75"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a</w:t>
      </w:r>
      <w:r>
        <w:rPr>
          <w:rFonts w:ascii="Arial" w:hAnsi="Arial" w:cs="Arial"/>
          <w:color w:val="000000" w:themeColor="text1"/>
          <w:sz w:val="22"/>
          <w:szCs w:val="22"/>
        </w:rPr>
        <w:t xml:space="preserve">, </w:t>
      </w:r>
      <w:r w:rsidRPr="00274547">
        <w:rPr>
          <w:rFonts w:ascii="Arial" w:hAnsi="Arial" w:cs="Arial"/>
          <w:b/>
          <w:bCs/>
          <w:color w:val="000000" w:themeColor="text1"/>
          <w:sz w:val="22"/>
          <w:szCs w:val="22"/>
        </w:rPr>
        <w:t>b</w:t>
      </w:r>
      <w:r>
        <w:rPr>
          <w:rFonts w:ascii="Arial" w:hAnsi="Arial" w:cs="Arial"/>
          <w:color w:val="000000" w:themeColor="text1"/>
          <w:sz w:val="22"/>
          <w:szCs w:val="22"/>
        </w:rPr>
        <w:t>,</w:t>
      </w:r>
      <w:r w:rsidRPr="003173F1">
        <w:rPr>
          <w:rFonts w:ascii="Arial" w:hAnsi="Arial" w:cs="Arial"/>
          <w:color w:val="000000" w:themeColor="text1"/>
          <w:sz w:val="22"/>
          <w:szCs w:val="22"/>
        </w:rPr>
        <w:t xml:space="preserve"> Flow cytometry plots for showing gating strategy of murine HSCs (</w:t>
      </w:r>
      <w:r w:rsidRPr="00274547">
        <w:rPr>
          <w:rFonts w:ascii="Arial" w:hAnsi="Arial" w:cs="Arial"/>
          <w:b/>
          <w:bCs/>
          <w:color w:val="000000" w:themeColor="text1"/>
          <w:sz w:val="22"/>
          <w:szCs w:val="22"/>
        </w:rPr>
        <w:t>a</w:t>
      </w:r>
      <w:r w:rsidRPr="003173F1">
        <w:rPr>
          <w:rFonts w:ascii="Arial" w:hAnsi="Arial" w:cs="Arial"/>
          <w:color w:val="000000" w:themeColor="text1"/>
          <w:sz w:val="22"/>
          <w:szCs w:val="22"/>
        </w:rPr>
        <w:t>) and murine HPCs (</w:t>
      </w:r>
      <w:r w:rsidRPr="00274547">
        <w:rPr>
          <w:rFonts w:ascii="Arial" w:hAnsi="Arial" w:cs="Arial"/>
          <w:b/>
          <w:bCs/>
          <w:color w:val="000000" w:themeColor="text1"/>
          <w:sz w:val="22"/>
          <w:szCs w:val="22"/>
        </w:rPr>
        <w:t>b</w:t>
      </w:r>
      <w:r w:rsidRPr="003173F1">
        <w:rPr>
          <w:rFonts w:ascii="Arial" w:hAnsi="Arial" w:cs="Arial"/>
          <w:color w:val="000000" w:themeColor="text1"/>
          <w:sz w:val="22"/>
          <w:szCs w:val="22"/>
        </w:rPr>
        <w:t>) in bone marrow cells harvested from eFemurs and 12-week hOssicles. Representative of 6 biological replicates. HSCs, hematopoietic stem cells; HPCs, hematopoietic progenitor cells; hOssicle, humanized ossicle; mFemur, mouse femur.</w:t>
      </w:r>
    </w:p>
    <w:p w14:paraId="5C799941" w14:textId="77777777" w:rsidR="008C0D75" w:rsidRPr="003173F1" w:rsidRDefault="008C0D75" w:rsidP="008C0D75">
      <w:pPr>
        <w:spacing w:line="480" w:lineRule="auto"/>
        <w:jc w:val="both"/>
        <w:rPr>
          <w:rFonts w:ascii="Arial" w:hAnsi="Arial" w:cs="Arial"/>
          <w:color w:val="000000" w:themeColor="text1"/>
          <w:sz w:val="22"/>
          <w:szCs w:val="22"/>
        </w:rPr>
      </w:pPr>
      <w:r w:rsidRPr="00274547">
        <w:rPr>
          <w:rFonts w:ascii="Arial" w:hAnsi="Arial" w:cs="Arial"/>
          <w:b/>
          <w:bCs/>
          <w:color w:val="000000" w:themeColor="text1"/>
          <w:sz w:val="22"/>
          <w:szCs w:val="22"/>
        </w:rPr>
        <w:t>c</w:t>
      </w:r>
      <w:r>
        <w:rPr>
          <w:rFonts w:ascii="Arial" w:hAnsi="Arial" w:cs="Arial"/>
          <w:color w:val="000000" w:themeColor="text1"/>
          <w:sz w:val="22"/>
          <w:szCs w:val="22"/>
        </w:rPr>
        <w:t>,</w:t>
      </w:r>
      <w:r w:rsidRPr="003173F1">
        <w:rPr>
          <w:rFonts w:ascii="Arial" w:hAnsi="Arial" w:cs="Arial"/>
          <w:color w:val="000000" w:themeColor="text1"/>
          <w:sz w:val="22"/>
          <w:szCs w:val="22"/>
        </w:rPr>
        <w:t xml:space="preserve"> </w:t>
      </w:r>
      <w:r w:rsidRPr="00274547">
        <w:rPr>
          <w:rFonts w:ascii="Arial" w:hAnsi="Arial" w:cs="Arial"/>
          <w:b/>
          <w:bCs/>
          <w:color w:val="000000" w:themeColor="text1"/>
          <w:sz w:val="22"/>
          <w:szCs w:val="22"/>
        </w:rPr>
        <w:t>d</w:t>
      </w:r>
      <w:r>
        <w:rPr>
          <w:rFonts w:ascii="Arial" w:hAnsi="Arial" w:cs="Arial"/>
          <w:color w:val="000000" w:themeColor="text1"/>
          <w:sz w:val="22"/>
          <w:szCs w:val="22"/>
        </w:rPr>
        <w:t>,</w:t>
      </w:r>
      <w:r w:rsidRPr="003173F1">
        <w:rPr>
          <w:rFonts w:ascii="Arial" w:hAnsi="Arial" w:cs="Arial"/>
          <w:color w:val="000000" w:themeColor="text1"/>
          <w:sz w:val="22"/>
          <w:szCs w:val="22"/>
        </w:rPr>
        <w:t xml:space="preserve"> Quantitative flow cytometry of different subpopulation of HSCs </w:t>
      </w:r>
      <w:bookmarkStart w:id="10" w:name="OLE_LINK117"/>
      <w:bookmarkStart w:id="11" w:name="OLE_LINK118"/>
      <w:r w:rsidRPr="003173F1">
        <w:rPr>
          <w:rFonts w:ascii="Arial" w:hAnsi="Arial" w:cs="Arial"/>
          <w:color w:val="000000" w:themeColor="text1"/>
          <w:sz w:val="22"/>
          <w:szCs w:val="22"/>
        </w:rPr>
        <w:t>(</w:t>
      </w:r>
      <w:r w:rsidRPr="00274547">
        <w:rPr>
          <w:rFonts w:ascii="Arial" w:hAnsi="Arial" w:cs="Arial"/>
          <w:b/>
          <w:bCs/>
          <w:color w:val="000000" w:themeColor="text1"/>
          <w:sz w:val="22"/>
          <w:szCs w:val="22"/>
        </w:rPr>
        <w:t>c</w:t>
      </w:r>
      <w:r w:rsidRPr="003173F1">
        <w:rPr>
          <w:rFonts w:ascii="Arial" w:hAnsi="Arial" w:cs="Arial"/>
          <w:color w:val="000000" w:themeColor="text1"/>
          <w:sz w:val="22"/>
          <w:szCs w:val="22"/>
        </w:rPr>
        <w:t>)</w:t>
      </w:r>
      <w:bookmarkEnd w:id="10"/>
      <w:bookmarkEnd w:id="11"/>
      <w:r w:rsidRPr="003173F1">
        <w:rPr>
          <w:rFonts w:ascii="Arial" w:hAnsi="Arial" w:cs="Arial"/>
          <w:color w:val="000000" w:themeColor="text1"/>
          <w:sz w:val="22"/>
          <w:szCs w:val="22"/>
        </w:rPr>
        <w:t xml:space="preserve"> and HPCs (</w:t>
      </w:r>
      <w:r w:rsidRPr="00274547">
        <w:rPr>
          <w:rFonts w:ascii="Arial" w:hAnsi="Arial" w:cs="Arial"/>
          <w:b/>
          <w:bCs/>
          <w:color w:val="000000" w:themeColor="text1"/>
          <w:sz w:val="22"/>
          <w:szCs w:val="22"/>
        </w:rPr>
        <w:t>d</w:t>
      </w:r>
      <w:r w:rsidRPr="003173F1">
        <w:rPr>
          <w:rFonts w:ascii="Arial" w:hAnsi="Arial" w:cs="Arial"/>
          <w:color w:val="000000" w:themeColor="text1"/>
          <w:sz w:val="22"/>
          <w:szCs w:val="22"/>
        </w:rPr>
        <w:t>) in bone marrow cells harvested from mouse femurs and 12-week hOssicles. Data are presented as mean ± SD (n = 6 biological replicates). 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S</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K</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lineage</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sca-1</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c-kit</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ST-HSCs, short-term hematopoietic stem cells, were gated as 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S</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K</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CD34</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CD135</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LT-HSCs, long-term hematopoietic stem cells, were gated as 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S</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K</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CD34</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CD135</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MPPs,</w:t>
      </w:r>
      <w:r w:rsidRPr="003173F1">
        <w:rPr>
          <w:color w:val="000000" w:themeColor="text1"/>
        </w:rPr>
        <w:t xml:space="preserve"> </w:t>
      </w:r>
      <w:r w:rsidRPr="003173F1">
        <w:rPr>
          <w:rFonts w:ascii="Arial" w:hAnsi="Arial" w:cs="Arial"/>
          <w:color w:val="000000" w:themeColor="text1"/>
          <w:sz w:val="22"/>
          <w:szCs w:val="22"/>
        </w:rPr>
        <w:t>multipotent progenitors, were gated as 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S</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K</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CD34</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CD135</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GMPs, granulocyte-monocyte progenitors, were gated as 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S</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K</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CD34</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CD16/32</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CMPs,</w:t>
      </w:r>
      <w:r w:rsidRPr="003173F1">
        <w:rPr>
          <w:color w:val="000000" w:themeColor="text1"/>
        </w:rPr>
        <w:t xml:space="preserve"> </w:t>
      </w:r>
      <w:r w:rsidRPr="003173F1">
        <w:rPr>
          <w:rFonts w:ascii="Arial" w:hAnsi="Arial" w:cs="Arial"/>
          <w:color w:val="000000" w:themeColor="text1"/>
          <w:sz w:val="22"/>
          <w:szCs w:val="22"/>
        </w:rPr>
        <w:t>common myeloid progenitors, were gated as 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S</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lastRenderedPageBreak/>
        <w:t>K</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CD34</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CD16/32</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MEPs, megakaryocyte-erythroid progenitors, were gated as 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S</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K</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CD34</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CD16/32</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S</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K</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lineage</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sca-1</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c-kit</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CLPs, common lymphoid precursors, were gated as Lin</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IL-7R</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CD135</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ns, not significant. </w:t>
      </w:r>
    </w:p>
    <w:p w14:paraId="3FF93718" w14:textId="77777777" w:rsidR="008C0D75" w:rsidRPr="003173F1" w:rsidRDefault="008C0D75" w:rsidP="008C0D75">
      <w:pPr>
        <w:spacing w:line="480" w:lineRule="auto"/>
        <w:jc w:val="both"/>
        <w:rPr>
          <w:rFonts w:ascii="Arial" w:hAnsi="Arial" w:cs="Arial"/>
          <w:color w:val="000000" w:themeColor="text1"/>
          <w:sz w:val="22"/>
          <w:szCs w:val="22"/>
        </w:rPr>
      </w:pPr>
      <w:r w:rsidRPr="003173F1">
        <w:rPr>
          <w:rFonts w:ascii="Arial" w:hAnsi="Arial" w:cs="Arial"/>
          <w:color w:val="000000" w:themeColor="text1"/>
          <w:sz w:val="22"/>
          <w:szCs w:val="22"/>
        </w:rPr>
        <w:br w:type="page"/>
      </w:r>
    </w:p>
    <w:p w14:paraId="56C35D72" w14:textId="77777777" w:rsidR="008C0D75" w:rsidRPr="003173F1" w:rsidRDefault="008C0D75" w:rsidP="008C0D75">
      <w:pPr>
        <w:pStyle w:val="ListParagraph"/>
        <w:spacing w:line="480" w:lineRule="auto"/>
        <w:jc w:val="both"/>
        <w:outlineLvl w:val="1"/>
        <w:rPr>
          <w:rFonts w:ascii="Arial" w:hAnsi="Arial" w:cs="Arial"/>
          <w:b/>
          <w:color w:val="000000" w:themeColor="text1"/>
        </w:rPr>
      </w:pPr>
      <w:r w:rsidRPr="00AB3C1E">
        <w:rPr>
          <w:rFonts w:ascii="Arial" w:hAnsi="Arial" w:cs="Arial"/>
          <w:b/>
          <w:bCs/>
          <w:color w:val="000000" w:themeColor="text1"/>
        </w:rPr>
        <w:lastRenderedPageBreak/>
        <w:t>Extended Data Figure 4</w:t>
      </w:r>
    </w:p>
    <w:p w14:paraId="1FE4D46E" w14:textId="77777777" w:rsidR="008C0D75" w:rsidRPr="003173F1" w:rsidRDefault="008C0D75" w:rsidP="008C0D75">
      <w:pPr>
        <w:spacing w:line="480" w:lineRule="auto"/>
        <w:jc w:val="center"/>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14:anchorId="2585A0F5" wp14:editId="127CA1C9">
            <wp:extent cx="4343400" cy="2552700"/>
            <wp:effectExtent l="0" t="0" r="0" b="0"/>
            <wp:docPr id="2100796432" name="图片 10"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796432" name="图片 10" descr="图片包含 游戏机&#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43400" cy="2552700"/>
                    </a:xfrm>
                    <a:prstGeom prst="rect">
                      <a:avLst/>
                    </a:prstGeom>
                  </pic:spPr>
                </pic:pic>
              </a:graphicData>
            </a:graphic>
          </wp:inline>
        </w:drawing>
      </w:r>
    </w:p>
    <w:p w14:paraId="28B636A9" w14:textId="77777777" w:rsidR="008C0D75" w:rsidRPr="003173F1" w:rsidRDefault="008C0D75" w:rsidP="008C0D75">
      <w:pPr>
        <w:spacing w:line="480" w:lineRule="auto"/>
        <w:jc w:val="both"/>
        <w:rPr>
          <w:rFonts w:ascii="Arial" w:hAnsi="Arial" w:cs="Arial"/>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hint="eastAsia"/>
          <w:b/>
          <w:bCs/>
          <w:color w:val="000000" w:themeColor="text1"/>
          <w:sz w:val="22"/>
          <w:szCs w:val="22"/>
        </w:rPr>
        <w:t>F</w:t>
      </w:r>
      <w:r w:rsidRPr="003173F1">
        <w:rPr>
          <w:rFonts w:ascii="Arial" w:hAnsi="Arial" w:cs="Arial"/>
          <w:b/>
          <w:bCs/>
          <w:color w:val="000000" w:themeColor="text1"/>
          <w:sz w:val="22"/>
          <w:szCs w:val="22"/>
        </w:rPr>
        <w:t>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4</w:t>
      </w:r>
      <w:r w:rsidRPr="003173F1">
        <w:rPr>
          <w:rFonts w:ascii="Arial" w:hAnsi="Arial" w:cs="Arial"/>
          <w:b/>
          <w:bCs/>
          <w:color w:val="000000" w:themeColor="text1"/>
          <w:sz w:val="22"/>
          <w:szCs w:val="22"/>
        </w:rPr>
        <w:t>. Immunohistochemistry of engraftment and differentiation of the transplanted hUCB-CD34</w:t>
      </w:r>
      <w:r w:rsidRPr="003173F1">
        <w:rPr>
          <w:rFonts w:ascii="Arial" w:hAnsi="Arial" w:cs="Arial"/>
          <w:b/>
          <w:bCs/>
          <w:color w:val="000000" w:themeColor="text1"/>
          <w:sz w:val="22"/>
          <w:szCs w:val="22"/>
          <w:vertAlign w:val="superscript"/>
        </w:rPr>
        <w:t>+</w:t>
      </w:r>
      <w:r w:rsidRPr="003173F1">
        <w:rPr>
          <w:rFonts w:ascii="Arial" w:hAnsi="Arial" w:cs="Arial"/>
          <w:b/>
          <w:bCs/>
          <w:color w:val="000000" w:themeColor="text1"/>
          <w:sz w:val="22"/>
          <w:szCs w:val="22"/>
        </w:rPr>
        <w:t xml:space="preserve"> cells, related to 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3</w:t>
      </w:r>
    </w:p>
    <w:p w14:paraId="715BBBCC" w14:textId="77777777" w:rsidR="008C0D75" w:rsidRPr="003173F1" w:rsidRDefault="008C0D75" w:rsidP="008C0D75">
      <w:pPr>
        <w:spacing w:line="480" w:lineRule="auto"/>
        <w:jc w:val="both"/>
        <w:rPr>
          <w:rFonts w:ascii="Arial" w:hAnsi="Arial" w:cs="Arial"/>
          <w:color w:val="000000" w:themeColor="text1"/>
          <w:sz w:val="22"/>
          <w:szCs w:val="22"/>
        </w:rPr>
      </w:pPr>
      <w:r w:rsidRPr="003173F1">
        <w:rPr>
          <w:rFonts w:ascii="Arial" w:hAnsi="Arial" w:cs="Arial"/>
          <w:color w:val="000000" w:themeColor="text1"/>
          <w:sz w:val="22"/>
          <w:szCs w:val="22"/>
        </w:rPr>
        <w:t>Immunohistochemistry for showing the presence of human hematopoietic cells (hCD45</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human HSCs (hCD34</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human B lymphoid cells (hCD19</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h</w:t>
      </w:r>
      <w:r w:rsidRPr="003173F1">
        <w:rPr>
          <w:rFonts w:ascii="Arial" w:hAnsi="Arial" w:cs="Arial" w:hint="eastAsia"/>
          <w:color w:val="000000" w:themeColor="text1"/>
          <w:sz w:val="22"/>
          <w:szCs w:val="22"/>
        </w:rPr>
        <w:t>uman</w:t>
      </w:r>
      <w:r w:rsidRPr="003173F1">
        <w:rPr>
          <w:rFonts w:ascii="Arial" w:hAnsi="Arial" w:cs="Arial"/>
          <w:color w:val="000000" w:themeColor="text1"/>
          <w:sz w:val="22"/>
          <w:szCs w:val="22"/>
        </w:rPr>
        <w:t xml:space="preserve"> myeloid cells (hCD33</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human granule cells (hCD15</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and human monocytes (hCD14</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in hOssicles retrieved at 16 weeks post 1</w:t>
      </w:r>
      <w:r w:rsidRPr="003173F1">
        <w:rPr>
          <w:rFonts w:ascii="Arial" w:hAnsi="Arial" w:cs="Arial"/>
          <w:color w:val="000000" w:themeColor="text1"/>
          <w:sz w:val="22"/>
          <w:szCs w:val="22"/>
          <w:vertAlign w:val="superscript"/>
        </w:rPr>
        <w:t>st</w:t>
      </w:r>
      <w:r w:rsidRPr="003173F1">
        <w:rPr>
          <w:rFonts w:ascii="Arial" w:hAnsi="Arial" w:cs="Arial"/>
          <w:color w:val="000000" w:themeColor="text1"/>
          <w:sz w:val="22"/>
          <w:szCs w:val="22"/>
        </w:rPr>
        <w:t xml:space="preserve"> xenotransplantation. Representative of 3 biological replicates. Scale bars, 50 μm. </w:t>
      </w:r>
    </w:p>
    <w:p w14:paraId="6740691C" w14:textId="77777777" w:rsidR="008C0D75" w:rsidRPr="003173F1" w:rsidRDefault="008C0D75" w:rsidP="008C0D75">
      <w:pPr>
        <w:rPr>
          <w:rFonts w:ascii="Arial" w:hAnsi="Arial" w:cs="Arial"/>
          <w:color w:val="000000" w:themeColor="text1"/>
          <w:sz w:val="22"/>
          <w:szCs w:val="22"/>
        </w:rPr>
      </w:pPr>
      <w:r w:rsidRPr="003173F1">
        <w:rPr>
          <w:rFonts w:ascii="Arial" w:hAnsi="Arial" w:cs="Arial"/>
          <w:color w:val="000000" w:themeColor="text1"/>
          <w:sz w:val="22"/>
          <w:szCs w:val="22"/>
        </w:rPr>
        <w:br w:type="page"/>
      </w:r>
    </w:p>
    <w:p w14:paraId="2D0D3582" w14:textId="77777777" w:rsidR="008C0D75" w:rsidRPr="00AB3C1E" w:rsidRDefault="008C0D75" w:rsidP="008C0D75">
      <w:pPr>
        <w:pStyle w:val="ListParagraph"/>
        <w:spacing w:line="480" w:lineRule="auto"/>
        <w:jc w:val="both"/>
        <w:outlineLvl w:val="1"/>
        <w:rPr>
          <w:rFonts w:ascii="Arial" w:hAnsi="Arial" w:cs="Arial"/>
          <w:b/>
          <w:bCs/>
          <w:color w:val="000000" w:themeColor="text1"/>
        </w:rPr>
      </w:pPr>
      <w:r w:rsidRPr="00AB3C1E">
        <w:rPr>
          <w:rFonts w:ascii="Arial" w:hAnsi="Arial" w:cs="Arial"/>
          <w:b/>
          <w:bCs/>
          <w:color w:val="000000" w:themeColor="text1"/>
        </w:rPr>
        <w:lastRenderedPageBreak/>
        <w:t>Extended Data Figure 5</w:t>
      </w:r>
    </w:p>
    <w:p w14:paraId="6ECA8A00" w14:textId="77777777" w:rsidR="008C0D75" w:rsidRPr="003173F1" w:rsidRDefault="008C0D75" w:rsidP="008C0D75">
      <w:pPr>
        <w:spacing w:line="480" w:lineRule="auto"/>
        <w:jc w:val="both"/>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14:anchorId="52575A22" wp14:editId="7C29BA71">
            <wp:extent cx="5274310" cy="4974590"/>
            <wp:effectExtent l="0" t="0" r="0" b="3810"/>
            <wp:docPr id="2054530958" name="图片 1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530958" name="图片 11" descr="图片包含 图示&#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4974590"/>
                    </a:xfrm>
                    <a:prstGeom prst="rect">
                      <a:avLst/>
                    </a:prstGeom>
                  </pic:spPr>
                </pic:pic>
              </a:graphicData>
            </a:graphic>
          </wp:inline>
        </w:drawing>
      </w:r>
    </w:p>
    <w:p w14:paraId="6B1D10AB" w14:textId="77777777" w:rsidR="008C0D75" w:rsidRPr="003173F1" w:rsidRDefault="008C0D75" w:rsidP="008C0D75">
      <w:pPr>
        <w:spacing w:line="480" w:lineRule="auto"/>
        <w:jc w:val="both"/>
        <w:rPr>
          <w:rFonts w:ascii="Arial" w:hAnsi="Arial" w:cs="Arial"/>
          <w:b/>
          <w:bCs/>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hint="eastAsia"/>
          <w:b/>
          <w:bCs/>
          <w:color w:val="000000" w:themeColor="text1"/>
          <w:sz w:val="22"/>
          <w:szCs w:val="22"/>
        </w:rPr>
        <w:t>F</w:t>
      </w:r>
      <w:r w:rsidRPr="003173F1">
        <w:rPr>
          <w:rFonts w:ascii="Arial" w:hAnsi="Arial" w:cs="Arial"/>
          <w:b/>
          <w:bCs/>
          <w:color w:val="000000" w:themeColor="text1"/>
          <w:sz w:val="22"/>
          <w:szCs w:val="22"/>
        </w:rPr>
        <w:t>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5</w:t>
      </w:r>
      <w:r w:rsidRPr="003173F1">
        <w:rPr>
          <w:rFonts w:ascii="Arial" w:hAnsi="Arial" w:cs="Arial"/>
          <w:b/>
          <w:bCs/>
          <w:color w:val="000000" w:themeColor="text1"/>
          <w:sz w:val="22"/>
          <w:szCs w:val="22"/>
        </w:rPr>
        <w:t>. Modified protocol and characterization of 1-mm RMF pellets</w:t>
      </w:r>
    </w:p>
    <w:p w14:paraId="551554E6"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a</w:t>
      </w:r>
      <w:r>
        <w:rPr>
          <w:rFonts w:ascii="Arial" w:hAnsi="Arial" w:cs="Arial"/>
          <w:color w:val="000000" w:themeColor="text1"/>
          <w:sz w:val="22"/>
          <w:szCs w:val="22"/>
        </w:rPr>
        <w:t>,</w:t>
      </w:r>
      <w:r w:rsidRPr="003173F1">
        <w:rPr>
          <w:rFonts w:ascii="Arial" w:hAnsi="Arial" w:cs="Arial"/>
          <w:color w:val="000000" w:themeColor="text1"/>
          <w:sz w:val="22"/>
          <w:szCs w:val="22"/>
        </w:rPr>
        <w:t xml:space="preserve"> Modified protocol for generating 1-mm RMF pellets from human adipose tissue.</w:t>
      </w:r>
    </w:p>
    <w:p w14:paraId="2E66E13C"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b</w:t>
      </w:r>
      <w:r>
        <w:rPr>
          <w:rFonts w:ascii="Arial" w:hAnsi="Arial" w:cs="Arial"/>
          <w:color w:val="000000" w:themeColor="text1"/>
          <w:sz w:val="22"/>
          <w:szCs w:val="22"/>
        </w:rPr>
        <w:t>,</w:t>
      </w:r>
      <w:r w:rsidRPr="003173F1">
        <w:rPr>
          <w:rFonts w:ascii="Arial" w:hAnsi="Arial" w:cs="Arial"/>
          <w:color w:val="000000" w:themeColor="text1"/>
          <w:sz w:val="22"/>
          <w:szCs w:val="22"/>
        </w:rPr>
        <w:t xml:space="preserve"> Representative gross view images of 4-mm, 2-mm, and 1-mm RMF pellets. Scale bar, 1 mm.</w:t>
      </w:r>
    </w:p>
    <w:p w14:paraId="3BDB80EE"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c</w:t>
      </w:r>
      <w:r>
        <w:rPr>
          <w:rFonts w:ascii="Arial" w:hAnsi="Arial" w:cs="Arial"/>
          <w:color w:val="000000" w:themeColor="text1"/>
          <w:sz w:val="22"/>
          <w:szCs w:val="22"/>
        </w:rPr>
        <w:t>,</w:t>
      </w:r>
      <w:r w:rsidRPr="003173F1">
        <w:rPr>
          <w:rFonts w:ascii="Arial" w:hAnsi="Arial" w:cs="Arial"/>
          <w:color w:val="000000" w:themeColor="text1"/>
          <w:sz w:val="22"/>
          <w:szCs w:val="22"/>
        </w:rPr>
        <w:t xml:space="preserve"> SEM images of 1-mm RMF pellets. Representative of 6 biological replicates.</w:t>
      </w:r>
      <w:r w:rsidRPr="003173F1">
        <w:rPr>
          <w:rFonts w:ascii="Arial" w:hAnsi="Arial" w:cs="Arial" w:hint="eastAsia"/>
          <w:color w:val="000000" w:themeColor="text1"/>
          <w:sz w:val="22"/>
          <w:szCs w:val="22"/>
        </w:rPr>
        <w:t xml:space="preserve"> </w:t>
      </w:r>
      <w:r w:rsidRPr="003173F1">
        <w:rPr>
          <w:rFonts w:ascii="Arial" w:hAnsi="Arial" w:cs="Arial"/>
          <w:color w:val="000000" w:themeColor="text1"/>
          <w:sz w:val="22"/>
          <w:szCs w:val="22"/>
        </w:rPr>
        <w:t>Scale bars, 100 μm.</w:t>
      </w:r>
    </w:p>
    <w:p w14:paraId="6EEE04E6"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lastRenderedPageBreak/>
        <w:t>d</w:t>
      </w:r>
      <w:r>
        <w:rPr>
          <w:rFonts w:ascii="Arial" w:hAnsi="Arial" w:cs="Arial"/>
          <w:color w:val="000000" w:themeColor="text1"/>
          <w:sz w:val="22"/>
          <w:szCs w:val="22"/>
        </w:rPr>
        <w:t>,</w:t>
      </w:r>
      <w:r w:rsidRPr="003173F1">
        <w:rPr>
          <w:rFonts w:ascii="Arial" w:hAnsi="Arial" w:cs="Arial"/>
          <w:color w:val="000000" w:themeColor="text1"/>
          <w:sz w:val="22"/>
          <w:szCs w:val="22"/>
        </w:rPr>
        <w:t xml:space="preserve"> Quantification of DNA content per mm</w:t>
      </w:r>
      <w:r w:rsidRPr="003173F1">
        <w:rPr>
          <w:rFonts w:ascii="Arial" w:hAnsi="Arial" w:cs="Arial"/>
          <w:color w:val="000000" w:themeColor="text1"/>
          <w:sz w:val="22"/>
          <w:szCs w:val="22"/>
          <w:vertAlign w:val="superscript"/>
        </w:rPr>
        <w:t>3</w:t>
      </w:r>
      <w:r w:rsidRPr="003173F1">
        <w:rPr>
          <w:rFonts w:ascii="Arial" w:hAnsi="Arial" w:cs="Arial"/>
          <w:color w:val="000000" w:themeColor="text1"/>
          <w:sz w:val="22"/>
          <w:szCs w:val="22"/>
        </w:rPr>
        <w:t xml:space="preserve"> of RMF pellets.</w:t>
      </w:r>
      <w:r w:rsidRPr="003173F1">
        <w:rPr>
          <w:rFonts w:ascii="Arial" w:hAnsi="Arial" w:cs="Arial" w:hint="eastAsia"/>
          <w:color w:val="000000" w:themeColor="text1"/>
          <w:sz w:val="22"/>
          <w:szCs w:val="22"/>
        </w:rPr>
        <w:t xml:space="preserve"> </w:t>
      </w:r>
      <w:r w:rsidRPr="003173F1">
        <w:rPr>
          <w:rFonts w:ascii="Arial" w:hAnsi="Arial" w:cs="Arial"/>
          <w:color w:val="000000" w:themeColor="text1"/>
          <w:sz w:val="22"/>
          <w:szCs w:val="22"/>
        </w:rPr>
        <w:t>Data are presented as mean ± SD (n = 6 biological replicates). One-way ANOVA with Tukey’s test is used for comparison of multiple groups.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0.01,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0.001,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0.0001.</w:t>
      </w:r>
    </w:p>
    <w:p w14:paraId="3C3ECE9C"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e</w:t>
      </w:r>
      <w:r>
        <w:rPr>
          <w:rFonts w:ascii="Arial" w:hAnsi="Arial" w:cs="Arial"/>
          <w:color w:val="000000" w:themeColor="text1"/>
          <w:sz w:val="22"/>
          <w:szCs w:val="22"/>
        </w:rPr>
        <w:t>,</w:t>
      </w:r>
      <w:r w:rsidRPr="003173F1">
        <w:rPr>
          <w:rFonts w:ascii="Arial" w:hAnsi="Arial" w:cs="Arial"/>
          <w:color w:val="000000" w:themeColor="text1"/>
          <w:sz w:val="22"/>
          <w:szCs w:val="22"/>
        </w:rPr>
        <w:t xml:space="preserve"> Box and whisker plot of the number of living cells in 4-mm, 2-mm, and 1-mm RMF pellets after collagenase digestion. Data are presented as mean ± SD (n = 6 biological replicates). The cross indicates mean, and the thick horizontal line indicates median. n = 6 biological replicates. One-way ANOVA with Tukey’s test is used for comparison of multiple groups.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0.05,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0.01,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0.001.</w:t>
      </w:r>
    </w:p>
    <w:p w14:paraId="5089159B"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f</w:t>
      </w:r>
      <w:r>
        <w:rPr>
          <w:rFonts w:ascii="Arial" w:hAnsi="Arial" w:cs="Arial"/>
          <w:color w:val="000000" w:themeColor="text1"/>
          <w:sz w:val="22"/>
          <w:szCs w:val="22"/>
        </w:rPr>
        <w:t>,</w:t>
      </w:r>
      <w:r w:rsidRPr="003173F1">
        <w:rPr>
          <w:rFonts w:ascii="Arial" w:hAnsi="Arial" w:cs="Arial"/>
          <w:color w:val="000000" w:themeColor="text1"/>
          <w:sz w:val="22"/>
          <w:szCs w:val="22"/>
        </w:rPr>
        <w:t xml:space="preserve"> HE images of 4-mm, 2-mm, and 1-mm RMF pellets. Magnified images of boxed areas on the below showing the proliferating cells within RMF pellets. Representative of 6 biological replicates. Scale bars, 50 μm.</w:t>
      </w:r>
    </w:p>
    <w:p w14:paraId="360EBA78"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g</w:t>
      </w:r>
      <w:r>
        <w:rPr>
          <w:rFonts w:ascii="Arial" w:hAnsi="Arial" w:cs="Arial"/>
          <w:color w:val="000000" w:themeColor="text1"/>
          <w:sz w:val="22"/>
          <w:szCs w:val="22"/>
        </w:rPr>
        <w:t>,</w:t>
      </w:r>
      <w:r w:rsidRPr="003173F1">
        <w:rPr>
          <w:rFonts w:ascii="Arial" w:hAnsi="Arial" w:cs="Arial"/>
          <w:color w:val="000000" w:themeColor="text1"/>
          <w:sz w:val="22"/>
          <w:szCs w:val="22"/>
        </w:rPr>
        <w:t xml:space="preserve"> Immunofluorescence of live (green) and dead cells (red) in 4-mm, 2-mm, and 1-mm RMF pellets. Representative of 3 biological replicates. Scale bars, 1 mm.</w:t>
      </w:r>
    </w:p>
    <w:p w14:paraId="6E145B4B"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h</w:t>
      </w:r>
      <w:r>
        <w:rPr>
          <w:rFonts w:ascii="Arial" w:hAnsi="Arial" w:cs="Arial"/>
          <w:color w:val="000000" w:themeColor="text1"/>
          <w:sz w:val="22"/>
          <w:szCs w:val="22"/>
        </w:rPr>
        <w:t>,</w:t>
      </w:r>
      <w:r w:rsidRPr="003173F1">
        <w:rPr>
          <w:rFonts w:ascii="Arial" w:hAnsi="Arial" w:cs="Arial"/>
          <w:color w:val="000000" w:themeColor="text1"/>
          <w:sz w:val="22"/>
          <w:szCs w:val="22"/>
        </w:rPr>
        <w:t xml:space="preserve"> Flow cytometry plots and quantification of live cells in 4-mm, 2-mm, and 1-mm RMF pellets. Data are presented as mean ± SD (n = 6 biological replicates). One-way ANOVA with Tukey’s test is used for comparison of multiple groups.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0.05.</w:t>
      </w:r>
    </w:p>
    <w:p w14:paraId="1DFF33F3" w14:textId="77777777" w:rsidR="008C0D75" w:rsidRPr="003173F1" w:rsidRDefault="008C0D75" w:rsidP="008C0D75">
      <w:pPr>
        <w:spacing w:line="480" w:lineRule="auto"/>
        <w:jc w:val="both"/>
        <w:rPr>
          <w:rFonts w:ascii="Arial" w:hAnsi="Arial" w:cs="Arial"/>
          <w:color w:val="000000" w:themeColor="text1"/>
          <w:sz w:val="22"/>
          <w:szCs w:val="22"/>
        </w:rPr>
      </w:pPr>
      <w:r w:rsidRPr="003173F1">
        <w:rPr>
          <w:rFonts w:ascii="Arial" w:hAnsi="Arial" w:cs="Arial"/>
          <w:color w:val="000000" w:themeColor="text1"/>
          <w:sz w:val="22"/>
          <w:szCs w:val="22"/>
        </w:rPr>
        <w:br w:type="page"/>
      </w:r>
    </w:p>
    <w:p w14:paraId="6278B3BD" w14:textId="77777777" w:rsidR="008C0D75" w:rsidRPr="00AB3C1E" w:rsidRDefault="008C0D75" w:rsidP="008C0D75">
      <w:pPr>
        <w:pStyle w:val="ListParagraph"/>
        <w:spacing w:line="480" w:lineRule="auto"/>
        <w:jc w:val="both"/>
        <w:outlineLvl w:val="1"/>
        <w:rPr>
          <w:rFonts w:ascii="Arial" w:hAnsi="Arial" w:cs="Arial"/>
          <w:b/>
          <w:bCs/>
          <w:color w:val="000000" w:themeColor="text1"/>
        </w:rPr>
      </w:pPr>
      <w:r w:rsidRPr="00AB3C1E">
        <w:rPr>
          <w:rFonts w:ascii="Arial" w:hAnsi="Arial" w:cs="Arial"/>
          <w:b/>
          <w:bCs/>
          <w:color w:val="000000" w:themeColor="text1"/>
        </w:rPr>
        <w:lastRenderedPageBreak/>
        <w:t>Extended Data Figure 6</w:t>
      </w:r>
    </w:p>
    <w:p w14:paraId="4B9437EB" w14:textId="77777777" w:rsidR="008C0D75" w:rsidRPr="003173F1" w:rsidRDefault="008C0D75" w:rsidP="008C0D75">
      <w:pPr>
        <w:spacing w:line="480" w:lineRule="auto"/>
        <w:jc w:val="both"/>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14:anchorId="67E27710" wp14:editId="75FE7DF2">
            <wp:extent cx="5274310" cy="3536950"/>
            <wp:effectExtent l="0" t="0" r="0" b="6350"/>
            <wp:docPr id="1354477896" name="图片 1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477896" name="图片 12" descr="图示&#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536950"/>
                    </a:xfrm>
                    <a:prstGeom prst="rect">
                      <a:avLst/>
                    </a:prstGeom>
                  </pic:spPr>
                </pic:pic>
              </a:graphicData>
            </a:graphic>
          </wp:inline>
        </w:drawing>
      </w:r>
    </w:p>
    <w:p w14:paraId="10321F8B" w14:textId="77777777" w:rsidR="008C0D75" w:rsidRPr="003173F1" w:rsidRDefault="008C0D75" w:rsidP="008C0D75">
      <w:pPr>
        <w:spacing w:line="480" w:lineRule="auto"/>
        <w:jc w:val="both"/>
        <w:rPr>
          <w:rFonts w:ascii="Arial" w:hAnsi="Arial" w:cs="Arial"/>
          <w:b/>
          <w:bCs/>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b/>
          <w:bCs/>
          <w:color w:val="000000" w:themeColor="text1"/>
          <w:sz w:val="22"/>
          <w:szCs w:val="22"/>
        </w:rPr>
        <w:t>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6</w:t>
      </w:r>
      <w:r w:rsidRPr="003173F1">
        <w:rPr>
          <w:rFonts w:ascii="Arial" w:hAnsi="Arial" w:cs="Arial"/>
          <w:b/>
          <w:bCs/>
          <w:color w:val="000000" w:themeColor="text1"/>
          <w:sz w:val="22"/>
          <w:szCs w:val="22"/>
        </w:rPr>
        <w:t>. Characterization of RMF-islet organoids, related to 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4</w:t>
      </w:r>
    </w:p>
    <w:p w14:paraId="6DF0E3EC"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a</w:t>
      </w:r>
      <w:r>
        <w:rPr>
          <w:rFonts w:ascii="Arial" w:hAnsi="Arial" w:cs="Arial"/>
          <w:color w:val="000000" w:themeColor="text1"/>
          <w:sz w:val="22"/>
          <w:szCs w:val="22"/>
        </w:rPr>
        <w:t>,</w:t>
      </w:r>
      <w:r w:rsidRPr="003173F1">
        <w:rPr>
          <w:rFonts w:ascii="Arial" w:hAnsi="Arial" w:cs="Arial"/>
          <w:color w:val="000000" w:themeColor="text1"/>
          <w:sz w:val="22"/>
          <w:szCs w:val="22"/>
        </w:rPr>
        <w:t xml:space="preserve"> HE images of RMF pellets at islet organoid stage. Representative of 6 independent biological replicates. Scale bars, 100 μm.</w:t>
      </w:r>
    </w:p>
    <w:p w14:paraId="4D64B910"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b</w:t>
      </w:r>
      <w:r>
        <w:rPr>
          <w:rFonts w:ascii="Arial" w:hAnsi="Arial" w:cs="Arial"/>
          <w:color w:val="000000" w:themeColor="text1"/>
          <w:sz w:val="22"/>
          <w:szCs w:val="22"/>
        </w:rPr>
        <w:t>,</w:t>
      </w:r>
      <w:r w:rsidRPr="003173F1">
        <w:rPr>
          <w:rFonts w:ascii="Arial" w:hAnsi="Arial" w:cs="Arial"/>
          <w:color w:val="000000" w:themeColor="text1"/>
          <w:sz w:val="22"/>
          <w:szCs w:val="22"/>
        </w:rPr>
        <w:t xml:space="preserve"> Flow cytometry plots of SOX17</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FOXA2</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at definitive endoderm stage, PDX1</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NKX6.1</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at pancreatic progenitor stage, and CP</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PDX1</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and CP</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NKX6.1</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at both endocrine progenitor and islet organoid stages. Representative of 6 biological replicates.</w:t>
      </w:r>
      <w:r w:rsidRPr="003173F1">
        <w:rPr>
          <w:color w:val="000000" w:themeColor="text1"/>
        </w:rPr>
        <w:t xml:space="preserve"> </w:t>
      </w:r>
    </w:p>
    <w:p w14:paraId="2C1C7D0C"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c</w:t>
      </w:r>
      <w:r>
        <w:rPr>
          <w:rFonts w:ascii="Arial" w:hAnsi="Arial" w:cs="Arial"/>
          <w:color w:val="000000" w:themeColor="text1"/>
          <w:sz w:val="22"/>
          <w:szCs w:val="22"/>
        </w:rPr>
        <w:t>,</w:t>
      </w:r>
      <w:r w:rsidRPr="003173F1">
        <w:rPr>
          <w:rFonts w:ascii="Arial" w:hAnsi="Arial" w:cs="Arial"/>
          <w:color w:val="000000" w:themeColor="text1"/>
          <w:sz w:val="22"/>
          <w:szCs w:val="22"/>
        </w:rPr>
        <w:t xml:space="preserve"> qPCR analysis of 11 stage-specific genes in RMF pellets at the definitive endoderm stage, the pancreatic progenitor stage, the endocrine progenitor stage, and the islet organoid stage. Data are presented as mean ± SD (n = 6 biological replicates). One-way ANOVA with Dunnett’s test is used for comparison of multiple groups. </w:t>
      </w:r>
      <w:bookmarkStart w:id="12" w:name="OLE_LINK5"/>
      <w:bookmarkStart w:id="13" w:name="OLE_LINK6"/>
      <w:r w:rsidRPr="003173F1">
        <w:rPr>
          <w:rFonts w:ascii="Arial" w:hAnsi="Arial" w:cs="Arial"/>
          <w:color w:val="000000" w:themeColor="text1"/>
          <w:sz w:val="22"/>
          <w:szCs w:val="22"/>
        </w:rPr>
        <w:t>*</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0.05,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0.01</w:t>
      </w:r>
      <w:bookmarkEnd w:id="12"/>
      <w:bookmarkEnd w:id="13"/>
      <w:r w:rsidRPr="003173F1">
        <w:rPr>
          <w:rFonts w:ascii="Arial" w:hAnsi="Arial" w:cs="Arial"/>
          <w:color w:val="000000" w:themeColor="text1"/>
          <w:sz w:val="22"/>
          <w:szCs w:val="22"/>
        </w:rPr>
        <w:t>,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0.001,</w:t>
      </w:r>
      <w:r w:rsidRPr="003173F1">
        <w:rPr>
          <w:rFonts w:ascii="Arial" w:hAnsi="Arial" w:cs="Arial" w:hint="eastAsia"/>
          <w:color w:val="000000" w:themeColor="text1"/>
          <w:sz w:val="22"/>
          <w:szCs w:val="22"/>
        </w:rPr>
        <w:t xml:space="preserve"> </w:t>
      </w:r>
      <w:r w:rsidRPr="003173F1">
        <w:rPr>
          <w:rFonts w:ascii="Arial" w:hAnsi="Arial" w:cs="Arial"/>
          <w:color w:val="000000" w:themeColor="text1"/>
          <w:sz w:val="22"/>
          <w:szCs w:val="22"/>
        </w:rPr>
        <w:t>****</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0.0001. DE, definitive endoderm; IO, islet organoid; </w:t>
      </w:r>
      <w:r w:rsidRPr="003173F1">
        <w:rPr>
          <w:rFonts w:ascii="Arial" w:hAnsi="Arial" w:cs="Arial"/>
          <w:color w:val="000000" w:themeColor="text1"/>
          <w:sz w:val="22"/>
          <w:szCs w:val="22"/>
        </w:rPr>
        <w:lastRenderedPageBreak/>
        <w:t xml:space="preserve">EP, endocrine progenitor; </w:t>
      </w:r>
      <w:bookmarkStart w:id="14" w:name="OLE_LINK559"/>
      <w:bookmarkStart w:id="15" w:name="OLE_LINK560"/>
      <w:r w:rsidRPr="003173F1">
        <w:rPr>
          <w:rFonts w:ascii="Arial" w:hAnsi="Arial" w:cs="Arial"/>
          <w:color w:val="000000" w:themeColor="text1"/>
          <w:sz w:val="22"/>
          <w:szCs w:val="22"/>
        </w:rPr>
        <w:t>GCK</w:t>
      </w:r>
      <w:bookmarkEnd w:id="14"/>
      <w:bookmarkEnd w:id="15"/>
      <w:r w:rsidRPr="003173F1">
        <w:rPr>
          <w:rFonts w:ascii="Arial" w:hAnsi="Arial" w:cs="Arial"/>
          <w:color w:val="000000" w:themeColor="text1"/>
          <w:sz w:val="22"/>
          <w:szCs w:val="22"/>
        </w:rPr>
        <w:t xml:space="preserve">, glucokinase; PP, pancreatic progenitor; RMF, reaggregated microfat. </w:t>
      </w:r>
    </w:p>
    <w:p w14:paraId="5BF5EDDB" w14:textId="77777777" w:rsidR="008C0D75" w:rsidRPr="003173F1" w:rsidRDefault="008C0D75" w:rsidP="008C0D75">
      <w:pPr>
        <w:rPr>
          <w:rFonts w:ascii="Arial" w:hAnsi="Arial" w:cs="Arial"/>
          <w:color w:val="000000" w:themeColor="text1"/>
          <w:sz w:val="22"/>
          <w:szCs w:val="22"/>
        </w:rPr>
      </w:pPr>
      <w:r w:rsidRPr="003173F1">
        <w:rPr>
          <w:rFonts w:ascii="Arial" w:hAnsi="Arial" w:cs="Arial"/>
          <w:color w:val="000000" w:themeColor="text1"/>
          <w:sz w:val="22"/>
          <w:szCs w:val="22"/>
        </w:rPr>
        <w:br w:type="page"/>
      </w:r>
    </w:p>
    <w:p w14:paraId="04B2C2C1" w14:textId="77777777" w:rsidR="008C0D75" w:rsidRPr="00AB3C1E" w:rsidRDefault="008C0D75" w:rsidP="008C0D75">
      <w:pPr>
        <w:pStyle w:val="ListParagraph"/>
        <w:spacing w:line="480" w:lineRule="auto"/>
        <w:jc w:val="both"/>
        <w:outlineLvl w:val="1"/>
        <w:rPr>
          <w:rFonts w:ascii="Arial" w:hAnsi="Arial" w:cs="Arial"/>
          <w:b/>
          <w:bCs/>
          <w:color w:val="000000" w:themeColor="text1"/>
        </w:rPr>
      </w:pPr>
      <w:r w:rsidRPr="00AB3C1E">
        <w:rPr>
          <w:rFonts w:ascii="Arial" w:hAnsi="Arial" w:cs="Arial"/>
          <w:b/>
          <w:bCs/>
          <w:color w:val="000000" w:themeColor="text1"/>
        </w:rPr>
        <w:lastRenderedPageBreak/>
        <w:t>Extended Data Figure 7</w:t>
      </w:r>
    </w:p>
    <w:p w14:paraId="58E61192" w14:textId="77777777" w:rsidR="008C0D75" w:rsidRPr="003173F1" w:rsidRDefault="008C0D75" w:rsidP="008C0D75">
      <w:pPr>
        <w:spacing w:line="480" w:lineRule="auto"/>
        <w:jc w:val="both"/>
        <w:rPr>
          <w:rFonts w:ascii="Arial" w:hAnsi="Arial" w:cs="Arial"/>
          <w:b/>
          <w:bCs/>
          <w:color w:val="000000" w:themeColor="text1"/>
          <w:sz w:val="22"/>
          <w:szCs w:val="22"/>
        </w:rPr>
      </w:pPr>
      <w:r>
        <w:rPr>
          <w:rFonts w:ascii="Arial" w:hAnsi="Arial" w:cs="Arial"/>
          <w:b/>
          <w:bCs/>
          <w:noProof/>
          <w:color w:val="000000" w:themeColor="text1"/>
          <w:sz w:val="22"/>
          <w:szCs w:val="22"/>
        </w:rPr>
        <w:drawing>
          <wp:inline distT="0" distB="0" distL="0" distR="0" wp14:anchorId="3F32A4A6" wp14:editId="14E35856">
            <wp:extent cx="5274310" cy="6411595"/>
            <wp:effectExtent l="0" t="0" r="0" b="1905"/>
            <wp:docPr id="11594030" name="图片 13"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4030" name="图片 13" descr="图形用户界面, 应用程序&#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6411595"/>
                    </a:xfrm>
                    <a:prstGeom prst="rect">
                      <a:avLst/>
                    </a:prstGeom>
                  </pic:spPr>
                </pic:pic>
              </a:graphicData>
            </a:graphic>
          </wp:inline>
        </w:drawing>
      </w:r>
    </w:p>
    <w:p w14:paraId="0D3CF55E" w14:textId="77777777" w:rsidR="008C0D75" w:rsidRDefault="008C0D75" w:rsidP="008C0D75">
      <w:pPr>
        <w:spacing w:line="480" w:lineRule="auto"/>
        <w:jc w:val="both"/>
        <w:rPr>
          <w:rFonts w:ascii="Arial" w:hAnsi="Arial" w:cs="Arial"/>
          <w:b/>
          <w:bCs/>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b/>
          <w:bCs/>
          <w:color w:val="000000" w:themeColor="text1"/>
          <w:sz w:val="22"/>
          <w:szCs w:val="22"/>
        </w:rPr>
        <w:t>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7</w:t>
      </w:r>
      <w:r w:rsidRPr="003173F1">
        <w:rPr>
          <w:rFonts w:ascii="Arial" w:hAnsi="Arial" w:cs="Arial"/>
          <w:b/>
          <w:bCs/>
          <w:color w:val="000000" w:themeColor="text1"/>
          <w:sz w:val="22"/>
          <w:szCs w:val="22"/>
        </w:rPr>
        <w:t xml:space="preserve">. Kidney capsular transplantation of RMF-islet organoids results in fast graft vascularization </w:t>
      </w:r>
      <w:r>
        <w:rPr>
          <w:rFonts w:ascii="Arial" w:hAnsi="Arial" w:cs="Arial"/>
          <w:b/>
          <w:bCs/>
          <w:color w:val="000000" w:themeColor="text1"/>
          <w:sz w:val="22"/>
          <w:szCs w:val="22"/>
        </w:rPr>
        <w:t>and</w:t>
      </w:r>
      <w:r w:rsidRPr="00294620">
        <w:rPr>
          <w:rFonts w:ascii="Arial" w:hAnsi="Arial" w:cs="Arial"/>
          <w:b/>
          <w:bCs/>
          <w:color w:val="000000" w:themeColor="text1"/>
          <w:sz w:val="22"/>
          <w:szCs w:val="22"/>
        </w:rPr>
        <w:t xml:space="preserve"> </w:t>
      </w:r>
      <w:r w:rsidRPr="003173F1">
        <w:rPr>
          <w:rFonts w:ascii="Arial" w:hAnsi="Arial" w:cs="Arial"/>
          <w:b/>
          <w:bCs/>
          <w:color w:val="000000" w:themeColor="text1"/>
          <w:sz w:val="22"/>
          <w:szCs w:val="22"/>
        </w:rPr>
        <w:t>engraftment</w:t>
      </w:r>
    </w:p>
    <w:p w14:paraId="769DDD21" w14:textId="77777777" w:rsidR="008C0D75"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a</w:t>
      </w:r>
      <w:r>
        <w:rPr>
          <w:rFonts w:ascii="Arial" w:hAnsi="Arial" w:cs="Arial"/>
          <w:color w:val="000000" w:themeColor="text1"/>
          <w:sz w:val="22"/>
          <w:szCs w:val="22"/>
        </w:rPr>
        <w:t>,</w:t>
      </w:r>
      <w:r w:rsidRPr="003173F1">
        <w:rPr>
          <w:rFonts w:ascii="Arial" w:hAnsi="Arial" w:cs="Arial"/>
          <w:color w:val="000000" w:themeColor="text1"/>
          <w:sz w:val="22"/>
          <w:szCs w:val="22"/>
        </w:rPr>
        <w:t xml:space="preserve"> Schematic protocol for kidney subcapsular transplantation of RMF-islet organoids into non-diabetic mice.</w:t>
      </w:r>
    </w:p>
    <w:p w14:paraId="21392DDB"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lastRenderedPageBreak/>
        <w:t>b</w:t>
      </w:r>
      <w:r>
        <w:rPr>
          <w:rFonts w:ascii="Arial" w:hAnsi="Arial" w:cs="Arial"/>
          <w:color w:val="000000" w:themeColor="text1"/>
          <w:sz w:val="22"/>
          <w:szCs w:val="22"/>
        </w:rPr>
        <w:t>,</w:t>
      </w:r>
      <w:r w:rsidRPr="003173F1">
        <w:rPr>
          <w:rFonts w:ascii="Arial" w:hAnsi="Arial" w:cs="Arial"/>
          <w:color w:val="000000" w:themeColor="text1"/>
          <w:sz w:val="22"/>
          <w:szCs w:val="22"/>
        </w:rPr>
        <w:t xml:space="preserve"> HE images of the organoid grafts explanted at 1, 2, and 4 weeks post-transplantation. Green arrows showing perfused blood vessels within the grafts.</w:t>
      </w:r>
      <w:bookmarkStart w:id="16" w:name="OLE_LINK187"/>
      <w:bookmarkStart w:id="17" w:name="OLE_LINK188"/>
      <w:r w:rsidRPr="003173F1">
        <w:rPr>
          <w:rFonts w:ascii="Arial" w:hAnsi="Arial" w:cs="Arial"/>
          <w:color w:val="000000" w:themeColor="text1"/>
          <w:sz w:val="22"/>
          <w:szCs w:val="22"/>
        </w:rPr>
        <w:t xml:space="preserve"> Representative of 3 biological replicates. Scale bars, 100 μm.</w:t>
      </w:r>
      <w:bookmarkEnd w:id="16"/>
      <w:bookmarkEnd w:id="17"/>
    </w:p>
    <w:p w14:paraId="29A0EF92" w14:textId="77777777" w:rsidR="008C0D75"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c</w:t>
      </w:r>
      <w:r>
        <w:rPr>
          <w:rFonts w:ascii="Arial" w:hAnsi="Arial" w:cs="Arial"/>
          <w:color w:val="000000" w:themeColor="text1"/>
          <w:sz w:val="22"/>
          <w:szCs w:val="22"/>
        </w:rPr>
        <w:t>,</w:t>
      </w:r>
      <w:r w:rsidRPr="003173F1">
        <w:rPr>
          <w:rFonts w:ascii="Arial" w:hAnsi="Arial" w:cs="Arial"/>
          <w:color w:val="000000" w:themeColor="text1"/>
          <w:sz w:val="22"/>
          <w:szCs w:val="22"/>
        </w:rPr>
        <w:t xml:space="preserve"> Immunofluorescence images for showing INS</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(green) and CD31</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(red) vascular cells within and around the grafts. White arrows showing CD31</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blood vessels within the grafts. Representative of 3 biological replicates. Scale bars, 100 μm.</w:t>
      </w:r>
    </w:p>
    <w:p w14:paraId="1E1372AE"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d</w:t>
      </w:r>
      <w:r>
        <w:rPr>
          <w:rFonts w:ascii="Arial" w:hAnsi="Arial" w:cs="Arial"/>
          <w:color w:val="000000" w:themeColor="text1"/>
          <w:sz w:val="22"/>
          <w:szCs w:val="22"/>
        </w:rPr>
        <w:t>,</w:t>
      </w:r>
      <w:r w:rsidRPr="003173F1">
        <w:rPr>
          <w:rFonts w:ascii="Arial" w:hAnsi="Arial" w:cs="Arial"/>
          <w:color w:val="000000" w:themeColor="text1"/>
          <w:sz w:val="22"/>
          <w:szCs w:val="22"/>
        </w:rPr>
        <w:t xml:space="preserve"> </w:t>
      </w:r>
      <w:r w:rsidRPr="00D06571">
        <w:rPr>
          <w:rFonts w:ascii="Arial" w:hAnsi="Arial" w:cs="Arial"/>
          <w:b/>
          <w:bCs/>
          <w:color w:val="000000" w:themeColor="text1"/>
          <w:sz w:val="22"/>
          <w:szCs w:val="22"/>
        </w:rPr>
        <w:t>e</w:t>
      </w:r>
      <w:r>
        <w:rPr>
          <w:rFonts w:ascii="Arial" w:hAnsi="Arial" w:cs="Arial"/>
          <w:color w:val="000000" w:themeColor="text1"/>
          <w:sz w:val="22"/>
          <w:szCs w:val="22"/>
        </w:rPr>
        <w:t>,</w:t>
      </w:r>
      <w:r w:rsidRPr="003173F1">
        <w:rPr>
          <w:rFonts w:ascii="Arial" w:hAnsi="Arial" w:cs="Arial"/>
          <w:color w:val="000000" w:themeColor="text1"/>
          <w:sz w:val="22"/>
          <w:szCs w:val="22"/>
        </w:rPr>
        <w:t xml:space="preserve"> Immunofluorescence images for showing HIF1α</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w:t>
      </w:r>
      <w:r w:rsidRPr="00D06571">
        <w:rPr>
          <w:rFonts w:ascii="Arial" w:hAnsi="Arial" w:cs="Arial"/>
          <w:b/>
          <w:bCs/>
          <w:color w:val="000000" w:themeColor="text1"/>
          <w:sz w:val="22"/>
          <w:szCs w:val="22"/>
        </w:rPr>
        <w:t>d</w:t>
      </w:r>
      <w:r w:rsidRPr="003173F1">
        <w:rPr>
          <w:rFonts w:ascii="Arial" w:hAnsi="Arial" w:cs="Arial"/>
          <w:color w:val="000000" w:themeColor="text1"/>
          <w:sz w:val="22"/>
          <w:szCs w:val="22"/>
        </w:rPr>
        <w:t>; red) and TUNEL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w:t>
      </w:r>
      <w:r w:rsidRPr="00D06571">
        <w:rPr>
          <w:rFonts w:ascii="Arial" w:hAnsi="Arial" w:cs="Arial"/>
          <w:b/>
          <w:bCs/>
          <w:color w:val="000000" w:themeColor="text1"/>
          <w:sz w:val="22"/>
          <w:szCs w:val="22"/>
        </w:rPr>
        <w:t>e</w:t>
      </w:r>
      <w:r w:rsidRPr="003173F1">
        <w:rPr>
          <w:rFonts w:ascii="Arial" w:hAnsi="Arial" w:cs="Arial"/>
          <w:color w:val="000000" w:themeColor="text1"/>
          <w:sz w:val="22"/>
          <w:szCs w:val="22"/>
        </w:rPr>
        <w:t>; red) cells within the grafts. Representative of 3 biological replicates. Scale bars, 100 μm.</w:t>
      </w:r>
    </w:p>
    <w:p w14:paraId="6B23515A"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f</w:t>
      </w:r>
      <w:r>
        <w:rPr>
          <w:rFonts w:ascii="Arial" w:hAnsi="Arial" w:cs="Arial"/>
          <w:color w:val="000000" w:themeColor="text1"/>
          <w:sz w:val="22"/>
          <w:szCs w:val="22"/>
        </w:rPr>
        <w:t>,</w:t>
      </w:r>
      <w:r w:rsidRPr="003173F1">
        <w:rPr>
          <w:rFonts w:ascii="Arial" w:hAnsi="Arial" w:cs="Arial"/>
          <w:color w:val="000000" w:themeColor="text1"/>
          <w:sz w:val="22"/>
          <w:szCs w:val="22"/>
        </w:rPr>
        <w:t xml:space="preserve"> </w:t>
      </w:r>
      <w:r w:rsidRPr="00D06571">
        <w:rPr>
          <w:rFonts w:ascii="Arial" w:hAnsi="Arial" w:cs="Arial"/>
          <w:b/>
          <w:bCs/>
          <w:color w:val="000000" w:themeColor="text1"/>
          <w:sz w:val="22"/>
          <w:szCs w:val="22"/>
        </w:rPr>
        <w:t>g</w:t>
      </w:r>
      <w:r>
        <w:rPr>
          <w:rFonts w:ascii="Arial" w:hAnsi="Arial" w:cs="Arial"/>
          <w:color w:val="000000" w:themeColor="text1"/>
          <w:sz w:val="22"/>
          <w:szCs w:val="22"/>
        </w:rPr>
        <w:t>,</w:t>
      </w:r>
      <w:r w:rsidRPr="003173F1">
        <w:rPr>
          <w:rFonts w:ascii="Arial" w:hAnsi="Arial" w:cs="Arial"/>
          <w:color w:val="000000" w:themeColor="text1"/>
          <w:sz w:val="22"/>
          <w:szCs w:val="22"/>
        </w:rPr>
        <w:t xml:space="preserve"> Percentage of blood vessel area in </w:t>
      </w:r>
      <w:r w:rsidRPr="00BA5F54">
        <w:rPr>
          <w:rFonts w:ascii="Arial" w:hAnsi="Arial" w:cs="Arial"/>
          <w:b/>
          <w:bCs/>
          <w:color w:val="000000" w:themeColor="text1"/>
          <w:sz w:val="22"/>
          <w:szCs w:val="22"/>
        </w:rPr>
        <w:t xml:space="preserve">Extended Data </w:t>
      </w:r>
      <w:r w:rsidRPr="003173F1">
        <w:rPr>
          <w:rFonts w:ascii="Arial" w:hAnsi="Arial" w:cs="Arial"/>
          <w:b/>
          <w:bCs/>
          <w:color w:val="000000" w:themeColor="text1"/>
          <w:sz w:val="22"/>
          <w:szCs w:val="22"/>
        </w:rPr>
        <w:t>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7b</w:t>
      </w:r>
      <w:r w:rsidRPr="003173F1">
        <w:rPr>
          <w:rFonts w:ascii="Arial" w:hAnsi="Arial" w:cs="Arial"/>
          <w:color w:val="000000" w:themeColor="text1"/>
          <w:sz w:val="22"/>
          <w:szCs w:val="22"/>
        </w:rPr>
        <w:t xml:space="preserve"> (</w:t>
      </w:r>
      <w:r w:rsidRPr="00D06571">
        <w:rPr>
          <w:rFonts w:ascii="Arial" w:hAnsi="Arial" w:cs="Arial"/>
          <w:b/>
          <w:bCs/>
          <w:color w:val="000000" w:themeColor="text1"/>
          <w:sz w:val="22"/>
          <w:szCs w:val="22"/>
        </w:rPr>
        <w:t>f</w:t>
      </w:r>
      <w:r w:rsidRPr="003173F1">
        <w:rPr>
          <w:rFonts w:ascii="Arial" w:hAnsi="Arial" w:cs="Arial"/>
          <w:color w:val="000000" w:themeColor="text1"/>
          <w:sz w:val="22"/>
          <w:szCs w:val="22"/>
        </w:rPr>
        <w:t>) and CD31</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area in</w:t>
      </w:r>
      <w:r w:rsidRPr="003173F1">
        <w:rPr>
          <w:rFonts w:ascii="Arial" w:hAnsi="Arial" w:cs="Arial"/>
          <w:b/>
          <w:bCs/>
          <w:color w:val="000000" w:themeColor="text1"/>
          <w:sz w:val="22"/>
          <w:szCs w:val="22"/>
        </w:rPr>
        <w:t xml:space="preserve"> 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7c</w:t>
      </w:r>
      <w:r w:rsidRPr="003173F1">
        <w:rPr>
          <w:rFonts w:ascii="Arial" w:hAnsi="Arial" w:cs="Arial"/>
          <w:color w:val="000000" w:themeColor="text1"/>
          <w:sz w:val="22"/>
          <w:szCs w:val="22"/>
        </w:rPr>
        <w:t xml:space="preserve"> (</w:t>
      </w:r>
      <w:r w:rsidRPr="00D06571">
        <w:rPr>
          <w:rFonts w:ascii="Arial" w:hAnsi="Arial" w:cs="Arial"/>
          <w:b/>
          <w:bCs/>
          <w:color w:val="000000" w:themeColor="text1"/>
          <w:sz w:val="22"/>
          <w:szCs w:val="22"/>
        </w:rPr>
        <w:t>g</w:t>
      </w:r>
      <w:r w:rsidRPr="003173F1">
        <w:rPr>
          <w:rFonts w:ascii="Arial" w:hAnsi="Arial" w:cs="Arial"/>
          <w:color w:val="000000" w:themeColor="text1"/>
          <w:sz w:val="22"/>
          <w:szCs w:val="22"/>
        </w:rPr>
        <w:t>). Data are presented as mean ± SD (n = 6 grafts derived from 3 biological replicates). One-way ANOVA with Tukey’s test is used for comparison of multiple groups.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0.05,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0.01; ns, not significant. </w:t>
      </w:r>
    </w:p>
    <w:p w14:paraId="44F4E939" w14:textId="77777777" w:rsidR="008C0D75" w:rsidRPr="003173F1" w:rsidRDefault="008C0D75" w:rsidP="008C0D75">
      <w:pPr>
        <w:spacing w:line="480" w:lineRule="auto"/>
        <w:jc w:val="both"/>
        <w:rPr>
          <w:rFonts w:ascii="Arial" w:hAnsi="Arial" w:cs="Arial"/>
          <w:b/>
          <w:bCs/>
          <w:color w:val="000000" w:themeColor="text1"/>
          <w:sz w:val="22"/>
          <w:szCs w:val="22"/>
        </w:rPr>
      </w:pPr>
      <w:r w:rsidRPr="00D06571">
        <w:rPr>
          <w:rFonts w:ascii="Arial" w:hAnsi="Arial" w:cs="Arial"/>
          <w:b/>
          <w:bCs/>
          <w:color w:val="000000" w:themeColor="text1"/>
          <w:sz w:val="22"/>
          <w:szCs w:val="22"/>
        </w:rPr>
        <w:t>h</w:t>
      </w:r>
      <w:r>
        <w:rPr>
          <w:rFonts w:ascii="Arial" w:hAnsi="Arial" w:cs="Arial"/>
          <w:color w:val="000000" w:themeColor="text1"/>
          <w:sz w:val="22"/>
          <w:szCs w:val="22"/>
        </w:rPr>
        <w:t>,</w:t>
      </w:r>
      <w:r w:rsidRPr="003173F1">
        <w:rPr>
          <w:rFonts w:ascii="Arial" w:hAnsi="Arial" w:cs="Arial"/>
          <w:color w:val="000000" w:themeColor="text1"/>
          <w:sz w:val="22"/>
          <w:szCs w:val="22"/>
        </w:rPr>
        <w:t xml:space="preserve"> </w:t>
      </w:r>
      <w:r w:rsidRPr="00D06571">
        <w:rPr>
          <w:rFonts w:ascii="Arial" w:hAnsi="Arial" w:cs="Arial"/>
          <w:b/>
          <w:bCs/>
          <w:color w:val="000000" w:themeColor="text1"/>
          <w:sz w:val="22"/>
          <w:szCs w:val="22"/>
        </w:rPr>
        <w:t>I</w:t>
      </w:r>
      <w:r>
        <w:rPr>
          <w:rFonts w:ascii="Arial" w:hAnsi="Arial" w:cs="Arial"/>
          <w:color w:val="000000" w:themeColor="text1"/>
          <w:sz w:val="22"/>
          <w:szCs w:val="22"/>
        </w:rPr>
        <w:t>,</w:t>
      </w:r>
      <w:r w:rsidRPr="003173F1">
        <w:rPr>
          <w:rFonts w:ascii="Arial" w:hAnsi="Arial" w:cs="Arial"/>
          <w:color w:val="000000" w:themeColor="text1"/>
          <w:sz w:val="22"/>
          <w:szCs w:val="22"/>
        </w:rPr>
        <w:t xml:space="preserve"> Quantification of HIF1α</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w:t>
      </w:r>
      <w:r w:rsidRPr="003173F1">
        <w:rPr>
          <w:rFonts w:ascii="Arial" w:hAnsi="Arial" w:cs="Arial" w:hint="eastAsia"/>
          <w:color w:val="000000" w:themeColor="text1"/>
          <w:sz w:val="22"/>
          <w:szCs w:val="22"/>
        </w:rPr>
        <w:t>s</w:t>
      </w:r>
      <w:r w:rsidRPr="003173F1">
        <w:rPr>
          <w:rFonts w:ascii="Arial" w:hAnsi="Arial" w:cs="Arial"/>
          <w:color w:val="000000" w:themeColor="text1"/>
          <w:sz w:val="22"/>
          <w:szCs w:val="22"/>
        </w:rPr>
        <w:t xml:space="preserve"> in </w:t>
      </w:r>
      <w:r w:rsidRPr="00BA5F54">
        <w:rPr>
          <w:rFonts w:ascii="Arial" w:hAnsi="Arial" w:cs="Arial"/>
          <w:b/>
          <w:bCs/>
          <w:color w:val="000000" w:themeColor="text1"/>
          <w:sz w:val="22"/>
          <w:szCs w:val="22"/>
        </w:rPr>
        <w:t xml:space="preserve">Extended Data </w:t>
      </w:r>
      <w:r w:rsidRPr="003173F1">
        <w:rPr>
          <w:rFonts w:ascii="Arial" w:hAnsi="Arial" w:cs="Arial"/>
          <w:b/>
          <w:bCs/>
          <w:color w:val="000000" w:themeColor="text1"/>
          <w:sz w:val="22"/>
          <w:szCs w:val="22"/>
        </w:rPr>
        <w:t>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7d</w:t>
      </w:r>
      <w:r w:rsidRPr="003173F1">
        <w:rPr>
          <w:rFonts w:ascii="Arial" w:hAnsi="Arial" w:cs="Arial"/>
          <w:color w:val="000000" w:themeColor="text1"/>
          <w:sz w:val="22"/>
          <w:szCs w:val="22"/>
        </w:rPr>
        <w:t xml:space="preserve"> (</w:t>
      </w:r>
      <w:r w:rsidRPr="00D06571">
        <w:rPr>
          <w:rFonts w:ascii="Arial" w:hAnsi="Arial" w:cs="Arial"/>
          <w:b/>
          <w:bCs/>
          <w:color w:val="000000" w:themeColor="text1"/>
          <w:sz w:val="22"/>
          <w:szCs w:val="22"/>
        </w:rPr>
        <w:t>h</w:t>
      </w:r>
      <w:r w:rsidRPr="003173F1">
        <w:rPr>
          <w:rFonts w:ascii="Arial" w:hAnsi="Arial" w:cs="Arial"/>
          <w:color w:val="000000" w:themeColor="text1"/>
          <w:sz w:val="22"/>
          <w:szCs w:val="22"/>
        </w:rPr>
        <w:t>) and TUNEL</w:t>
      </w:r>
      <w:r w:rsidRPr="003173F1">
        <w:rPr>
          <w:rFonts w:ascii="Arial" w:hAnsi="Arial" w:cs="Arial"/>
          <w:color w:val="000000" w:themeColor="text1"/>
          <w:sz w:val="22"/>
          <w:szCs w:val="22"/>
          <w:vertAlign w:val="superscript"/>
        </w:rPr>
        <w:t>+</w:t>
      </w:r>
      <w:r w:rsidRPr="003173F1">
        <w:rPr>
          <w:rFonts w:ascii="Arial" w:hAnsi="Arial" w:cs="Arial"/>
          <w:color w:val="000000" w:themeColor="text1"/>
          <w:sz w:val="22"/>
          <w:szCs w:val="22"/>
        </w:rPr>
        <w:t xml:space="preserve"> cells in </w:t>
      </w:r>
      <w:r w:rsidRPr="00BA5F54">
        <w:rPr>
          <w:rFonts w:ascii="Arial" w:hAnsi="Arial" w:cs="Arial"/>
          <w:b/>
          <w:bCs/>
          <w:color w:val="000000" w:themeColor="text1"/>
          <w:sz w:val="22"/>
          <w:szCs w:val="22"/>
        </w:rPr>
        <w:t xml:space="preserve">Extended Data </w:t>
      </w:r>
      <w:r w:rsidRPr="003173F1">
        <w:rPr>
          <w:rFonts w:ascii="Arial" w:hAnsi="Arial" w:cs="Arial"/>
          <w:b/>
          <w:bCs/>
          <w:color w:val="000000" w:themeColor="text1"/>
          <w:sz w:val="22"/>
          <w:szCs w:val="22"/>
        </w:rPr>
        <w:t>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7e</w:t>
      </w:r>
      <w:r w:rsidRPr="003173F1">
        <w:rPr>
          <w:rFonts w:ascii="Arial" w:hAnsi="Arial" w:cs="Arial"/>
          <w:color w:val="000000" w:themeColor="text1"/>
          <w:sz w:val="22"/>
          <w:szCs w:val="22"/>
        </w:rPr>
        <w:t xml:space="preserve"> (</w:t>
      </w:r>
      <w:r w:rsidRPr="00D06571">
        <w:rPr>
          <w:rFonts w:ascii="Arial" w:hAnsi="Arial" w:cs="Arial"/>
          <w:b/>
          <w:bCs/>
          <w:color w:val="000000" w:themeColor="text1"/>
          <w:sz w:val="22"/>
          <w:szCs w:val="22"/>
        </w:rPr>
        <w:t>i</w:t>
      </w:r>
      <w:r w:rsidRPr="003173F1">
        <w:rPr>
          <w:rFonts w:ascii="Arial" w:hAnsi="Arial" w:cs="Arial"/>
          <w:color w:val="000000" w:themeColor="text1"/>
          <w:sz w:val="22"/>
          <w:szCs w:val="22"/>
        </w:rPr>
        <w:t>). Data are presented as mean ± SD (n = 6 grafts derived from 3 biological replicates). One-way ANOVA with Tukey’s test is used for comparison of multiple groups.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0.05,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0.01,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0.001.</w:t>
      </w:r>
    </w:p>
    <w:p w14:paraId="02A40F8B" w14:textId="77777777" w:rsidR="008C0D75" w:rsidRPr="003173F1" w:rsidRDefault="008C0D75" w:rsidP="008C0D75">
      <w:pPr>
        <w:rPr>
          <w:rFonts w:ascii="Arial" w:eastAsiaTheme="minorEastAsia" w:hAnsi="Arial" w:cs="Arial"/>
          <w:b/>
          <w:color w:val="000000" w:themeColor="text1"/>
          <w:kern w:val="2"/>
          <w:sz w:val="22"/>
          <w:szCs w:val="22"/>
          <w:lang w:val="en-GB"/>
        </w:rPr>
      </w:pPr>
      <w:r w:rsidRPr="003173F1">
        <w:rPr>
          <w:rFonts w:ascii="Arial" w:hAnsi="Arial" w:cs="Arial"/>
          <w:b/>
          <w:color w:val="000000" w:themeColor="text1"/>
          <w:sz w:val="22"/>
        </w:rPr>
        <w:br w:type="page"/>
      </w:r>
    </w:p>
    <w:p w14:paraId="6AF5072F" w14:textId="77777777" w:rsidR="008C0D75" w:rsidRPr="00AB3C1E" w:rsidRDefault="008C0D75" w:rsidP="008C0D75">
      <w:pPr>
        <w:pStyle w:val="ListParagraph"/>
        <w:spacing w:line="480" w:lineRule="auto"/>
        <w:jc w:val="both"/>
        <w:outlineLvl w:val="1"/>
        <w:rPr>
          <w:rFonts w:ascii="Arial" w:hAnsi="Arial" w:cs="Arial"/>
          <w:b/>
          <w:bCs/>
          <w:color w:val="000000" w:themeColor="text1"/>
        </w:rPr>
      </w:pPr>
      <w:r w:rsidRPr="00AB3C1E">
        <w:rPr>
          <w:rFonts w:ascii="Arial" w:hAnsi="Arial" w:cs="Arial"/>
          <w:b/>
          <w:bCs/>
          <w:color w:val="000000" w:themeColor="text1"/>
        </w:rPr>
        <w:lastRenderedPageBreak/>
        <w:t>Extended Data Figure 8</w:t>
      </w:r>
    </w:p>
    <w:p w14:paraId="55217F0D" w14:textId="77777777" w:rsidR="008C0D75" w:rsidRPr="003173F1" w:rsidRDefault="008C0D75" w:rsidP="008C0D75">
      <w:pPr>
        <w:spacing w:line="480" w:lineRule="auto"/>
        <w:jc w:val="both"/>
        <w:rPr>
          <w:rFonts w:ascii="Arial" w:hAnsi="Arial" w:cs="Arial"/>
          <w:b/>
          <w:bCs/>
          <w:color w:val="000000" w:themeColor="text1"/>
          <w:sz w:val="22"/>
          <w:szCs w:val="22"/>
        </w:rPr>
      </w:pPr>
      <w:r>
        <w:rPr>
          <w:rFonts w:ascii="Arial" w:hAnsi="Arial" w:cs="Arial"/>
          <w:b/>
          <w:bCs/>
          <w:noProof/>
          <w:color w:val="000000" w:themeColor="text1"/>
          <w:sz w:val="22"/>
          <w:szCs w:val="22"/>
        </w:rPr>
        <w:drawing>
          <wp:inline distT="0" distB="0" distL="0" distR="0" wp14:anchorId="70C0A186" wp14:editId="29017A0E">
            <wp:extent cx="5274310" cy="4395470"/>
            <wp:effectExtent l="0" t="0" r="0" b="0"/>
            <wp:docPr id="1268458844" name="图片 14"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458844" name="图片 14" descr="图示&#10;&#10;低可信度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395470"/>
                    </a:xfrm>
                    <a:prstGeom prst="rect">
                      <a:avLst/>
                    </a:prstGeom>
                  </pic:spPr>
                </pic:pic>
              </a:graphicData>
            </a:graphic>
          </wp:inline>
        </w:drawing>
      </w:r>
    </w:p>
    <w:p w14:paraId="0113F290" w14:textId="77777777" w:rsidR="008C0D75" w:rsidRPr="003173F1" w:rsidRDefault="008C0D75" w:rsidP="008C0D75">
      <w:pPr>
        <w:spacing w:line="480" w:lineRule="auto"/>
        <w:jc w:val="both"/>
        <w:rPr>
          <w:rFonts w:ascii="Arial" w:hAnsi="Arial" w:cs="Arial"/>
          <w:b/>
          <w:bCs/>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b/>
          <w:bCs/>
          <w:color w:val="000000" w:themeColor="text1"/>
          <w:sz w:val="22"/>
          <w:szCs w:val="22"/>
        </w:rPr>
        <w:t>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8</w:t>
      </w:r>
      <w:r w:rsidRPr="003173F1">
        <w:rPr>
          <w:rFonts w:ascii="Arial" w:hAnsi="Arial" w:cs="Arial"/>
          <w:b/>
          <w:bCs/>
          <w:color w:val="000000" w:themeColor="text1"/>
          <w:sz w:val="22"/>
          <w:szCs w:val="22"/>
        </w:rPr>
        <w:t>. RMF-islet pellets restore blood glucose homeostasis in diabetic mice, related to 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5</w:t>
      </w:r>
    </w:p>
    <w:p w14:paraId="754D33CF"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a</w:t>
      </w:r>
      <w:r>
        <w:rPr>
          <w:rFonts w:ascii="Arial" w:hAnsi="Arial" w:cs="Arial"/>
          <w:color w:val="000000" w:themeColor="text1"/>
          <w:sz w:val="22"/>
          <w:szCs w:val="22"/>
        </w:rPr>
        <w:t>,</w:t>
      </w:r>
      <w:r w:rsidRPr="003173F1">
        <w:rPr>
          <w:rFonts w:ascii="Arial" w:hAnsi="Arial" w:cs="Arial"/>
          <w:color w:val="000000" w:themeColor="text1"/>
          <w:sz w:val="22"/>
          <w:szCs w:val="22"/>
        </w:rPr>
        <w:t xml:space="preserve"> RMF-islet organoids before transplantation and immediately post-transplantation, and nephrectomized kidneys showing islet organoid grafts beneath the kidney capsule at 12 weeks post-transplantation. Representative of 6 independent biological replicates. Scale bars, 1 mm.</w:t>
      </w:r>
    </w:p>
    <w:p w14:paraId="2DC98091"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b</w:t>
      </w:r>
      <w:r>
        <w:rPr>
          <w:rFonts w:ascii="Arial" w:hAnsi="Arial" w:cs="Arial"/>
          <w:color w:val="000000" w:themeColor="text1"/>
          <w:sz w:val="22"/>
          <w:szCs w:val="22"/>
        </w:rPr>
        <w:t>,</w:t>
      </w:r>
      <w:r w:rsidRPr="003173F1">
        <w:rPr>
          <w:rFonts w:ascii="Arial" w:hAnsi="Arial" w:cs="Arial"/>
          <w:color w:val="000000" w:themeColor="text1"/>
          <w:sz w:val="22"/>
          <w:szCs w:val="22"/>
        </w:rPr>
        <w:t xml:space="preserve"> </w:t>
      </w:r>
      <w:r w:rsidRPr="00D06571">
        <w:rPr>
          <w:rFonts w:ascii="Arial" w:hAnsi="Arial" w:cs="Arial"/>
          <w:b/>
          <w:bCs/>
          <w:color w:val="000000" w:themeColor="text1"/>
          <w:sz w:val="22"/>
          <w:szCs w:val="22"/>
        </w:rPr>
        <w:t>c</w:t>
      </w:r>
      <w:r>
        <w:rPr>
          <w:rFonts w:ascii="Arial" w:hAnsi="Arial" w:cs="Arial"/>
          <w:color w:val="000000" w:themeColor="text1"/>
          <w:sz w:val="22"/>
          <w:szCs w:val="22"/>
        </w:rPr>
        <w:t>,</w:t>
      </w:r>
      <w:r w:rsidRPr="003173F1">
        <w:rPr>
          <w:rFonts w:ascii="Arial" w:hAnsi="Arial" w:cs="Arial"/>
          <w:color w:val="000000" w:themeColor="text1"/>
          <w:sz w:val="22"/>
          <w:szCs w:val="22"/>
        </w:rPr>
        <w:t xml:space="preserve"> Random-fed blood glucose levels and body weight in STZ-induced diabetic mice transplanted with RMF-islet organoids and RMF pellets (n = 3 mice). Data are presented as mean ± SD. Txp, transplantation; Nx, nephrectomy.</w:t>
      </w:r>
    </w:p>
    <w:p w14:paraId="2655FD24"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lastRenderedPageBreak/>
        <w:t>d</w:t>
      </w:r>
      <w:r>
        <w:rPr>
          <w:rFonts w:ascii="Arial" w:hAnsi="Arial" w:cs="Arial"/>
          <w:color w:val="000000" w:themeColor="text1"/>
          <w:sz w:val="22"/>
          <w:szCs w:val="22"/>
        </w:rPr>
        <w:t>,</w:t>
      </w:r>
      <w:r w:rsidRPr="003173F1">
        <w:rPr>
          <w:rFonts w:ascii="Arial" w:hAnsi="Arial" w:cs="Arial"/>
          <w:color w:val="000000" w:themeColor="text1"/>
          <w:sz w:val="22"/>
          <w:szCs w:val="22"/>
        </w:rPr>
        <w:t xml:space="preserve"> In vivo GSIS levels of mice transplanted with islet organoids at 2 weeks post-transplantation.</w:t>
      </w:r>
    </w:p>
    <w:p w14:paraId="4BDD05F9"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e</w:t>
      </w:r>
      <w:r>
        <w:rPr>
          <w:rFonts w:ascii="Arial" w:hAnsi="Arial" w:cs="Arial"/>
          <w:color w:val="000000" w:themeColor="text1"/>
          <w:sz w:val="22"/>
          <w:szCs w:val="22"/>
        </w:rPr>
        <w:t>,</w:t>
      </w:r>
      <w:r w:rsidRPr="003173F1">
        <w:rPr>
          <w:rFonts w:ascii="Arial" w:hAnsi="Arial" w:cs="Arial"/>
          <w:color w:val="000000" w:themeColor="text1"/>
          <w:sz w:val="22"/>
          <w:szCs w:val="22"/>
        </w:rPr>
        <w:t xml:space="preserve"> IPGTT of mice transplanted with islet organoids and RMF pellets at 2 weeks post-transplantation. Data are presented as mean ± SD (n = 3 mice).</w:t>
      </w:r>
    </w:p>
    <w:p w14:paraId="793B0EA0" w14:textId="77777777" w:rsidR="008C0D75" w:rsidRPr="003173F1" w:rsidRDefault="008C0D75" w:rsidP="008C0D75">
      <w:pPr>
        <w:spacing w:line="480" w:lineRule="auto"/>
        <w:jc w:val="both"/>
        <w:rPr>
          <w:rFonts w:ascii="Arial" w:hAnsi="Arial" w:cs="Arial"/>
          <w:color w:val="000000" w:themeColor="text1"/>
          <w:kern w:val="2"/>
          <w:sz w:val="22"/>
          <w:szCs w:val="22"/>
        </w:rPr>
      </w:pPr>
      <w:r w:rsidRPr="00D06571">
        <w:rPr>
          <w:rFonts w:ascii="Arial" w:hAnsi="Arial" w:cs="Arial"/>
          <w:b/>
          <w:bCs/>
          <w:color w:val="000000" w:themeColor="text1"/>
          <w:sz w:val="22"/>
          <w:szCs w:val="22"/>
        </w:rPr>
        <w:t>f</w:t>
      </w:r>
      <w:r>
        <w:rPr>
          <w:rFonts w:ascii="Arial" w:hAnsi="Arial" w:cs="Arial"/>
          <w:color w:val="000000" w:themeColor="text1"/>
          <w:sz w:val="22"/>
          <w:szCs w:val="22"/>
        </w:rPr>
        <w:t>,</w:t>
      </w:r>
      <w:r w:rsidRPr="003173F1">
        <w:rPr>
          <w:rFonts w:ascii="Arial" w:hAnsi="Arial" w:cs="Arial"/>
          <w:color w:val="000000" w:themeColor="text1"/>
          <w:sz w:val="22"/>
          <w:szCs w:val="22"/>
        </w:rPr>
        <w:t xml:space="preserve"> HE images of the three explanted islet organoid grafts derived from the donor A127. Scale bars, 200 μm in large images and 50 μm in magnified images.</w:t>
      </w:r>
    </w:p>
    <w:p w14:paraId="69AD02EA" w14:textId="77777777" w:rsidR="008C0D75" w:rsidRPr="003173F1" w:rsidRDefault="008C0D75" w:rsidP="008C0D75">
      <w:pPr>
        <w:rPr>
          <w:rFonts w:ascii="Arial" w:hAnsi="Arial" w:cs="Arial"/>
          <w:b/>
          <w:color w:val="000000" w:themeColor="text1"/>
          <w:sz w:val="22"/>
        </w:rPr>
      </w:pPr>
      <w:r w:rsidRPr="003173F1">
        <w:rPr>
          <w:rFonts w:ascii="Arial" w:hAnsi="Arial" w:cs="Arial"/>
          <w:b/>
          <w:color w:val="000000" w:themeColor="text1"/>
          <w:sz w:val="22"/>
        </w:rPr>
        <w:br w:type="page"/>
      </w:r>
    </w:p>
    <w:p w14:paraId="2D55AF57" w14:textId="77777777" w:rsidR="008C0D75" w:rsidRPr="00AB3C1E" w:rsidRDefault="008C0D75" w:rsidP="008C0D75">
      <w:pPr>
        <w:pStyle w:val="ListParagraph"/>
        <w:spacing w:line="480" w:lineRule="auto"/>
        <w:jc w:val="both"/>
        <w:outlineLvl w:val="1"/>
        <w:rPr>
          <w:rFonts w:ascii="Arial" w:hAnsi="Arial" w:cs="Arial"/>
          <w:b/>
          <w:bCs/>
          <w:color w:val="000000" w:themeColor="text1"/>
        </w:rPr>
      </w:pPr>
      <w:r w:rsidRPr="00AB3C1E">
        <w:rPr>
          <w:rFonts w:ascii="Arial" w:hAnsi="Arial" w:cs="Arial"/>
          <w:b/>
          <w:bCs/>
          <w:color w:val="000000" w:themeColor="text1"/>
        </w:rPr>
        <w:lastRenderedPageBreak/>
        <w:t>Extended Data Figure 9</w:t>
      </w:r>
    </w:p>
    <w:p w14:paraId="4B345866" w14:textId="77777777" w:rsidR="008C0D75" w:rsidRPr="003173F1" w:rsidRDefault="008C0D75" w:rsidP="008C0D75">
      <w:pPr>
        <w:spacing w:line="480" w:lineRule="auto"/>
        <w:jc w:val="both"/>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14:anchorId="38B445FA" wp14:editId="76ED47F5">
            <wp:extent cx="5274310" cy="6618605"/>
            <wp:effectExtent l="0" t="0" r="0" b="0"/>
            <wp:docPr id="1691884133" name="图片 15"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884133" name="图片 15" descr="图形用户界面&#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6618605"/>
                    </a:xfrm>
                    <a:prstGeom prst="rect">
                      <a:avLst/>
                    </a:prstGeom>
                  </pic:spPr>
                </pic:pic>
              </a:graphicData>
            </a:graphic>
          </wp:inline>
        </w:drawing>
      </w:r>
    </w:p>
    <w:p w14:paraId="323018F2" w14:textId="77777777" w:rsidR="008C0D75" w:rsidRPr="003173F1" w:rsidRDefault="008C0D75" w:rsidP="008C0D75">
      <w:pPr>
        <w:spacing w:line="480" w:lineRule="auto"/>
        <w:jc w:val="both"/>
        <w:rPr>
          <w:rFonts w:ascii="Arial" w:hAnsi="Arial" w:cs="Arial"/>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b/>
          <w:bCs/>
          <w:color w:val="000000" w:themeColor="text1"/>
          <w:sz w:val="22"/>
          <w:szCs w:val="22"/>
        </w:rPr>
        <w:t>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w:t>
      </w:r>
      <w:r>
        <w:rPr>
          <w:rFonts w:ascii="Arial" w:hAnsi="Arial" w:cs="Arial"/>
          <w:b/>
          <w:bCs/>
          <w:color w:val="000000" w:themeColor="text1"/>
          <w:sz w:val="22"/>
          <w:szCs w:val="22"/>
        </w:rPr>
        <w:t>9</w:t>
      </w:r>
      <w:r w:rsidRPr="003173F1">
        <w:rPr>
          <w:rFonts w:ascii="Arial" w:hAnsi="Arial" w:cs="Arial"/>
          <w:b/>
          <w:bCs/>
          <w:color w:val="000000" w:themeColor="text1"/>
          <w:sz w:val="22"/>
          <w:szCs w:val="22"/>
        </w:rPr>
        <w:t>. Immunohistological analysis of native pancreas of STZ-induced diabetic mice</w:t>
      </w:r>
    </w:p>
    <w:p w14:paraId="7A39D839"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a</w:t>
      </w:r>
      <w:r>
        <w:rPr>
          <w:rFonts w:ascii="Arial" w:hAnsi="Arial" w:cs="Arial"/>
          <w:color w:val="000000" w:themeColor="text1"/>
          <w:sz w:val="22"/>
          <w:szCs w:val="22"/>
        </w:rPr>
        <w:t>,</w:t>
      </w:r>
      <w:r w:rsidRPr="003173F1">
        <w:rPr>
          <w:rFonts w:ascii="Arial" w:hAnsi="Arial" w:cs="Arial"/>
          <w:color w:val="000000" w:themeColor="text1"/>
          <w:sz w:val="22"/>
          <w:szCs w:val="22"/>
        </w:rPr>
        <w:t xml:space="preserve"> Immunofluorescence images showing expression of insulin (red) in the pancreatic tissues of nondiabetic mice and STZ-treated diabetic mice. Magnified images of boxed </w:t>
      </w:r>
      <w:r w:rsidRPr="003173F1">
        <w:rPr>
          <w:rFonts w:ascii="Arial" w:hAnsi="Arial" w:cs="Arial"/>
          <w:color w:val="000000" w:themeColor="text1"/>
          <w:sz w:val="22"/>
          <w:szCs w:val="22"/>
        </w:rPr>
        <w:lastRenderedPageBreak/>
        <w:t>areas on the left showing large (yellow), moderate (orange), and small islets (green). Magnified images of boxed areas on the right showing partial (yellow) and complete destroyed islets (green) in the pancreatic tissues. Representative of 6 to 8 mice in each group. Scale bars, 500 μm in the large images and 50 μm in magnified images.</w:t>
      </w:r>
    </w:p>
    <w:p w14:paraId="1828FA85"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b</w:t>
      </w:r>
      <w:r>
        <w:rPr>
          <w:rFonts w:ascii="Arial" w:hAnsi="Arial" w:cs="Arial"/>
          <w:color w:val="000000" w:themeColor="text1"/>
          <w:sz w:val="22"/>
          <w:szCs w:val="22"/>
        </w:rPr>
        <w:t>,</w:t>
      </w:r>
      <w:r w:rsidRPr="003173F1">
        <w:rPr>
          <w:rFonts w:ascii="Arial" w:hAnsi="Arial" w:cs="Arial"/>
          <w:color w:val="000000" w:themeColor="text1"/>
          <w:sz w:val="22"/>
          <w:szCs w:val="22"/>
        </w:rPr>
        <w:t xml:space="preserve"> Gross anatomy images of pancreas</w:t>
      </w:r>
      <w:bookmarkStart w:id="18" w:name="OLE_LINK183"/>
      <w:bookmarkStart w:id="19" w:name="OLE_LINK184"/>
      <w:r w:rsidRPr="003173F1">
        <w:rPr>
          <w:rFonts w:ascii="Arial" w:hAnsi="Arial" w:cs="Arial"/>
          <w:color w:val="000000" w:themeColor="text1"/>
          <w:sz w:val="22"/>
          <w:szCs w:val="22"/>
        </w:rPr>
        <w:t xml:space="preserve"> harvested from the three mice received islet organoids from donor A127</w:t>
      </w:r>
      <w:bookmarkEnd w:id="18"/>
      <w:bookmarkEnd w:id="19"/>
      <w:r w:rsidRPr="003173F1">
        <w:rPr>
          <w:rFonts w:ascii="Arial" w:hAnsi="Arial" w:cs="Arial"/>
          <w:color w:val="000000" w:themeColor="text1"/>
          <w:sz w:val="22"/>
          <w:szCs w:val="22"/>
        </w:rPr>
        <w:t>. Scale bars, 1 mm.</w:t>
      </w:r>
    </w:p>
    <w:p w14:paraId="771F84DF"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c</w:t>
      </w:r>
      <w:r>
        <w:rPr>
          <w:rFonts w:ascii="Arial" w:hAnsi="Arial" w:cs="Arial"/>
          <w:color w:val="000000" w:themeColor="text1"/>
          <w:sz w:val="22"/>
          <w:szCs w:val="22"/>
        </w:rPr>
        <w:t>,</w:t>
      </w:r>
      <w:r w:rsidRPr="003173F1">
        <w:rPr>
          <w:rFonts w:ascii="Arial" w:hAnsi="Arial" w:cs="Arial"/>
          <w:color w:val="000000" w:themeColor="text1"/>
          <w:sz w:val="22"/>
          <w:szCs w:val="22"/>
        </w:rPr>
        <w:t xml:space="preserve"> Immunofluorescence images showing expression of insulin (INS; red), glucagon (GCG; yellow), and somatostatin (SST; green) in pancreatic tissues of the diabetic mice received islet organoid from donor A127. Magnified images of boxed areas on the below showing residual islets. Scale bars, 500 μm in the large images and 50 μm in magnified images.</w:t>
      </w:r>
    </w:p>
    <w:p w14:paraId="0F3966EF"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d</w:t>
      </w:r>
      <w:r>
        <w:rPr>
          <w:rFonts w:ascii="Arial" w:hAnsi="Arial" w:cs="Arial"/>
          <w:color w:val="000000" w:themeColor="text1"/>
          <w:sz w:val="22"/>
          <w:szCs w:val="22"/>
        </w:rPr>
        <w:t>,</w:t>
      </w:r>
      <w:r w:rsidRPr="003173F1">
        <w:rPr>
          <w:rFonts w:ascii="Arial" w:hAnsi="Arial" w:cs="Arial"/>
          <w:color w:val="000000" w:themeColor="text1"/>
          <w:sz w:val="22"/>
          <w:szCs w:val="22"/>
        </w:rPr>
        <w:t xml:space="preserve"> Quantification of insulin positive area in the pancreatic tissues. Data are presented as mean ± SD (Nondiabetic, n = 8 mice; diabetic, 1 week post STZ treatment, n = 6 mice; diabetic, 14 weeks post STZ treatment, n = 18 mice). One-way ANOVA with Dunnett’s test is used for comparison of multiple groups.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0.0001; ns, not significant. </w:t>
      </w:r>
    </w:p>
    <w:p w14:paraId="282EA57C"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e</w:t>
      </w:r>
      <w:r>
        <w:rPr>
          <w:rFonts w:ascii="Arial" w:hAnsi="Arial" w:cs="Arial"/>
          <w:color w:val="000000" w:themeColor="text1"/>
          <w:sz w:val="22"/>
          <w:szCs w:val="22"/>
        </w:rPr>
        <w:t>,</w:t>
      </w:r>
      <w:r w:rsidRPr="003173F1">
        <w:rPr>
          <w:rFonts w:ascii="Arial" w:hAnsi="Arial" w:cs="Arial"/>
          <w:color w:val="000000" w:themeColor="text1"/>
          <w:sz w:val="22"/>
          <w:szCs w:val="22"/>
        </w:rPr>
        <w:t xml:space="preserve"> Gross anatomy (above) and HE (below) images of major organs harvested from diabetic mice received islet organoid treatment. Scale bars, 1 mm in gross anatomy images and 200 μm in HE images.</w:t>
      </w:r>
    </w:p>
    <w:p w14:paraId="208F448A" w14:textId="77777777" w:rsidR="008C0D75" w:rsidRPr="003173F1" w:rsidRDefault="008C0D75" w:rsidP="008C0D75">
      <w:pPr>
        <w:rPr>
          <w:rFonts w:ascii="Arial" w:hAnsi="Arial" w:cs="Arial"/>
          <w:color w:val="000000" w:themeColor="text1"/>
          <w:sz w:val="22"/>
          <w:szCs w:val="22"/>
        </w:rPr>
      </w:pPr>
      <w:r w:rsidRPr="003173F1">
        <w:rPr>
          <w:rFonts w:ascii="Arial" w:hAnsi="Arial" w:cs="Arial"/>
          <w:color w:val="000000" w:themeColor="text1"/>
          <w:sz w:val="22"/>
          <w:szCs w:val="22"/>
        </w:rPr>
        <w:br w:type="page"/>
      </w:r>
    </w:p>
    <w:p w14:paraId="33452857" w14:textId="77777777" w:rsidR="008C0D75" w:rsidRPr="00AB3C1E" w:rsidRDefault="008C0D75" w:rsidP="008C0D75">
      <w:pPr>
        <w:pStyle w:val="ListParagraph"/>
        <w:spacing w:line="480" w:lineRule="auto"/>
        <w:jc w:val="both"/>
        <w:outlineLvl w:val="1"/>
        <w:rPr>
          <w:rFonts w:ascii="Arial" w:hAnsi="Arial" w:cs="Arial"/>
          <w:b/>
          <w:bCs/>
          <w:color w:val="000000" w:themeColor="text1"/>
        </w:rPr>
      </w:pPr>
      <w:r w:rsidRPr="00AB3C1E">
        <w:rPr>
          <w:rFonts w:ascii="Arial" w:hAnsi="Arial" w:cs="Arial"/>
          <w:b/>
          <w:bCs/>
          <w:color w:val="000000" w:themeColor="text1"/>
        </w:rPr>
        <w:lastRenderedPageBreak/>
        <w:t>Extended Data Figure 10</w:t>
      </w:r>
    </w:p>
    <w:p w14:paraId="7F297302" w14:textId="77777777" w:rsidR="008C0D75" w:rsidRPr="003173F1" w:rsidRDefault="008C0D75" w:rsidP="008C0D75">
      <w:pPr>
        <w:spacing w:line="480" w:lineRule="auto"/>
        <w:jc w:val="both"/>
        <w:rPr>
          <w:rFonts w:ascii="Arial" w:hAnsi="Arial" w:cs="Arial"/>
          <w:color w:val="000000" w:themeColor="text1"/>
          <w:sz w:val="22"/>
          <w:szCs w:val="22"/>
        </w:rPr>
      </w:pPr>
      <w:r>
        <w:rPr>
          <w:rFonts w:ascii="Arial" w:hAnsi="Arial" w:cs="Arial"/>
          <w:noProof/>
          <w:color w:val="000000" w:themeColor="text1"/>
          <w:sz w:val="22"/>
          <w:szCs w:val="22"/>
        </w:rPr>
        <w:drawing>
          <wp:inline distT="0" distB="0" distL="0" distR="0" wp14:anchorId="07EE6E6E" wp14:editId="610F1F24">
            <wp:extent cx="5274310" cy="4157345"/>
            <wp:effectExtent l="0" t="0" r="0" b="0"/>
            <wp:docPr id="500404089" name="图片 1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404089" name="图片 16" descr="图示&#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157345"/>
                    </a:xfrm>
                    <a:prstGeom prst="rect">
                      <a:avLst/>
                    </a:prstGeom>
                  </pic:spPr>
                </pic:pic>
              </a:graphicData>
            </a:graphic>
          </wp:inline>
        </w:drawing>
      </w:r>
    </w:p>
    <w:p w14:paraId="742E1905" w14:textId="77777777" w:rsidR="008C0D75" w:rsidRPr="003173F1" w:rsidRDefault="008C0D75" w:rsidP="008C0D75">
      <w:pPr>
        <w:spacing w:line="480" w:lineRule="auto"/>
        <w:jc w:val="both"/>
        <w:rPr>
          <w:rFonts w:ascii="Arial" w:hAnsi="Arial" w:cs="Arial"/>
          <w:b/>
          <w:bCs/>
          <w:color w:val="000000" w:themeColor="text1"/>
          <w:sz w:val="22"/>
          <w:szCs w:val="22"/>
        </w:rPr>
      </w:pPr>
      <w:r w:rsidRPr="002E240C">
        <w:rPr>
          <w:rFonts w:ascii="Arial" w:hAnsi="Arial" w:cs="Arial"/>
          <w:b/>
          <w:color w:val="000000" w:themeColor="text1"/>
          <w:sz w:val="22"/>
        </w:rPr>
        <w:t xml:space="preserve">Extended </w:t>
      </w:r>
      <w:r>
        <w:rPr>
          <w:rFonts w:ascii="Arial" w:hAnsi="Arial" w:cs="Arial"/>
          <w:b/>
          <w:color w:val="000000" w:themeColor="text1"/>
          <w:sz w:val="22"/>
        </w:rPr>
        <w:t xml:space="preserve">Data </w:t>
      </w:r>
      <w:r w:rsidRPr="003173F1">
        <w:rPr>
          <w:rFonts w:ascii="Arial" w:hAnsi="Arial" w:cs="Arial"/>
          <w:b/>
          <w:bCs/>
          <w:color w:val="000000" w:themeColor="text1"/>
          <w:sz w:val="22"/>
          <w:szCs w:val="22"/>
        </w:rPr>
        <w:t>Fig</w:t>
      </w:r>
      <w:r>
        <w:rPr>
          <w:rFonts w:ascii="Arial" w:hAnsi="Arial" w:cs="Arial"/>
          <w:b/>
          <w:bCs/>
          <w:color w:val="000000" w:themeColor="text1"/>
          <w:sz w:val="22"/>
          <w:szCs w:val="22"/>
        </w:rPr>
        <w:t>.</w:t>
      </w:r>
      <w:r w:rsidRPr="003173F1">
        <w:rPr>
          <w:rFonts w:ascii="Arial" w:hAnsi="Arial" w:cs="Arial"/>
          <w:b/>
          <w:bCs/>
          <w:color w:val="000000" w:themeColor="text1"/>
          <w:sz w:val="22"/>
          <w:szCs w:val="22"/>
        </w:rPr>
        <w:t xml:space="preserve"> 1</w:t>
      </w:r>
      <w:r>
        <w:rPr>
          <w:rFonts w:ascii="Arial" w:hAnsi="Arial" w:cs="Arial"/>
          <w:b/>
          <w:bCs/>
          <w:color w:val="000000" w:themeColor="text1"/>
          <w:sz w:val="22"/>
          <w:szCs w:val="22"/>
        </w:rPr>
        <w:t>0</w:t>
      </w:r>
      <w:r w:rsidRPr="003173F1">
        <w:rPr>
          <w:rFonts w:ascii="Arial" w:hAnsi="Arial" w:cs="Arial"/>
          <w:b/>
          <w:bCs/>
          <w:color w:val="000000" w:themeColor="text1"/>
          <w:sz w:val="22"/>
          <w:szCs w:val="22"/>
        </w:rPr>
        <w:t>. Engineering nerve-like tissues from RMF pellets</w:t>
      </w:r>
    </w:p>
    <w:p w14:paraId="2782DA6A"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a</w:t>
      </w:r>
      <w:r>
        <w:rPr>
          <w:rFonts w:ascii="Arial" w:hAnsi="Arial" w:cs="Arial"/>
          <w:color w:val="000000" w:themeColor="text1"/>
          <w:sz w:val="22"/>
          <w:szCs w:val="22"/>
        </w:rPr>
        <w:t>,</w:t>
      </w:r>
      <w:r w:rsidRPr="003173F1">
        <w:rPr>
          <w:rFonts w:ascii="Arial" w:hAnsi="Arial" w:cs="Arial"/>
          <w:color w:val="000000" w:themeColor="text1"/>
          <w:sz w:val="22"/>
          <w:szCs w:val="22"/>
        </w:rPr>
        <w:t xml:space="preserve"> Schematic and timeline showing generation of neuronal and neuroglial tissues from RMF pellets and stage specific transcription factors for quality control at each stages.</w:t>
      </w:r>
    </w:p>
    <w:p w14:paraId="6201E940"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b</w:t>
      </w:r>
      <w:r>
        <w:rPr>
          <w:rFonts w:ascii="Arial" w:hAnsi="Arial" w:cs="Arial"/>
          <w:color w:val="000000" w:themeColor="text1"/>
          <w:sz w:val="22"/>
          <w:szCs w:val="22"/>
        </w:rPr>
        <w:t>,</w:t>
      </w:r>
      <w:r w:rsidRPr="003173F1">
        <w:rPr>
          <w:rFonts w:ascii="Arial" w:hAnsi="Arial" w:cs="Arial"/>
          <w:color w:val="000000" w:themeColor="text1"/>
          <w:sz w:val="22"/>
          <w:szCs w:val="22"/>
        </w:rPr>
        <w:t xml:space="preserve"> Immunofluorescence of RMF pellets at neurosphere stage at 2 and 3 weeks after neurogenic differentiation showing coexpression of Nestin (red) and SOX2 (green), Nestin (red) and PAX6 (green), as well as Nestin (red) and FOXG1 (green). Representative of 3 independent biological replicates. Scale bar, 50 μm.</w:t>
      </w:r>
    </w:p>
    <w:p w14:paraId="7E5E26CB"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c</w:t>
      </w:r>
      <w:r>
        <w:rPr>
          <w:rFonts w:ascii="Arial" w:hAnsi="Arial" w:cs="Arial"/>
          <w:color w:val="000000" w:themeColor="text1"/>
          <w:sz w:val="22"/>
          <w:szCs w:val="22"/>
        </w:rPr>
        <w:t>,</w:t>
      </w:r>
      <w:r w:rsidRPr="003173F1">
        <w:rPr>
          <w:rFonts w:ascii="Arial" w:hAnsi="Arial" w:cs="Arial"/>
          <w:color w:val="000000" w:themeColor="text1"/>
          <w:sz w:val="22"/>
          <w:szCs w:val="22"/>
        </w:rPr>
        <w:t xml:space="preserve"> Immunofluorescence of RMF pellets at neuros stage showing coexpression of TUJ1 (red) and NeuN (green), as well as MAP2 (red) and NeuN (green). Representative of 3 independent biological replicates. Scale bar, 50 μm.</w:t>
      </w:r>
    </w:p>
    <w:p w14:paraId="7D03452F"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lastRenderedPageBreak/>
        <w:t>d</w:t>
      </w:r>
      <w:r>
        <w:rPr>
          <w:rFonts w:ascii="Arial" w:hAnsi="Arial" w:cs="Arial"/>
          <w:color w:val="000000" w:themeColor="text1"/>
          <w:sz w:val="22"/>
          <w:szCs w:val="22"/>
        </w:rPr>
        <w:t>,</w:t>
      </w:r>
      <w:r w:rsidRPr="003173F1">
        <w:rPr>
          <w:rFonts w:ascii="Arial" w:hAnsi="Arial" w:cs="Arial"/>
          <w:color w:val="000000" w:themeColor="text1"/>
          <w:sz w:val="22"/>
          <w:szCs w:val="22"/>
        </w:rPr>
        <w:t xml:space="preserve"> Immunofluorescence of RMF pellets at neuroglia cell stage showing coexpression of GFAP (red) and S100β (green). Representative of 3 independent biological replicates. Scale bar, 50 μm.</w:t>
      </w:r>
    </w:p>
    <w:p w14:paraId="01821DA1" w14:textId="77777777" w:rsidR="008C0D75" w:rsidRPr="003173F1" w:rsidRDefault="008C0D75" w:rsidP="008C0D75">
      <w:pPr>
        <w:spacing w:line="480" w:lineRule="auto"/>
        <w:jc w:val="both"/>
        <w:rPr>
          <w:rFonts w:ascii="Arial" w:hAnsi="Arial" w:cs="Arial"/>
          <w:color w:val="000000" w:themeColor="text1"/>
          <w:sz w:val="22"/>
          <w:szCs w:val="22"/>
        </w:rPr>
      </w:pPr>
      <w:r w:rsidRPr="00D06571">
        <w:rPr>
          <w:rFonts w:ascii="Arial" w:hAnsi="Arial" w:cs="Arial"/>
          <w:b/>
          <w:bCs/>
          <w:color w:val="000000" w:themeColor="text1"/>
          <w:sz w:val="22"/>
          <w:szCs w:val="22"/>
        </w:rPr>
        <w:t>e</w:t>
      </w:r>
      <w:r w:rsidRPr="003173F1">
        <w:rPr>
          <w:rFonts w:ascii="Arial" w:hAnsi="Arial" w:cs="Arial" w:hint="eastAsia"/>
          <w:color w:val="000000" w:themeColor="text1"/>
          <w:sz w:val="22"/>
          <w:szCs w:val="22"/>
        </w:rPr>
        <w:t>-</w:t>
      </w:r>
      <w:r w:rsidRPr="00D06571">
        <w:rPr>
          <w:rFonts w:ascii="Arial" w:hAnsi="Arial" w:cs="Arial"/>
          <w:b/>
          <w:bCs/>
          <w:color w:val="000000" w:themeColor="text1"/>
          <w:sz w:val="22"/>
          <w:szCs w:val="22"/>
        </w:rPr>
        <w:t>g</w:t>
      </w:r>
      <w:r>
        <w:rPr>
          <w:rFonts w:ascii="Arial" w:hAnsi="Arial" w:cs="Arial"/>
          <w:color w:val="000000" w:themeColor="text1"/>
          <w:sz w:val="22"/>
          <w:szCs w:val="22"/>
        </w:rPr>
        <w:t>,</w:t>
      </w:r>
      <w:r w:rsidRPr="003173F1">
        <w:rPr>
          <w:rFonts w:ascii="Arial" w:hAnsi="Arial" w:cs="Arial"/>
          <w:color w:val="000000" w:themeColor="text1"/>
          <w:sz w:val="22"/>
          <w:szCs w:val="22"/>
        </w:rPr>
        <w:t xml:space="preserve"> qPCR analysis of stage-specific genes in RMF pellets at the neurosphere stage</w:t>
      </w:r>
      <w:r w:rsidRPr="003173F1">
        <w:rPr>
          <w:rFonts w:ascii="Arial" w:hAnsi="Arial" w:cs="Arial" w:hint="eastAsia"/>
          <w:color w:val="000000" w:themeColor="text1"/>
          <w:sz w:val="22"/>
          <w:szCs w:val="22"/>
        </w:rPr>
        <w:t xml:space="preserve"> (</w:t>
      </w:r>
      <w:r w:rsidRPr="00D06571">
        <w:rPr>
          <w:rFonts w:ascii="Arial" w:hAnsi="Arial" w:cs="Arial"/>
          <w:b/>
          <w:bCs/>
          <w:color w:val="000000" w:themeColor="text1"/>
          <w:sz w:val="22"/>
          <w:szCs w:val="22"/>
        </w:rPr>
        <w:t>e</w:t>
      </w:r>
      <w:r w:rsidRPr="003173F1">
        <w:rPr>
          <w:rFonts w:ascii="Arial" w:hAnsi="Arial" w:cs="Arial" w:hint="eastAsia"/>
          <w:color w:val="000000" w:themeColor="text1"/>
          <w:sz w:val="22"/>
          <w:szCs w:val="22"/>
        </w:rPr>
        <w:t>)</w:t>
      </w:r>
      <w:r w:rsidRPr="003173F1">
        <w:rPr>
          <w:rFonts w:ascii="Arial" w:hAnsi="Arial" w:cs="Arial"/>
          <w:color w:val="000000" w:themeColor="text1"/>
          <w:sz w:val="22"/>
          <w:szCs w:val="22"/>
        </w:rPr>
        <w:t>, neurogenesis stage</w:t>
      </w:r>
      <w:r w:rsidRPr="003173F1">
        <w:rPr>
          <w:rFonts w:ascii="Arial" w:hAnsi="Arial" w:cs="Arial" w:hint="eastAsia"/>
          <w:color w:val="000000" w:themeColor="text1"/>
          <w:sz w:val="22"/>
          <w:szCs w:val="22"/>
        </w:rPr>
        <w:t xml:space="preserve"> (</w:t>
      </w:r>
      <w:r w:rsidRPr="00D06571">
        <w:rPr>
          <w:rFonts w:ascii="Arial" w:hAnsi="Arial" w:cs="Arial"/>
          <w:b/>
          <w:bCs/>
          <w:color w:val="000000" w:themeColor="text1"/>
          <w:sz w:val="22"/>
          <w:szCs w:val="22"/>
        </w:rPr>
        <w:t>f</w:t>
      </w:r>
      <w:r w:rsidRPr="003173F1">
        <w:rPr>
          <w:rFonts w:ascii="Arial" w:hAnsi="Arial" w:cs="Arial" w:hint="eastAsia"/>
          <w:color w:val="000000" w:themeColor="text1"/>
          <w:sz w:val="22"/>
          <w:szCs w:val="22"/>
        </w:rPr>
        <w:t>)</w:t>
      </w:r>
      <w:r w:rsidRPr="003173F1">
        <w:rPr>
          <w:rFonts w:ascii="Arial" w:hAnsi="Arial" w:cs="Arial"/>
          <w:color w:val="000000" w:themeColor="text1"/>
          <w:sz w:val="22"/>
          <w:szCs w:val="22"/>
        </w:rPr>
        <w:t xml:space="preserve">, and gliogenesis stage </w:t>
      </w:r>
      <w:r w:rsidRPr="003173F1">
        <w:rPr>
          <w:rFonts w:ascii="Arial" w:hAnsi="Arial" w:cs="Arial" w:hint="eastAsia"/>
          <w:color w:val="000000" w:themeColor="text1"/>
          <w:sz w:val="22"/>
          <w:szCs w:val="22"/>
        </w:rPr>
        <w:t>(</w:t>
      </w:r>
      <w:r w:rsidRPr="00D06571">
        <w:rPr>
          <w:rFonts w:ascii="Arial" w:hAnsi="Arial" w:cs="Arial"/>
          <w:b/>
          <w:bCs/>
          <w:color w:val="000000" w:themeColor="text1"/>
          <w:sz w:val="22"/>
          <w:szCs w:val="22"/>
        </w:rPr>
        <w:t>g</w:t>
      </w:r>
      <w:r w:rsidRPr="003173F1">
        <w:rPr>
          <w:rFonts w:ascii="Arial" w:hAnsi="Arial" w:cs="Arial" w:hint="eastAsia"/>
          <w:color w:val="000000" w:themeColor="text1"/>
          <w:sz w:val="22"/>
          <w:szCs w:val="22"/>
        </w:rPr>
        <w:t>)</w:t>
      </w:r>
      <w:r w:rsidRPr="003173F1">
        <w:rPr>
          <w:rFonts w:ascii="Arial" w:hAnsi="Arial" w:cs="Arial"/>
          <w:color w:val="000000" w:themeColor="text1"/>
          <w:sz w:val="22"/>
          <w:szCs w:val="22"/>
        </w:rPr>
        <w:t>. Data are presented as mean ± SD (n = 5 biological replicates). One-way ANOVA with Dunnett’s test is used for comparison of multiple groups.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0.05, **</w:t>
      </w:r>
      <w:r w:rsidRPr="003173F1">
        <w:rPr>
          <w:rFonts w:ascii="Arial" w:hAnsi="Arial" w:cs="Arial"/>
          <w:i/>
          <w:iCs/>
          <w:color w:val="000000" w:themeColor="text1"/>
          <w:sz w:val="22"/>
          <w:szCs w:val="22"/>
        </w:rPr>
        <w:t>p</w:t>
      </w:r>
      <w:r w:rsidRPr="003173F1">
        <w:rPr>
          <w:rFonts w:ascii="Arial" w:hAnsi="Arial" w:cs="Arial"/>
          <w:color w:val="000000" w:themeColor="text1"/>
          <w:sz w:val="22"/>
          <w:szCs w:val="22"/>
        </w:rPr>
        <w:t xml:space="preserve"> &lt; 0.01. NEFL, neurofilament light chain; NEFM, neurofilament medium chain; NSE, neuron-specific enolase.</w:t>
      </w:r>
    </w:p>
    <w:p w14:paraId="77B75F35" w14:textId="77777777" w:rsidR="008C0D75" w:rsidRPr="003173F1" w:rsidRDefault="008C0D75" w:rsidP="008C0D75">
      <w:pPr>
        <w:rPr>
          <w:rFonts w:ascii="Arial" w:hAnsi="Arial" w:cs="Arial"/>
          <w:color w:val="000000" w:themeColor="text1"/>
          <w:sz w:val="22"/>
          <w:szCs w:val="22"/>
        </w:rPr>
      </w:pPr>
    </w:p>
    <w:p w14:paraId="74627454" w14:textId="77777777" w:rsidR="00755780" w:rsidRDefault="00755780"/>
    <w:sectPr w:rsidR="00755780" w:rsidSect="008C0D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D75"/>
    <w:rsid w:val="00331A6B"/>
    <w:rsid w:val="00755780"/>
    <w:rsid w:val="00857596"/>
    <w:rsid w:val="008C0D75"/>
    <w:rsid w:val="00DE02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2D0AB3"/>
  <w15:chartTrackingRefBased/>
  <w15:docId w15:val="{BEC3CD5B-B1B5-4C58-91E6-112D92B1D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D75"/>
    <w:pPr>
      <w:spacing w:after="0" w:line="240" w:lineRule="auto"/>
    </w:pPr>
    <w:rPr>
      <w:rFonts w:ascii="SimSun" w:eastAsia="SimSun" w:hAnsi="SimSun" w:cs="SimSun"/>
      <w:kern w:val="0"/>
      <w:sz w:val="24"/>
      <w:szCs w:val="24"/>
      <w:lang w:eastAsia="zh-CN"/>
      <w14:ligatures w14:val="none"/>
    </w:rPr>
  </w:style>
  <w:style w:type="paragraph" w:styleId="Heading1">
    <w:name w:val="heading 1"/>
    <w:basedOn w:val="Normal"/>
    <w:next w:val="Normal"/>
    <w:link w:val="Heading1Char"/>
    <w:uiPriority w:val="9"/>
    <w:qFormat/>
    <w:rsid w:val="008C0D7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8C0D7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8C0D7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8C0D75"/>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8C0D75"/>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8C0D75"/>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8C0D75"/>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8C0D75"/>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8C0D75"/>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0D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0D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0D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0D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0D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0D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0D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0D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0D75"/>
    <w:rPr>
      <w:rFonts w:eastAsiaTheme="majorEastAsia" w:cstheme="majorBidi"/>
      <w:color w:val="272727" w:themeColor="text1" w:themeTint="D8"/>
    </w:rPr>
  </w:style>
  <w:style w:type="paragraph" w:styleId="Title">
    <w:name w:val="Title"/>
    <w:basedOn w:val="Normal"/>
    <w:next w:val="Normal"/>
    <w:link w:val="TitleChar"/>
    <w:uiPriority w:val="10"/>
    <w:qFormat/>
    <w:rsid w:val="008C0D75"/>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8C0D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0D7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8C0D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0D75"/>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8C0D75"/>
    <w:rPr>
      <w:i/>
      <w:iCs/>
      <w:color w:val="404040" w:themeColor="text1" w:themeTint="BF"/>
    </w:rPr>
  </w:style>
  <w:style w:type="paragraph" w:styleId="ListParagraph">
    <w:name w:val="List Paragraph"/>
    <w:basedOn w:val="Normal"/>
    <w:uiPriority w:val="34"/>
    <w:qFormat/>
    <w:rsid w:val="008C0D75"/>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8C0D75"/>
    <w:rPr>
      <w:i/>
      <w:iCs/>
      <w:color w:val="0F4761" w:themeColor="accent1" w:themeShade="BF"/>
    </w:rPr>
  </w:style>
  <w:style w:type="paragraph" w:styleId="IntenseQuote">
    <w:name w:val="Intense Quote"/>
    <w:basedOn w:val="Normal"/>
    <w:next w:val="Normal"/>
    <w:link w:val="IntenseQuoteChar"/>
    <w:uiPriority w:val="30"/>
    <w:qFormat/>
    <w:rsid w:val="008C0D7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8C0D75"/>
    <w:rPr>
      <w:i/>
      <w:iCs/>
      <w:color w:val="0F4761" w:themeColor="accent1" w:themeShade="BF"/>
    </w:rPr>
  </w:style>
  <w:style w:type="character" w:styleId="IntenseReference">
    <w:name w:val="Intense Reference"/>
    <w:basedOn w:val="DefaultParagraphFont"/>
    <w:uiPriority w:val="32"/>
    <w:qFormat/>
    <w:rsid w:val="008C0D75"/>
    <w:rPr>
      <w:b/>
      <w:bCs/>
      <w:smallCaps/>
      <w:color w:val="0F4761" w:themeColor="accent1" w:themeShade="BF"/>
      <w:spacing w:val="5"/>
    </w:rPr>
  </w:style>
  <w:style w:type="paragraph" w:styleId="NoSpacing">
    <w:name w:val="No Spacing"/>
    <w:uiPriority w:val="1"/>
    <w:qFormat/>
    <w:rsid w:val="008C0D75"/>
    <w:pPr>
      <w:widowControl w:val="0"/>
      <w:spacing w:after="0" w:line="240" w:lineRule="auto"/>
      <w:jc w:val="both"/>
    </w:pPr>
    <w:rPr>
      <w:rFonts w:eastAsiaTheme="minorEastAsia"/>
      <w:sz w:val="21"/>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2275</Words>
  <Characters>12973</Characters>
  <Application>Microsoft Office Word</Application>
  <DocSecurity>0</DocSecurity>
  <Lines>108</Lines>
  <Paragraphs>30</Paragraphs>
  <ScaleCrop>false</ScaleCrop>
  <Company>Springer Nature</Company>
  <LinksUpToDate>false</LinksUpToDate>
  <CharactersWithSpaces>15218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2024-10-29T10:56:00Z</dcterms:created>
  <dcterms:modified xsi:type="dcterms:W3CDTF">2024-10-29T10:57:00Z</dcterms:modified>
</cp:coreProperties>
</file>