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601B7" w14:textId="7DBB92BB" w:rsidR="003A360D" w:rsidRPr="00B23014" w:rsidRDefault="003A360D" w:rsidP="003A360D">
      <w:pPr>
        <w:pStyle w:val="a4"/>
        <w:spacing w:line="480" w:lineRule="auto"/>
        <w:ind w:leftChars="-1" w:left="-2"/>
        <w:outlineLvl w:val="0"/>
        <w:rPr>
          <w:rFonts w:ascii="Arial" w:hAnsi="Arial" w:cs="Arial"/>
          <w:b/>
          <w:color w:val="000000" w:themeColor="text1"/>
          <w:sz w:val="22"/>
          <w:lang w:val="en-US"/>
        </w:rPr>
      </w:pPr>
      <w:r w:rsidRPr="003173F1">
        <w:rPr>
          <w:rFonts w:ascii="Arial" w:hAnsi="Arial" w:cs="Arial" w:hint="eastAsia"/>
          <w:b/>
          <w:color w:val="000000" w:themeColor="text1"/>
          <w:sz w:val="22"/>
        </w:rPr>
        <w:t>Suppl</w:t>
      </w:r>
      <w:r w:rsidRPr="003173F1">
        <w:rPr>
          <w:rFonts w:ascii="Arial" w:hAnsi="Arial" w:cs="Arial"/>
          <w:b/>
          <w:color w:val="000000" w:themeColor="text1"/>
          <w:sz w:val="22"/>
        </w:rPr>
        <w:t>ementary</w:t>
      </w:r>
      <w:r>
        <w:rPr>
          <w:rFonts w:ascii="Arial" w:hAnsi="Arial" w:cs="Arial" w:hint="eastAsia"/>
          <w:b/>
          <w:color w:val="000000" w:themeColor="text1"/>
          <w:sz w:val="22"/>
        </w:rPr>
        <w:t xml:space="preserve"> </w:t>
      </w:r>
      <w:r w:rsidR="00021EFD">
        <w:rPr>
          <w:rFonts w:ascii="Arial" w:hAnsi="Arial" w:cs="Arial" w:hint="eastAsia"/>
          <w:b/>
          <w:color w:val="000000" w:themeColor="text1"/>
          <w:sz w:val="22"/>
        </w:rPr>
        <w:t>I</w:t>
      </w:r>
      <w:r>
        <w:rPr>
          <w:rFonts w:ascii="Arial" w:hAnsi="Arial" w:cs="Arial" w:hint="eastAsia"/>
          <w:b/>
          <w:color w:val="000000" w:themeColor="text1"/>
          <w:sz w:val="22"/>
        </w:rPr>
        <w:t>nfor</w:t>
      </w:r>
      <w:proofErr w:type="spellStart"/>
      <w:r>
        <w:rPr>
          <w:rFonts w:ascii="Arial" w:hAnsi="Arial" w:cs="Arial"/>
          <w:b/>
          <w:color w:val="000000" w:themeColor="text1"/>
          <w:sz w:val="22"/>
          <w:lang w:val="en-US"/>
        </w:rPr>
        <w:t>mation</w:t>
      </w:r>
      <w:proofErr w:type="spellEnd"/>
    </w:p>
    <w:p w14:paraId="6A1CA93D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Figure 1</w:t>
      </w:r>
    </w:p>
    <w:p w14:paraId="6895683E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2A11219F" wp14:editId="6E43983E">
            <wp:extent cx="5274310" cy="6411595"/>
            <wp:effectExtent l="0" t="0" r="0" b="1905"/>
            <wp:docPr id="1810354284" name="图片 17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354284" name="图片 17" descr="图片包含 图示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1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CFF9E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173F1">
        <w:rPr>
          <w:rFonts w:ascii="Arial" w:hAnsi="Arial" w:cs="Arial" w:hint="eastAsia"/>
          <w:b/>
          <w:color w:val="000000" w:themeColor="text1"/>
          <w:sz w:val="22"/>
        </w:rPr>
        <w:t>Suppl</w:t>
      </w:r>
      <w:r w:rsidRPr="003173F1">
        <w:rPr>
          <w:rFonts w:ascii="Arial" w:hAnsi="Arial" w:cs="Arial"/>
          <w:b/>
          <w:color w:val="000000" w:themeColor="text1"/>
          <w:sz w:val="22"/>
        </w:rPr>
        <w:t>ementary</w:t>
      </w:r>
      <w:r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F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. Single-cell sequencing analysis of RMF tissues, related to Fig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1</w:t>
      </w:r>
    </w:p>
    <w:p w14:paraId="41773C38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UMAP plot of scRNA-seq cells derived from the merged native fat, RMF pellets, and expanded ADSCs, assigned into the main cell classes. Pie charts on the below 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depicting the percentages of each cell population. n = 3 biological replicates. ASPC, adipose-derived stem and progenitor cells; </w:t>
      </w:r>
      <w:proofErr w:type="spellStart"/>
      <w:r w:rsidRPr="003173F1">
        <w:rPr>
          <w:rFonts w:ascii="Arial" w:hAnsi="Arial" w:cs="Arial"/>
          <w:color w:val="000000" w:themeColor="text1"/>
          <w:sz w:val="22"/>
          <w:szCs w:val="22"/>
        </w:rPr>
        <w:t>nCell</w:t>
      </w:r>
      <w:proofErr w:type="spellEnd"/>
      <w:r w:rsidRPr="003173F1">
        <w:rPr>
          <w:rFonts w:ascii="Arial" w:hAnsi="Arial" w:cs="Arial"/>
          <w:color w:val="000000" w:themeColor="text1"/>
          <w:sz w:val="22"/>
          <w:szCs w:val="22"/>
        </w:rPr>
        <w:t>, number of cells; SMC, smooth muscle cells.</w:t>
      </w:r>
    </w:p>
    <w:p w14:paraId="164E18CC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UMAP plots showcasing the expression of signature genes in ASPCs, preadipocytes, smooth muscle cells, endothelial cells, and immune cells, as defined in (</w:t>
      </w: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4D1A0587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Dot plot showing the top 5 expressed genes markers in the eight main cell clusters.</w:t>
      </w:r>
    </w:p>
    <w:p w14:paraId="7A52E774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Correlation plot comparing identified cell clusters between native fat, RMF pellets, and expanded ADSCs.</w:t>
      </w:r>
    </w:p>
    <w:p w14:paraId="59863E0E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Violin plots for signature, mesodermal lineage differentiation-related, cell cycle-related, and stemness-related genes showing specific expression in the different main cell clusters, as defined in (</w:t>
      </w:r>
      <w:r w:rsidRPr="00274547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0E07951A" w14:textId="77777777" w:rsidR="003A360D" w:rsidRPr="003173F1" w:rsidRDefault="003A360D" w:rsidP="003A360D">
      <w:pPr>
        <w:rPr>
          <w:rFonts w:ascii="Arial" w:hAnsi="Arial" w:cs="Arial"/>
          <w:color w:val="000000" w:themeColor="text1"/>
          <w:sz w:val="22"/>
          <w:szCs w:val="22"/>
        </w:rPr>
      </w:pPr>
      <w:r w:rsidRPr="003173F1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53EFBD24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lastRenderedPageBreak/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Figure 2</w:t>
      </w:r>
    </w:p>
    <w:p w14:paraId="2F37FED9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3234674E" wp14:editId="1F6BDAA7">
            <wp:extent cx="5274310" cy="6329045"/>
            <wp:effectExtent l="0" t="0" r="0" b="0"/>
            <wp:docPr id="1502403716" name="图片 1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403716" name="图片 18" descr="图示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2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88C79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173F1">
        <w:rPr>
          <w:rFonts w:ascii="Arial" w:hAnsi="Arial" w:cs="Arial" w:hint="eastAsia"/>
          <w:b/>
          <w:color w:val="000000" w:themeColor="text1"/>
          <w:sz w:val="22"/>
        </w:rPr>
        <w:t>Suppl</w:t>
      </w:r>
      <w:r w:rsidRPr="003173F1">
        <w:rPr>
          <w:rFonts w:ascii="Arial" w:hAnsi="Arial" w:cs="Arial"/>
          <w:b/>
          <w:color w:val="000000" w:themeColor="text1"/>
          <w:sz w:val="22"/>
        </w:rPr>
        <w:t>ementary</w:t>
      </w:r>
      <w:r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F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. Flow cytometry of engraftment level, self-renewal, and differentiation of the transplanted hUCB-CD34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cells, related to Fig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 3</w:t>
      </w:r>
    </w:p>
    <w:p w14:paraId="1E71B5EE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Flow cytometry plots for showing gating strategy of human hematopoietic cells extracted from mFemur and hOssicle at 8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and 16 weeks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post 1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st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xenotransplantation. Human HSCs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CD34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CD38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lastRenderedPageBreak/>
        <w:t>HPCs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CD34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CD38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T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B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CD19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myeloid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cells. Representative of 6 biological replicates. </w:t>
      </w:r>
      <w:proofErr w:type="spellStart"/>
      <w:r w:rsidRPr="003173F1">
        <w:rPr>
          <w:rFonts w:ascii="Arial" w:hAnsi="Arial" w:cs="Arial"/>
          <w:color w:val="000000" w:themeColor="text1"/>
          <w:sz w:val="22"/>
          <w:szCs w:val="22"/>
        </w:rPr>
        <w:t>hHSCs</w:t>
      </w:r>
      <w:proofErr w:type="spellEnd"/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, human hematopoietic stem cells; </w:t>
      </w:r>
      <w:proofErr w:type="spellStart"/>
      <w:r w:rsidRPr="003173F1">
        <w:rPr>
          <w:rFonts w:ascii="Arial" w:hAnsi="Arial" w:cs="Arial"/>
          <w:color w:val="000000" w:themeColor="text1"/>
          <w:sz w:val="22"/>
          <w:szCs w:val="22"/>
        </w:rPr>
        <w:t>hHPCs</w:t>
      </w:r>
      <w:proofErr w:type="spellEnd"/>
      <w:r w:rsidRPr="003173F1">
        <w:rPr>
          <w:rFonts w:ascii="Arial" w:hAnsi="Arial" w:cs="Arial"/>
          <w:color w:val="000000" w:themeColor="text1"/>
          <w:sz w:val="22"/>
          <w:szCs w:val="22"/>
        </w:rPr>
        <w:t>, human hematopoietic progenitor cells; hOssicle, humanized ossicle; mFemur, mouse femur.</w:t>
      </w:r>
    </w:p>
    <w:p w14:paraId="0B5D393D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Flow cytometry plots for showing gating strategy of human hematopoietic cells extracted from mFemur at 8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and 16 weeks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weeks post 2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nd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xenotransplantation. Human HSPCs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CD34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T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B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CD19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cells; human myeloid cells were gated as hCD45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CD33</w:t>
      </w:r>
      <w:r w:rsidRPr="003173F1">
        <w:rPr>
          <w:rFonts w:ascii="Arial" w:hAnsi="Arial" w:cs="Arial"/>
          <w:color w:val="000000" w:themeColor="text1"/>
          <w:sz w:val="22"/>
          <w:szCs w:val="22"/>
          <w:vertAlign w:val="superscript"/>
        </w:rPr>
        <w:t>+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cells. Representative of 4 biological replicates.</w:t>
      </w:r>
    </w:p>
    <w:p w14:paraId="1269A178" w14:textId="77777777" w:rsidR="003A360D" w:rsidRPr="003173F1" w:rsidRDefault="003A360D" w:rsidP="003A360D">
      <w:pPr>
        <w:rPr>
          <w:rFonts w:ascii="Arial" w:hAnsi="Arial" w:cs="Arial"/>
          <w:color w:val="000000" w:themeColor="text1"/>
          <w:sz w:val="22"/>
          <w:szCs w:val="22"/>
        </w:rPr>
      </w:pPr>
      <w:r w:rsidRPr="003173F1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796436EE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lastRenderedPageBreak/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Figure 3</w:t>
      </w:r>
    </w:p>
    <w:p w14:paraId="149C4D76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07AFFECE" wp14:editId="05CED8EA">
            <wp:extent cx="5274310" cy="6587490"/>
            <wp:effectExtent l="0" t="0" r="0" b="3810"/>
            <wp:docPr id="449010717" name="图片 19" descr="图片包含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10717" name="图片 19" descr="图片包含 散点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46B3A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173F1">
        <w:rPr>
          <w:rFonts w:ascii="Arial" w:hAnsi="Arial" w:cs="Arial" w:hint="eastAsia"/>
          <w:b/>
          <w:color w:val="000000" w:themeColor="text1"/>
          <w:sz w:val="22"/>
        </w:rPr>
        <w:t>Suppl</w:t>
      </w:r>
      <w:r w:rsidRPr="003173F1">
        <w:rPr>
          <w:rFonts w:ascii="Arial" w:hAnsi="Arial" w:cs="Arial"/>
          <w:b/>
          <w:color w:val="000000" w:themeColor="text1"/>
          <w:sz w:val="22"/>
        </w:rPr>
        <w:t>ementary</w:t>
      </w:r>
      <w:r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F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. Single-cell sequencing analysis of islet organoids, related to Fig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</w:p>
    <w:p w14:paraId="00A2753A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UMAP plot of scRNA-seq cells derived from RMF-islet organoids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; n = 2 biological replicates) and human native islets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; n = 1 biological replicates).</w:t>
      </w:r>
    </w:p>
    <w:p w14:paraId="7377EDC9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b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Expression of islet hormone genes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and other endocrine transcription factors and key marker genes of assigned cell clusters in RMF-islet organoid and human native islet samples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5AEA2F4E" w14:textId="77777777" w:rsidR="003A360D" w:rsidRPr="00294620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g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Comparison of β-like cells from RMF-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i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slet organoids and β-cells from human native islets in expression profiles of key genes for β-cell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 xml:space="preserve"> iden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tity, maturation, insulin secretion, and metabolism functions. n = 246 β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like cells from islet organoid samples and 1395 β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-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cells from human native islet samples.</w:t>
      </w:r>
    </w:p>
    <w:p w14:paraId="6525AF4E" w14:textId="77777777" w:rsidR="003A360D" w:rsidRPr="003173F1" w:rsidRDefault="003A360D" w:rsidP="003A360D">
      <w:pPr>
        <w:rPr>
          <w:rFonts w:ascii="Arial" w:eastAsiaTheme="minorEastAsia" w:hAnsi="Arial" w:cs="Arial"/>
          <w:b/>
          <w:color w:val="000000" w:themeColor="text1"/>
          <w:kern w:val="2"/>
          <w:sz w:val="22"/>
          <w:szCs w:val="22"/>
          <w:lang w:val="en-GB"/>
        </w:rPr>
      </w:pPr>
      <w:r w:rsidRPr="003173F1">
        <w:rPr>
          <w:rFonts w:ascii="Arial" w:hAnsi="Arial" w:cs="Arial"/>
          <w:b/>
          <w:color w:val="000000" w:themeColor="text1"/>
          <w:sz w:val="22"/>
        </w:rPr>
        <w:br w:type="page"/>
      </w:r>
    </w:p>
    <w:p w14:paraId="71C339B8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lastRenderedPageBreak/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Figure 4</w:t>
      </w:r>
    </w:p>
    <w:p w14:paraId="698A47BE" w14:textId="77777777" w:rsidR="003A360D" w:rsidRPr="003173F1" w:rsidRDefault="003A360D" w:rsidP="003A360D">
      <w:pPr>
        <w:spacing w:line="480" w:lineRule="auto"/>
        <w:rPr>
          <w:rFonts w:ascii="Arial" w:hAnsi="Arial" w:cs="Arial"/>
          <w:b/>
          <w:color w:val="000000" w:themeColor="text1"/>
          <w:sz w:val="22"/>
        </w:rPr>
      </w:pPr>
      <w:r>
        <w:rPr>
          <w:rFonts w:ascii="Arial" w:hAnsi="Arial" w:cs="Arial"/>
          <w:b/>
          <w:noProof/>
          <w:color w:val="000000" w:themeColor="text1"/>
          <w:sz w:val="22"/>
        </w:rPr>
        <w:drawing>
          <wp:inline distT="0" distB="0" distL="0" distR="0" wp14:anchorId="6B6445B3" wp14:editId="00D2C2D1">
            <wp:extent cx="5274310" cy="3743960"/>
            <wp:effectExtent l="0" t="0" r="0" b="2540"/>
            <wp:docPr id="46654603" name="图片 20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54603" name="图片 20" descr="图表, 散点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469F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173F1">
        <w:rPr>
          <w:rFonts w:ascii="Arial" w:hAnsi="Arial" w:cs="Arial" w:hint="eastAsia"/>
          <w:b/>
          <w:color w:val="000000" w:themeColor="text1"/>
          <w:sz w:val="22"/>
        </w:rPr>
        <w:t>Suppl</w:t>
      </w:r>
      <w:r w:rsidRPr="003173F1">
        <w:rPr>
          <w:rFonts w:ascii="Arial" w:hAnsi="Arial" w:cs="Arial"/>
          <w:b/>
          <w:color w:val="000000" w:themeColor="text1"/>
          <w:sz w:val="22"/>
        </w:rPr>
        <w:t>ementary</w:t>
      </w:r>
      <w:r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F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>. Single-cell sequencing analysis of islet organoid grafts after 12-week transplantation, related to Fig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3173F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</w:p>
    <w:p w14:paraId="0E75329B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UMAP plot of scRNA-seq cells derived from islet organoid grafts (n = 2 biological replicates).</w:t>
      </w:r>
    </w:p>
    <w:p w14:paraId="41232CEA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Expression of islet hormone genes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 and other endocrine transcription factors and key marker genes of assigned cell clusters (</w:t>
      </w: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7D7EE738" w14:textId="77777777" w:rsidR="003A360D" w:rsidRPr="00294620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 Dot plot showing the relative expression of genes in the ten main cell clusters.</w:t>
      </w:r>
    </w:p>
    <w:p w14:paraId="087943DC" w14:textId="77777777" w:rsidR="003A360D" w:rsidRPr="003173F1" w:rsidRDefault="003A360D" w:rsidP="003A360D">
      <w:pPr>
        <w:rPr>
          <w:rFonts w:ascii="Arial" w:eastAsiaTheme="minorEastAsia" w:hAnsi="Arial" w:cs="Arial"/>
          <w:b/>
          <w:color w:val="000000" w:themeColor="text1"/>
          <w:kern w:val="2"/>
          <w:sz w:val="22"/>
          <w:szCs w:val="22"/>
          <w:lang w:val="en-GB"/>
        </w:rPr>
      </w:pPr>
      <w:r w:rsidRPr="003173F1">
        <w:rPr>
          <w:rFonts w:ascii="Arial" w:hAnsi="Arial" w:cs="Arial"/>
          <w:b/>
          <w:color w:val="000000" w:themeColor="text1"/>
          <w:sz w:val="22"/>
        </w:rPr>
        <w:br w:type="page"/>
      </w:r>
    </w:p>
    <w:p w14:paraId="2F2D13C8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lastRenderedPageBreak/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Table 1</w:t>
      </w:r>
    </w:p>
    <w:p w14:paraId="6F5CB6B8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 w:hint="eastAsia"/>
          <w:bCs/>
          <w:color w:val="000000" w:themeColor="text1"/>
          <w:sz w:val="22"/>
        </w:rPr>
        <w:t>Suppl</w:t>
      </w:r>
      <w:r w:rsidRPr="00D06571">
        <w:rPr>
          <w:rFonts w:ascii="Arial" w:hAnsi="Arial" w:cs="Arial"/>
          <w:bCs/>
          <w:color w:val="000000" w:themeColor="text1"/>
          <w:sz w:val="22"/>
        </w:rPr>
        <w:t>ementary</w:t>
      </w:r>
      <w:r w:rsidRPr="003173F1"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T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able 1. H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u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>man adipose tissues used in this study</w:t>
      </w:r>
    </w:p>
    <w:p w14:paraId="52DAB398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B28A6B6" w14:textId="77777777" w:rsidR="003A360D" w:rsidRPr="00AB3C1E" w:rsidRDefault="003A360D" w:rsidP="003A360D">
      <w:pPr>
        <w:pStyle w:val="a5"/>
        <w:spacing w:line="480" w:lineRule="auto"/>
        <w:ind w:firstLineChars="0" w:firstLine="0"/>
        <w:jc w:val="both"/>
        <w:outlineLvl w:val="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B3C1E"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Suppl</w:t>
      </w:r>
      <w:r w:rsidRPr="00AB3C1E">
        <w:rPr>
          <w:rFonts w:ascii="Arial" w:hAnsi="Arial" w:cs="Arial"/>
          <w:b/>
          <w:bCs/>
          <w:color w:val="000000" w:themeColor="text1"/>
          <w:sz w:val="22"/>
          <w:szCs w:val="22"/>
        </w:rPr>
        <w:t>ementary Table 2</w:t>
      </w:r>
    </w:p>
    <w:p w14:paraId="51905B73" w14:textId="77777777" w:rsidR="003A360D" w:rsidRPr="003173F1" w:rsidRDefault="003A360D" w:rsidP="003A360D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06571">
        <w:rPr>
          <w:rFonts w:ascii="Arial" w:hAnsi="Arial" w:cs="Arial" w:hint="eastAsia"/>
          <w:bCs/>
          <w:color w:val="000000" w:themeColor="text1"/>
          <w:sz w:val="22"/>
        </w:rPr>
        <w:t>Suppl</w:t>
      </w:r>
      <w:r w:rsidRPr="00D06571">
        <w:rPr>
          <w:rFonts w:ascii="Arial" w:hAnsi="Arial" w:cs="Arial"/>
          <w:bCs/>
          <w:color w:val="000000" w:themeColor="text1"/>
          <w:sz w:val="22"/>
        </w:rPr>
        <w:t>ementary</w:t>
      </w:r>
      <w:r w:rsidRPr="003173F1"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3173F1">
        <w:rPr>
          <w:rFonts w:ascii="Arial" w:hAnsi="Arial" w:cs="Arial" w:hint="eastAsia"/>
          <w:color w:val="000000" w:themeColor="text1"/>
          <w:sz w:val="22"/>
          <w:szCs w:val="22"/>
        </w:rPr>
        <w:t>T</w:t>
      </w:r>
      <w:r w:rsidRPr="003173F1">
        <w:rPr>
          <w:rFonts w:ascii="Arial" w:hAnsi="Arial" w:cs="Arial"/>
          <w:color w:val="000000" w:themeColor="text1"/>
          <w:sz w:val="22"/>
          <w:szCs w:val="22"/>
        </w:rPr>
        <w:t xml:space="preserve">able 2. Sequence for </w:t>
      </w:r>
      <w:proofErr w:type="spellStart"/>
      <w:r w:rsidRPr="003173F1">
        <w:rPr>
          <w:rFonts w:ascii="Arial" w:hAnsi="Arial" w:cs="Arial"/>
          <w:color w:val="000000" w:themeColor="text1"/>
          <w:sz w:val="22"/>
          <w:szCs w:val="22"/>
        </w:rPr>
        <w:t>qRT</w:t>
      </w:r>
      <w:proofErr w:type="spellEnd"/>
      <w:r w:rsidRPr="003173F1">
        <w:rPr>
          <w:rFonts w:ascii="Arial" w:hAnsi="Arial" w:cs="Arial"/>
          <w:color w:val="000000" w:themeColor="text1"/>
          <w:sz w:val="22"/>
          <w:szCs w:val="22"/>
        </w:rPr>
        <w:t>-PCR primers</w:t>
      </w:r>
    </w:p>
    <w:p w14:paraId="4F0B3A90" w14:textId="77777777" w:rsidR="005C1F88" w:rsidRPr="003A360D" w:rsidRDefault="005C1F88"/>
    <w:sectPr w:rsidR="005C1F88" w:rsidRPr="003A3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60D"/>
    <w:rsid w:val="00000029"/>
    <w:rsid w:val="00021EFD"/>
    <w:rsid w:val="00026BD2"/>
    <w:rsid w:val="00032F7C"/>
    <w:rsid w:val="00063A52"/>
    <w:rsid w:val="00064441"/>
    <w:rsid w:val="000742BB"/>
    <w:rsid w:val="000868D7"/>
    <w:rsid w:val="000869FE"/>
    <w:rsid w:val="00096D35"/>
    <w:rsid w:val="000A1925"/>
    <w:rsid w:val="000A4738"/>
    <w:rsid w:val="000B6758"/>
    <w:rsid w:val="000B7757"/>
    <w:rsid w:val="000C297A"/>
    <w:rsid w:val="000C5CCB"/>
    <w:rsid w:val="000D6FFD"/>
    <w:rsid w:val="000F04A8"/>
    <w:rsid w:val="000F3F9D"/>
    <w:rsid w:val="001110E8"/>
    <w:rsid w:val="001230EE"/>
    <w:rsid w:val="00134872"/>
    <w:rsid w:val="00140724"/>
    <w:rsid w:val="0014485B"/>
    <w:rsid w:val="001504AF"/>
    <w:rsid w:val="00157619"/>
    <w:rsid w:val="0017254C"/>
    <w:rsid w:val="001867C9"/>
    <w:rsid w:val="001969C0"/>
    <w:rsid w:val="001A5B0B"/>
    <w:rsid w:val="001C2C4A"/>
    <w:rsid w:val="001D31AB"/>
    <w:rsid w:val="001D5B4B"/>
    <w:rsid w:val="001E363B"/>
    <w:rsid w:val="00202234"/>
    <w:rsid w:val="002376D9"/>
    <w:rsid w:val="002377A7"/>
    <w:rsid w:val="002609D3"/>
    <w:rsid w:val="00266BC1"/>
    <w:rsid w:val="00271E52"/>
    <w:rsid w:val="0027362F"/>
    <w:rsid w:val="00275264"/>
    <w:rsid w:val="00275401"/>
    <w:rsid w:val="0028664C"/>
    <w:rsid w:val="002A3F3E"/>
    <w:rsid w:val="002A7894"/>
    <w:rsid w:val="002B1BE4"/>
    <w:rsid w:val="002B22F5"/>
    <w:rsid w:val="002C6C21"/>
    <w:rsid w:val="002D6FDA"/>
    <w:rsid w:val="002E1706"/>
    <w:rsid w:val="002F0329"/>
    <w:rsid w:val="002F497E"/>
    <w:rsid w:val="00300CCA"/>
    <w:rsid w:val="00307FB5"/>
    <w:rsid w:val="003119E9"/>
    <w:rsid w:val="00331B7A"/>
    <w:rsid w:val="0035484D"/>
    <w:rsid w:val="00360813"/>
    <w:rsid w:val="00375368"/>
    <w:rsid w:val="003757FC"/>
    <w:rsid w:val="003A360D"/>
    <w:rsid w:val="003B49A1"/>
    <w:rsid w:val="003B5817"/>
    <w:rsid w:val="003B59AF"/>
    <w:rsid w:val="003B6EA9"/>
    <w:rsid w:val="003C06A1"/>
    <w:rsid w:val="003E0ED9"/>
    <w:rsid w:val="003E18EF"/>
    <w:rsid w:val="003E1A0D"/>
    <w:rsid w:val="003F2873"/>
    <w:rsid w:val="003F4DA3"/>
    <w:rsid w:val="0040361C"/>
    <w:rsid w:val="0042508A"/>
    <w:rsid w:val="004273B2"/>
    <w:rsid w:val="004372DE"/>
    <w:rsid w:val="00443393"/>
    <w:rsid w:val="004459DB"/>
    <w:rsid w:val="004543D7"/>
    <w:rsid w:val="00463E9E"/>
    <w:rsid w:val="00467357"/>
    <w:rsid w:val="00474B15"/>
    <w:rsid w:val="004A418F"/>
    <w:rsid w:val="004B7D83"/>
    <w:rsid w:val="004C444E"/>
    <w:rsid w:val="004C540E"/>
    <w:rsid w:val="004C5E72"/>
    <w:rsid w:val="004C7608"/>
    <w:rsid w:val="004D3279"/>
    <w:rsid w:val="004D5236"/>
    <w:rsid w:val="004E14A1"/>
    <w:rsid w:val="004E34C9"/>
    <w:rsid w:val="004E36EF"/>
    <w:rsid w:val="004F6B3C"/>
    <w:rsid w:val="005039A7"/>
    <w:rsid w:val="00522F3B"/>
    <w:rsid w:val="00552AAC"/>
    <w:rsid w:val="00555025"/>
    <w:rsid w:val="00582895"/>
    <w:rsid w:val="005B08C9"/>
    <w:rsid w:val="005C1F88"/>
    <w:rsid w:val="005C56CB"/>
    <w:rsid w:val="005C6C57"/>
    <w:rsid w:val="005D191E"/>
    <w:rsid w:val="005E1E10"/>
    <w:rsid w:val="005F257C"/>
    <w:rsid w:val="006033EC"/>
    <w:rsid w:val="006075AA"/>
    <w:rsid w:val="00622A72"/>
    <w:rsid w:val="00624F11"/>
    <w:rsid w:val="00647EB3"/>
    <w:rsid w:val="00675628"/>
    <w:rsid w:val="006850B0"/>
    <w:rsid w:val="00685C05"/>
    <w:rsid w:val="006964BD"/>
    <w:rsid w:val="006A110F"/>
    <w:rsid w:val="006C77F1"/>
    <w:rsid w:val="006E106D"/>
    <w:rsid w:val="006E1928"/>
    <w:rsid w:val="006F120C"/>
    <w:rsid w:val="00717AAB"/>
    <w:rsid w:val="00721BD3"/>
    <w:rsid w:val="00762250"/>
    <w:rsid w:val="0076790E"/>
    <w:rsid w:val="0077668D"/>
    <w:rsid w:val="0078034D"/>
    <w:rsid w:val="00781E6B"/>
    <w:rsid w:val="0079246E"/>
    <w:rsid w:val="007A6DB9"/>
    <w:rsid w:val="007B2EFE"/>
    <w:rsid w:val="007B33F0"/>
    <w:rsid w:val="007D7BB6"/>
    <w:rsid w:val="007E04F8"/>
    <w:rsid w:val="007E30D3"/>
    <w:rsid w:val="007F205F"/>
    <w:rsid w:val="007F6E0B"/>
    <w:rsid w:val="00806F0F"/>
    <w:rsid w:val="00810043"/>
    <w:rsid w:val="008275E3"/>
    <w:rsid w:val="008307D9"/>
    <w:rsid w:val="00837735"/>
    <w:rsid w:val="008411A0"/>
    <w:rsid w:val="00855ECF"/>
    <w:rsid w:val="00863BB2"/>
    <w:rsid w:val="00880F92"/>
    <w:rsid w:val="008A7D62"/>
    <w:rsid w:val="008C0E06"/>
    <w:rsid w:val="008D0F5F"/>
    <w:rsid w:val="008D3012"/>
    <w:rsid w:val="008D64A9"/>
    <w:rsid w:val="008D7A39"/>
    <w:rsid w:val="008F2986"/>
    <w:rsid w:val="008F53B9"/>
    <w:rsid w:val="00904F0F"/>
    <w:rsid w:val="00913113"/>
    <w:rsid w:val="00916263"/>
    <w:rsid w:val="00940C78"/>
    <w:rsid w:val="00944303"/>
    <w:rsid w:val="00945D8A"/>
    <w:rsid w:val="009527D0"/>
    <w:rsid w:val="009532E3"/>
    <w:rsid w:val="00960217"/>
    <w:rsid w:val="00960CF1"/>
    <w:rsid w:val="009656EB"/>
    <w:rsid w:val="009A7803"/>
    <w:rsid w:val="009B68B0"/>
    <w:rsid w:val="009C2B48"/>
    <w:rsid w:val="009D2D8A"/>
    <w:rsid w:val="009D33C7"/>
    <w:rsid w:val="009E7D9D"/>
    <w:rsid w:val="00A145A5"/>
    <w:rsid w:val="00A17B12"/>
    <w:rsid w:val="00A21FAA"/>
    <w:rsid w:val="00A27FE5"/>
    <w:rsid w:val="00A46E49"/>
    <w:rsid w:val="00A52FF5"/>
    <w:rsid w:val="00A650B1"/>
    <w:rsid w:val="00A75286"/>
    <w:rsid w:val="00A972C1"/>
    <w:rsid w:val="00AA5208"/>
    <w:rsid w:val="00AB411A"/>
    <w:rsid w:val="00AD16CA"/>
    <w:rsid w:val="00AD3546"/>
    <w:rsid w:val="00AD4A71"/>
    <w:rsid w:val="00AD75DF"/>
    <w:rsid w:val="00AE4112"/>
    <w:rsid w:val="00AF1565"/>
    <w:rsid w:val="00AF2366"/>
    <w:rsid w:val="00B32756"/>
    <w:rsid w:val="00B437EA"/>
    <w:rsid w:val="00B46D6C"/>
    <w:rsid w:val="00B73807"/>
    <w:rsid w:val="00B758B2"/>
    <w:rsid w:val="00B90050"/>
    <w:rsid w:val="00B92023"/>
    <w:rsid w:val="00B94BAB"/>
    <w:rsid w:val="00BA46F8"/>
    <w:rsid w:val="00BB3A57"/>
    <w:rsid w:val="00BB75CF"/>
    <w:rsid w:val="00BC4280"/>
    <w:rsid w:val="00BD4A93"/>
    <w:rsid w:val="00BF4D80"/>
    <w:rsid w:val="00C25429"/>
    <w:rsid w:val="00C50129"/>
    <w:rsid w:val="00C509F2"/>
    <w:rsid w:val="00C56755"/>
    <w:rsid w:val="00C63769"/>
    <w:rsid w:val="00C9287B"/>
    <w:rsid w:val="00C928D7"/>
    <w:rsid w:val="00C96AA5"/>
    <w:rsid w:val="00C97053"/>
    <w:rsid w:val="00CC4697"/>
    <w:rsid w:val="00CC73BD"/>
    <w:rsid w:val="00CC7A34"/>
    <w:rsid w:val="00CD39A1"/>
    <w:rsid w:val="00CE6A8E"/>
    <w:rsid w:val="00D079D7"/>
    <w:rsid w:val="00D158A7"/>
    <w:rsid w:val="00D214B5"/>
    <w:rsid w:val="00D242C9"/>
    <w:rsid w:val="00D56758"/>
    <w:rsid w:val="00D6468D"/>
    <w:rsid w:val="00D73A7A"/>
    <w:rsid w:val="00D97BCF"/>
    <w:rsid w:val="00DA3405"/>
    <w:rsid w:val="00DA678D"/>
    <w:rsid w:val="00DB6512"/>
    <w:rsid w:val="00DD1104"/>
    <w:rsid w:val="00DE05DD"/>
    <w:rsid w:val="00E035B6"/>
    <w:rsid w:val="00E0636F"/>
    <w:rsid w:val="00E06DE2"/>
    <w:rsid w:val="00E22F82"/>
    <w:rsid w:val="00E3411F"/>
    <w:rsid w:val="00E3517E"/>
    <w:rsid w:val="00E442BA"/>
    <w:rsid w:val="00E4466F"/>
    <w:rsid w:val="00E47B7F"/>
    <w:rsid w:val="00E61002"/>
    <w:rsid w:val="00E824C2"/>
    <w:rsid w:val="00E84E68"/>
    <w:rsid w:val="00E873EE"/>
    <w:rsid w:val="00E93026"/>
    <w:rsid w:val="00EA6817"/>
    <w:rsid w:val="00EB728B"/>
    <w:rsid w:val="00EB79A9"/>
    <w:rsid w:val="00EC4AAC"/>
    <w:rsid w:val="00ED3915"/>
    <w:rsid w:val="00EE2418"/>
    <w:rsid w:val="00EE49A2"/>
    <w:rsid w:val="00EE7755"/>
    <w:rsid w:val="00F00A10"/>
    <w:rsid w:val="00F00BE7"/>
    <w:rsid w:val="00F062D5"/>
    <w:rsid w:val="00F22068"/>
    <w:rsid w:val="00F234F1"/>
    <w:rsid w:val="00F32327"/>
    <w:rsid w:val="00F55E36"/>
    <w:rsid w:val="00F772EA"/>
    <w:rsid w:val="00F92B63"/>
    <w:rsid w:val="00FA0219"/>
    <w:rsid w:val="00FA1F7A"/>
    <w:rsid w:val="00FA4501"/>
    <w:rsid w:val="00FC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7FC85"/>
  <w15:chartTrackingRefBased/>
  <w15:docId w15:val="{53EB9F38-F55D-634E-AA2B-E9598B18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60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D158A7"/>
  </w:style>
  <w:style w:type="paragraph" w:styleId="a4">
    <w:name w:val="No Spacing"/>
    <w:uiPriority w:val="1"/>
    <w:qFormat/>
    <w:rsid w:val="003A360D"/>
    <w:pPr>
      <w:widowControl w:val="0"/>
      <w:jc w:val="both"/>
    </w:pPr>
    <w:rPr>
      <w:szCs w:val="22"/>
      <w:lang w:val="en-GB"/>
    </w:rPr>
  </w:style>
  <w:style w:type="paragraph" w:styleId="a5">
    <w:name w:val="List Paragraph"/>
    <w:basedOn w:val="a"/>
    <w:uiPriority w:val="34"/>
    <w:qFormat/>
    <w:rsid w:val="003A360D"/>
    <w:pPr>
      <w:ind w:firstLineChars="200" w:firstLine="420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黄如林</dc:creator>
  <cp:keywords/>
  <dc:description/>
  <cp:lastModifiedBy>黄如林</cp:lastModifiedBy>
  <cp:revision>2</cp:revision>
  <dcterms:created xsi:type="dcterms:W3CDTF">2024-09-01T08:29:00Z</dcterms:created>
  <dcterms:modified xsi:type="dcterms:W3CDTF">2024-09-01T08:30:00Z</dcterms:modified>
</cp:coreProperties>
</file>