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PlainTable51"/>
        <w:tblW w:w="9781" w:type="dxa"/>
        <w:tblLayout w:type="fixed"/>
        <w:tblLook w:val="04A0" w:firstRow="1" w:lastRow="0" w:firstColumn="1" w:lastColumn="0" w:noHBand="0" w:noVBand="1"/>
      </w:tblPr>
      <w:tblGrid>
        <w:gridCol w:w="3261"/>
        <w:gridCol w:w="1842"/>
        <w:gridCol w:w="1843"/>
        <w:gridCol w:w="1559"/>
        <w:gridCol w:w="1276"/>
      </w:tblGrid>
      <w:tr w:rsidR="00C7572B" w:rsidRPr="00CE3115" w14:paraId="7E60F948" w14:textId="77777777" w:rsidTr="00C7572B">
        <w:trPr>
          <w:cnfStyle w:val="100000000000" w:firstRow="1" w:lastRow="0" w:firstColumn="0" w:lastColumn="0" w:oddVBand="0" w:evenVBand="0" w:oddHBand="0" w:evenHBand="0" w:firstRowFirstColumn="0" w:firstRowLastColumn="0" w:lastRowFirstColumn="0" w:lastRowLastColumn="0"/>
          <w:trHeight w:val="598"/>
        </w:trPr>
        <w:tc>
          <w:tcPr>
            <w:cnfStyle w:val="001000000100" w:firstRow="0" w:lastRow="0" w:firstColumn="1" w:lastColumn="0" w:oddVBand="0" w:evenVBand="0" w:oddHBand="0" w:evenHBand="0" w:firstRowFirstColumn="1" w:firstRowLastColumn="0" w:lastRowFirstColumn="0" w:lastRowLastColumn="0"/>
            <w:tcW w:w="3261" w:type="dxa"/>
            <w:tcBorders>
              <w:top w:val="single" w:sz="4" w:space="0" w:color="auto"/>
              <w:bottom w:val="single" w:sz="4" w:space="0" w:color="auto"/>
            </w:tcBorders>
            <w:shd w:val="clear" w:color="auto" w:fill="E7E6E6" w:themeFill="background2"/>
            <w:noWrap/>
            <w:hideMark/>
          </w:tcPr>
          <w:p w14:paraId="6CAAF538" w14:textId="77777777" w:rsidR="00C7572B" w:rsidRPr="00DC6C09" w:rsidRDefault="00C7572B" w:rsidP="00A06181">
            <w:pPr>
              <w:jc w:val="left"/>
              <w:rPr>
                <w:rFonts w:ascii="Arial" w:hAnsi="Arial" w:cs="Arial"/>
                <w:color w:val="000000" w:themeColor="text1"/>
                <w:sz w:val="20"/>
                <w:szCs w:val="20"/>
                <w:lang w:eastAsia="de-DE"/>
              </w:rPr>
            </w:pPr>
          </w:p>
        </w:tc>
        <w:tc>
          <w:tcPr>
            <w:tcW w:w="1842" w:type="dxa"/>
            <w:tcBorders>
              <w:top w:val="single" w:sz="4" w:space="0" w:color="auto"/>
              <w:bottom w:val="single" w:sz="4" w:space="0" w:color="auto"/>
            </w:tcBorders>
            <w:shd w:val="clear" w:color="auto" w:fill="E7E6E6" w:themeFill="background2"/>
            <w:noWrap/>
            <w:vAlign w:val="center"/>
            <w:hideMark/>
          </w:tcPr>
          <w:p w14:paraId="758E52E3" w14:textId="77777777" w:rsidR="00C7572B" w:rsidRPr="00DC6C09" w:rsidRDefault="00C7572B" w:rsidP="00A06181">
            <w:pPr>
              <w:jc w:val="center"/>
              <w:cnfStyle w:val="100000000000" w:firstRow="1" w:lastRow="0" w:firstColumn="0" w:lastColumn="0" w:oddVBand="0" w:evenVBand="0" w:oddHBand="0" w:evenHBand="0" w:firstRowFirstColumn="0" w:firstRowLastColumn="0" w:lastRowFirstColumn="0" w:lastRowLastColumn="0"/>
              <w:rPr>
                <w:rFonts w:ascii="Arial" w:hAnsi="Arial" w:cs="Arial"/>
                <w:b/>
                <w:bCs/>
                <w:i w:val="0"/>
                <w:iCs w:val="0"/>
                <w:color w:val="000000" w:themeColor="text1"/>
                <w:sz w:val="20"/>
                <w:szCs w:val="20"/>
                <w:lang w:eastAsia="de-DE"/>
              </w:rPr>
            </w:pPr>
            <w:r w:rsidRPr="00CE3115">
              <w:rPr>
                <w:rFonts w:ascii="Arial" w:hAnsi="Arial" w:cs="Arial"/>
                <w:b/>
                <w:bCs/>
                <w:color w:val="000000" w:themeColor="text1"/>
                <w:sz w:val="20"/>
                <w:szCs w:val="20"/>
                <w:lang w:eastAsia="de-DE"/>
              </w:rPr>
              <w:t>Progression</w:t>
            </w:r>
            <w:r w:rsidRPr="00DC6C09">
              <w:rPr>
                <w:rFonts w:ascii="Arial" w:hAnsi="Arial" w:cs="Arial"/>
                <w:b/>
                <w:bCs/>
                <w:color w:val="000000" w:themeColor="text1"/>
                <w:sz w:val="20"/>
                <w:szCs w:val="20"/>
                <w:lang w:eastAsia="de-DE"/>
              </w:rPr>
              <w:t xml:space="preserve"> to T2DM or PD (n=19)</w:t>
            </w:r>
          </w:p>
        </w:tc>
        <w:tc>
          <w:tcPr>
            <w:tcW w:w="1843" w:type="dxa"/>
            <w:tcBorders>
              <w:top w:val="single" w:sz="4" w:space="0" w:color="auto"/>
              <w:bottom w:val="single" w:sz="4" w:space="0" w:color="auto"/>
            </w:tcBorders>
            <w:shd w:val="clear" w:color="auto" w:fill="E7E6E6" w:themeFill="background2"/>
            <w:noWrap/>
            <w:vAlign w:val="center"/>
            <w:hideMark/>
          </w:tcPr>
          <w:p w14:paraId="700EBDE1" w14:textId="77777777" w:rsidR="00C7572B" w:rsidRPr="00DC6C09" w:rsidRDefault="00C7572B" w:rsidP="00A06181">
            <w:pPr>
              <w:jc w:val="center"/>
              <w:cnfStyle w:val="100000000000" w:firstRow="1" w:lastRow="0" w:firstColumn="0" w:lastColumn="0" w:oddVBand="0" w:evenVBand="0" w:oddHBand="0" w:evenHBand="0" w:firstRowFirstColumn="0" w:firstRowLastColumn="0" w:lastRowFirstColumn="0" w:lastRowLastColumn="0"/>
              <w:rPr>
                <w:rFonts w:ascii="Arial" w:hAnsi="Arial" w:cs="Arial"/>
                <w:b/>
                <w:bCs/>
                <w:i w:val="0"/>
                <w:iCs w:val="0"/>
                <w:color w:val="000000" w:themeColor="text1"/>
                <w:sz w:val="20"/>
                <w:szCs w:val="20"/>
                <w:lang w:eastAsia="de-DE"/>
              </w:rPr>
            </w:pPr>
            <w:r w:rsidRPr="00DC6C09">
              <w:rPr>
                <w:rFonts w:ascii="Arial" w:hAnsi="Arial" w:cs="Arial"/>
                <w:b/>
                <w:bCs/>
                <w:color w:val="000000" w:themeColor="text1"/>
                <w:sz w:val="20"/>
                <w:szCs w:val="20"/>
                <w:lang w:eastAsia="de-DE"/>
              </w:rPr>
              <w:t>Stable GM (n=67)</w:t>
            </w:r>
          </w:p>
        </w:tc>
        <w:tc>
          <w:tcPr>
            <w:tcW w:w="1559" w:type="dxa"/>
            <w:tcBorders>
              <w:top w:val="single" w:sz="4" w:space="0" w:color="auto"/>
              <w:bottom w:val="single" w:sz="4" w:space="0" w:color="auto"/>
            </w:tcBorders>
            <w:shd w:val="clear" w:color="auto" w:fill="E7E6E6" w:themeFill="background2"/>
            <w:noWrap/>
            <w:vAlign w:val="center"/>
            <w:hideMark/>
          </w:tcPr>
          <w:p w14:paraId="009764D7" w14:textId="77777777" w:rsidR="00C7572B" w:rsidRPr="00DC6C09" w:rsidRDefault="00C7572B" w:rsidP="00A06181">
            <w:pPr>
              <w:jc w:val="center"/>
              <w:cnfStyle w:val="100000000000" w:firstRow="1" w:lastRow="0" w:firstColumn="0" w:lastColumn="0" w:oddVBand="0" w:evenVBand="0" w:oddHBand="0" w:evenHBand="0" w:firstRowFirstColumn="0" w:firstRowLastColumn="0" w:lastRowFirstColumn="0" w:lastRowLastColumn="0"/>
              <w:rPr>
                <w:rFonts w:ascii="Arial" w:hAnsi="Arial" w:cs="Arial"/>
                <w:b/>
                <w:bCs/>
                <w:color w:val="000000" w:themeColor="text1"/>
                <w:sz w:val="20"/>
                <w:szCs w:val="20"/>
                <w:lang w:eastAsia="de-DE"/>
              </w:rPr>
            </w:pPr>
            <w:r w:rsidRPr="00DC6C09">
              <w:rPr>
                <w:rFonts w:ascii="Arial" w:hAnsi="Arial" w:cs="Arial"/>
                <w:b/>
                <w:bCs/>
                <w:color w:val="000000" w:themeColor="text1"/>
                <w:sz w:val="20"/>
                <w:szCs w:val="20"/>
                <w:lang w:eastAsia="de-DE"/>
              </w:rPr>
              <w:t>Improved GM (n=16)</w:t>
            </w:r>
          </w:p>
        </w:tc>
        <w:tc>
          <w:tcPr>
            <w:tcW w:w="1276" w:type="dxa"/>
            <w:tcBorders>
              <w:top w:val="single" w:sz="4" w:space="0" w:color="auto"/>
              <w:bottom w:val="single" w:sz="4" w:space="0" w:color="auto"/>
            </w:tcBorders>
            <w:shd w:val="clear" w:color="auto" w:fill="E7E6E6" w:themeFill="background2"/>
            <w:vAlign w:val="center"/>
          </w:tcPr>
          <w:p w14:paraId="4B044892" w14:textId="77777777" w:rsidR="00C7572B" w:rsidRPr="00DC6C09" w:rsidRDefault="00C7572B" w:rsidP="00A06181">
            <w:pPr>
              <w:ind w:right="1954"/>
              <w:jc w:val="center"/>
              <w:cnfStyle w:val="100000000000" w:firstRow="1" w:lastRow="0" w:firstColumn="0" w:lastColumn="0" w:oddVBand="0" w:evenVBand="0" w:oddHBand="0" w:evenHBand="0" w:firstRowFirstColumn="0" w:firstRowLastColumn="0" w:lastRowFirstColumn="0" w:lastRowLastColumn="0"/>
              <w:rPr>
                <w:rFonts w:ascii="Arial" w:hAnsi="Arial" w:cs="Arial"/>
                <w:b/>
                <w:bCs/>
                <w:i w:val="0"/>
                <w:iCs w:val="0"/>
                <w:color w:val="000000" w:themeColor="text1"/>
                <w:sz w:val="20"/>
                <w:szCs w:val="20"/>
                <w:lang w:eastAsia="de-DE"/>
              </w:rPr>
            </w:pPr>
            <w:r w:rsidRPr="00DC6C09">
              <w:rPr>
                <w:rFonts w:ascii="Arial" w:hAnsi="Arial" w:cs="Arial"/>
                <w:b/>
                <w:bCs/>
                <w:color w:val="000000" w:themeColor="text1"/>
                <w:sz w:val="20"/>
                <w:szCs w:val="20"/>
                <w:lang w:eastAsia="de-DE"/>
              </w:rPr>
              <w:t>p</w:t>
            </w:r>
          </w:p>
        </w:tc>
      </w:tr>
      <w:tr w:rsidR="00C7572B" w:rsidRPr="00CE3115" w14:paraId="7A2119D2" w14:textId="77777777" w:rsidTr="00A06181">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auto"/>
              <w:right w:val="single" w:sz="4" w:space="0" w:color="auto"/>
            </w:tcBorders>
            <w:shd w:val="clear" w:color="auto" w:fill="auto"/>
            <w:noWrap/>
            <w:hideMark/>
          </w:tcPr>
          <w:p w14:paraId="69482834" w14:textId="77777777" w:rsidR="00C7572B" w:rsidRPr="00DC6C09" w:rsidRDefault="00C7572B" w:rsidP="00A06181">
            <w:pPr>
              <w:jc w:val="left"/>
              <w:rPr>
                <w:rFonts w:ascii="Arial" w:hAnsi="Arial" w:cs="Arial"/>
                <w:i w:val="0"/>
                <w:iCs w:val="0"/>
                <w:color w:val="000000" w:themeColor="text1"/>
                <w:sz w:val="20"/>
                <w:szCs w:val="20"/>
                <w:lang w:eastAsia="de-DE"/>
              </w:rPr>
            </w:pPr>
            <w:r w:rsidRPr="00DC6C09">
              <w:rPr>
                <w:rFonts w:ascii="Arial" w:hAnsi="Arial" w:cs="Arial"/>
                <w:color w:val="000000" w:themeColor="text1"/>
                <w:sz w:val="20"/>
                <w:szCs w:val="20"/>
                <w:lang w:eastAsia="de-DE"/>
              </w:rPr>
              <w:t>Sex, female, n (%)</w:t>
            </w:r>
          </w:p>
        </w:tc>
        <w:tc>
          <w:tcPr>
            <w:tcW w:w="1842" w:type="dxa"/>
            <w:tcBorders>
              <w:top w:val="single" w:sz="4" w:space="0" w:color="auto"/>
              <w:left w:val="single" w:sz="4" w:space="0" w:color="auto"/>
              <w:right w:val="single" w:sz="4" w:space="0" w:color="auto"/>
            </w:tcBorders>
            <w:shd w:val="clear" w:color="auto" w:fill="auto"/>
            <w:noWrap/>
            <w:hideMark/>
          </w:tcPr>
          <w:p w14:paraId="103B4635"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7 (36.8%)</w:t>
            </w:r>
          </w:p>
        </w:tc>
        <w:tc>
          <w:tcPr>
            <w:tcW w:w="1843" w:type="dxa"/>
            <w:tcBorders>
              <w:top w:val="single" w:sz="4" w:space="0" w:color="auto"/>
              <w:left w:val="single" w:sz="4" w:space="0" w:color="auto"/>
              <w:right w:val="single" w:sz="4" w:space="0" w:color="auto"/>
            </w:tcBorders>
            <w:shd w:val="clear" w:color="auto" w:fill="auto"/>
            <w:noWrap/>
            <w:hideMark/>
          </w:tcPr>
          <w:p w14:paraId="4D0127A2"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19 (28.4%)</w:t>
            </w:r>
          </w:p>
        </w:tc>
        <w:tc>
          <w:tcPr>
            <w:tcW w:w="1559" w:type="dxa"/>
            <w:tcBorders>
              <w:top w:val="single" w:sz="4" w:space="0" w:color="auto"/>
              <w:left w:val="single" w:sz="4" w:space="0" w:color="auto"/>
              <w:right w:val="single" w:sz="4" w:space="0" w:color="auto"/>
            </w:tcBorders>
            <w:shd w:val="clear" w:color="auto" w:fill="auto"/>
            <w:noWrap/>
            <w:hideMark/>
          </w:tcPr>
          <w:p w14:paraId="405A5D86"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2 (12.5%)</w:t>
            </w:r>
          </w:p>
        </w:tc>
        <w:tc>
          <w:tcPr>
            <w:tcW w:w="1276" w:type="dxa"/>
            <w:tcBorders>
              <w:top w:val="single" w:sz="4" w:space="0" w:color="auto"/>
              <w:left w:val="single" w:sz="4" w:space="0" w:color="auto"/>
            </w:tcBorders>
            <w:shd w:val="clear" w:color="auto" w:fill="auto"/>
            <w:noWrap/>
            <w:hideMark/>
          </w:tcPr>
          <w:p w14:paraId="65C2B831" w14:textId="77777777" w:rsidR="00C7572B" w:rsidRPr="00DC6C09" w:rsidRDefault="00C7572B" w:rsidP="00A0618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p= 0.26</w:t>
            </w:r>
          </w:p>
        </w:tc>
      </w:tr>
      <w:tr w:rsidR="00C7572B" w:rsidRPr="00CE3115" w14:paraId="09DCE950" w14:textId="77777777" w:rsidTr="00A06181">
        <w:trPr>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tcPr>
          <w:p w14:paraId="62E88E50" w14:textId="77777777" w:rsidR="00C7572B" w:rsidRPr="00DC6C09" w:rsidRDefault="00C7572B" w:rsidP="00A06181">
            <w:pPr>
              <w:autoSpaceDE w:val="0"/>
              <w:autoSpaceDN w:val="0"/>
              <w:adjustRightInd w:val="0"/>
              <w:spacing w:line="320" w:lineRule="atLeast"/>
              <w:ind w:right="60"/>
              <w:jc w:val="left"/>
              <w:rPr>
                <w:rFonts w:ascii="Arial" w:hAnsi="Arial" w:cs="Arial"/>
                <w:i w:val="0"/>
                <w:iCs w:val="0"/>
                <w:color w:val="000000" w:themeColor="text1"/>
                <w:sz w:val="20"/>
                <w:szCs w:val="20"/>
              </w:rPr>
            </w:pPr>
            <w:r w:rsidRPr="00DC6C09">
              <w:rPr>
                <w:rFonts w:ascii="Arial" w:hAnsi="Arial" w:cs="Arial"/>
                <w:color w:val="000000" w:themeColor="text1"/>
                <w:sz w:val="20"/>
                <w:szCs w:val="20"/>
              </w:rPr>
              <w:t>Age, mean (SD)</w:t>
            </w:r>
          </w:p>
        </w:tc>
        <w:tc>
          <w:tcPr>
            <w:tcW w:w="1842" w:type="dxa"/>
            <w:tcBorders>
              <w:left w:val="single" w:sz="4" w:space="0" w:color="auto"/>
              <w:right w:val="single" w:sz="4" w:space="0" w:color="auto"/>
            </w:tcBorders>
            <w:shd w:val="clear" w:color="auto" w:fill="auto"/>
            <w:noWrap/>
          </w:tcPr>
          <w:p w14:paraId="0EA88B2D" w14:textId="77777777" w:rsidR="00C7572B" w:rsidRPr="00DC6C09" w:rsidRDefault="00C7572B" w:rsidP="00A06181">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60.4 (12</w:t>
            </w:r>
            <w:r>
              <w:rPr>
                <w:rFonts w:ascii="Arial" w:hAnsi="Arial" w:cs="Arial"/>
                <w:color w:val="000000" w:themeColor="text1"/>
                <w:sz w:val="20"/>
                <w:szCs w:val="20"/>
              </w:rPr>
              <w:t>.</w:t>
            </w:r>
            <w:r w:rsidRPr="00DC6C09">
              <w:rPr>
                <w:rFonts w:ascii="Arial" w:hAnsi="Arial" w:cs="Arial"/>
                <w:color w:val="000000" w:themeColor="text1"/>
                <w:sz w:val="20"/>
                <w:szCs w:val="20"/>
              </w:rPr>
              <w:t>1)</w:t>
            </w:r>
          </w:p>
        </w:tc>
        <w:tc>
          <w:tcPr>
            <w:tcW w:w="1843" w:type="dxa"/>
            <w:tcBorders>
              <w:left w:val="single" w:sz="4" w:space="0" w:color="auto"/>
              <w:right w:val="single" w:sz="4" w:space="0" w:color="auto"/>
            </w:tcBorders>
            <w:shd w:val="clear" w:color="auto" w:fill="auto"/>
            <w:noWrap/>
          </w:tcPr>
          <w:p w14:paraId="72EFF757" w14:textId="77777777" w:rsidR="00C7572B" w:rsidRPr="00DC6C09" w:rsidRDefault="00C7572B" w:rsidP="00A06181">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61.8 (9.6)</w:t>
            </w:r>
          </w:p>
        </w:tc>
        <w:tc>
          <w:tcPr>
            <w:tcW w:w="1559" w:type="dxa"/>
            <w:tcBorders>
              <w:left w:val="single" w:sz="4" w:space="0" w:color="auto"/>
              <w:right w:val="single" w:sz="4" w:space="0" w:color="auto"/>
            </w:tcBorders>
            <w:shd w:val="clear" w:color="auto" w:fill="auto"/>
            <w:noWrap/>
          </w:tcPr>
          <w:p w14:paraId="7AF0B512" w14:textId="77777777" w:rsidR="00C7572B" w:rsidRPr="00DC6C09" w:rsidRDefault="00C7572B" w:rsidP="00A06181">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60.8 (7.9)</w:t>
            </w:r>
          </w:p>
        </w:tc>
        <w:tc>
          <w:tcPr>
            <w:tcW w:w="1276" w:type="dxa"/>
            <w:tcBorders>
              <w:left w:val="single" w:sz="4" w:space="0" w:color="auto"/>
            </w:tcBorders>
            <w:shd w:val="clear" w:color="auto" w:fill="auto"/>
            <w:noWrap/>
          </w:tcPr>
          <w:p w14:paraId="7F5F661A" w14:textId="77777777" w:rsidR="00C7572B" w:rsidRPr="00DC6C09" w:rsidRDefault="00C7572B" w:rsidP="00A06181">
            <w:pPr>
              <w:autoSpaceDE w:val="0"/>
              <w:autoSpaceDN w:val="0"/>
              <w:adjustRightInd w:val="0"/>
              <w:spacing w:line="320" w:lineRule="atLeast"/>
              <w:ind w:right="6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Pr>
                <w:rFonts w:ascii="Arial" w:hAnsi="Arial" w:cs="Arial"/>
                <w:color w:val="000000" w:themeColor="text1"/>
                <w:sz w:val="20"/>
                <w:szCs w:val="20"/>
              </w:rPr>
              <w:t>p = 0.778</w:t>
            </w:r>
          </w:p>
        </w:tc>
      </w:tr>
      <w:tr w:rsidR="00C7572B" w:rsidRPr="00CE3115" w14:paraId="74D2610C" w14:textId="77777777" w:rsidTr="00A0618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tcPr>
          <w:p w14:paraId="7AEF4AE5" w14:textId="77777777" w:rsidR="00C7572B" w:rsidRPr="00DC6C09" w:rsidRDefault="00C7572B" w:rsidP="00A06181">
            <w:pPr>
              <w:autoSpaceDE w:val="0"/>
              <w:autoSpaceDN w:val="0"/>
              <w:adjustRightInd w:val="0"/>
              <w:spacing w:line="320" w:lineRule="atLeast"/>
              <w:ind w:right="60"/>
              <w:jc w:val="left"/>
              <w:rPr>
                <w:rFonts w:ascii="Arial" w:hAnsi="Arial" w:cs="Arial"/>
                <w:i w:val="0"/>
                <w:iCs w:val="0"/>
                <w:color w:val="000000" w:themeColor="text1"/>
                <w:sz w:val="20"/>
                <w:szCs w:val="20"/>
              </w:rPr>
            </w:pPr>
            <w:r w:rsidRPr="00DC6C09">
              <w:rPr>
                <w:rFonts w:ascii="Arial" w:hAnsi="Arial" w:cs="Arial"/>
                <w:color w:val="000000" w:themeColor="text1"/>
                <w:sz w:val="20"/>
                <w:szCs w:val="20"/>
              </w:rPr>
              <w:t>BMI, mean (SD)</w:t>
            </w:r>
          </w:p>
        </w:tc>
        <w:tc>
          <w:tcPr>
            <w:tcW w:w="1842" w:type="dxa"/>
            <w:tcBorders>
              <w:left w:val="single" w:sz="4" w:space="0" w:color="auto"/>
              <w:right w:val="single" w:sz="4" w:space="0" w:color="auto"/>
            </w:tcBorders>
            <w:shd w:val="clear" w:color="auto" w:fill="auto"/>
            <w:noWrap/>
          </w:tcPr>
          <w:p w14:paraId="4919332B" w14:textId="77777777" w:rsidR="00C7572B" w:rsidRPr="00DC6C09" w:rsidRDefault="00C7572B" w:rsidP="00A06181">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27.</w:t>
            </w:r>
            <w:r>
              <w:rPr>
                <w:rFonts w:ascii="Arial" w:hAnsi="Arial" w:cs="Arial"/>
                <w:color w:val="000000" w:themeColor="text1"/>
                <w:sz w:val="20"/>
                <w:szCs w:val="20"/>
              </w:rPr>
              <w:t>2</w:t>
            </w:r>
            <w:r w:rsidRPr="00DC6C09">
              <w:rPr>
                <w:rFonts w:ascii="Arial" w:hAnsi="Arial" w:cs="Arial"/>
                <w:color w:val="000000" w:themeColor="text1"/>
                <w:sz w:val="20"/>
                <w:szCs w:val="20"/>
              </w:rPr>
              <w:t xml:space="preserve"> (4.1)</w:t>
            </w:r>
          </w:p>
        </w:tc>
        <w:tc>
          <w:tcPr>
            <w:tcW w:w="1843" w:type="dxa"/>
            <w:tcBorders>
              <w:left w:val="single" w:sz="4" w:space="0" w:color="auto"/>
              <w:right w:val="single" w:sz="4" w:space="0" w:color="auto"/>
            </w:tcBorders>
            <w:shd w:val="clear" w:color="auto" w:fill="auto"/>
            <w:noWrap/>
          </w:tcPr>
          <w:p w14:paraId="66CCDBC0" w14:textId="77777777" w:rsidR="00C7572B" w:rsidRPr="00DC6C09" w:rsidRDefault="00C7572B" w:rsidP="00A06181">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27.7 (4.1)</w:t>
            </w:r>
          </w:p>
        </w:tc>
        <w:tc>
          <w:tcPr>
            <w:tcW w:w="1559" w:type="dxa"/>
            <w:tcBorders>
              <w:left w:val="single" w:sz="4" w:space="0" w:color="auto"/>
              <w:right w:val="single" w:sz="4" w:space="0" w:color="auto"/>
            </w:tcBorders>
            <w:shd w:val="clear" w:color="auto" w:fill="auto"/>
            <w:noWrap/>
          </w:tcPr>
          <w:p w14:paraId="5C173A80" w14:textId="77777777" w:rsidR="00C7572B" w:rsidRPr="00DC6C09" w:rsidRDefault="00C7572B" w:rsidP="00A06181">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29.1 (3.5)</w:t>
            </w:r>
          </w:p>
        </w:tc>
        <w:tc>
          <w:tcPr>
            <w:tcW w:w="1276" w:type="dxa"/>
            <w:tcBorders>
              <w:left w:val="single" w:sz="4" w:space="0" w:color="auto"/>
            </w:tcBorders>
            <w:shd w:val="clear" w:color="auto" w:fill="auto"/>
            <w:noWrap/>
          </w:tcPr>
          <w:p w14:paraId="022C33F8" w14:textId="77777777" w:rsidR="00C7572B" w:rsidRPr="00DC6C09" w:rsidRDefault="00C7572B" w:rsidP="00A06181">
            <w:pPr>
              <w:autoSpaceDE w:val="0"/>
              <w:autoSpaceDN w:val="0"/>
              <w:adjustRightInd w:val="0"/>
              <w:spacing w:line="320" w:lineRule="atLeast"/>
              <w:ind w:right="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Pr>
                <w:rFonts w:ascii="Arial" w:hAnsi="Arial" w:cs="Arial"/>
                <w:color w:val="000000" w:themeColor="text1"/>
                <w:sz w:val="20"/>
                <w:szCs w:val="20"/>
              </w:rPr>
              <w:t>p = 0.441</w:t>
            </w:r>
          </w:p>
        </w:tc>
      </w:tr>
      <w:tr w:rsidR="00C7572B" w:rsidRPr="00CE3115" w14:paraId="78027986" w14:textId="77777777" w:rsidTr="00A06181">
        <w:trPr>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hideMark/>
          </w:tcPr>
          <w:p w14:paraId="45E1ECCB" w14:textId="77777777" w:rsidR="00C7572B" w:rsidRPr="00DC6C09" w:rsidRDefault="00C7572B" w:rsidP="00A06181">
            <w:pPr>
              <w:jc w:val="left"/>
              <w:rPr>
                <w:rFonts w:ascii="Arial" w:hAnsi="Arial" w:cs="Arial"/>
                <w:i w:val="0"/>
                <w:iCs w:val="0"/>
                <w:color w:val="000000" w:themeColor="text1"/>
                <w:sz w:val="20"/>
                <w:szCs w:val="20"/>
                <w:lang w:eastAsia="de-DE"/>
              </w:rPr>
            </w:pPr>
            <w:r w:rsidRPr="00DC6C09">
              <w:rPr>
                <w:rFonts w:ascii="Arial" w:hAnsi="Arial" w:cs="Arial"/>
                <w:color w:val="000000" w:themeColor="text1"/>
                <w:sz w:val="20"/>
                <w:szCs w:val="20"/>
                <w:lang w:eastAsia="de-DE"/>
              </w:rPr>
              <w:t>mRS before stroke=0, n (%)</w:t>
            </w:r>
          </w:p>
        </w:tc>
        <w:tc>
          <w:tcPr>
            <w:tcW w:w="1842" w:type="dxa"/>
            <w:tcBorders>
              <w:left w:val="single" w:sz="4" w:space="0" w:color="auto"/>
              <w:right w:val="single" w:sz="4" w:space="0" w:color="auto"/>
            </w:tcBorders>
            <w:shd w:val="clear" w:color="auto" w:fill="auto"/>
            <w:noWrap/>
            <w:hideMark/>
          </w:tcPr>
          <w:p w14:paraId="0745F3A7"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13 (81.3%)</w:t>
            </w:r>
          </w:p>
        </w:tc>
        <w:tc>
          <w:tcPr>
            <w:tcW w:w="1843" w:type="dxa"/>
            <w:tcBorders>
              <w:left w:val="single" w:sz="4" w:space="0" w:color="auto"/>
              <w:right w:val="single" w:sz="4" w:space="0" w:color="auto"/>
            </w:tcBorders>
            <w:shd w:val="clear" w:color="auto" w:fill="auto"/>
            <w:noWrap/>
            <w:hideMark/>
          </w:tcPr>
          <w:p w14:paraId="21A10139"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62 (95.4%)</w:t>
            </w:r>
          </w:p>
        </w:tc>
        <w:tc>
          <w:tcPr>
            <w:tcW w:w="1559" w:type="dxa"/>
            <w:tcBorders>
              <w:left w:val="single" w:sz="4" w:space="0" w:color="auto"/>
              <w:right w:val="single" w:sz="4" w:space="0" w:color="auto"/>
            </w:tcBorders>
            <w:shd w:val="clear" w:color="auto" w:fill="auto"/>
            <w:noWrap/>
            <w:hideMark/>
          </w:tcPr>
          <w:p w14:paraId="38B899FC"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16 (100%)</w:t>
            </w:r>
          </w:p>
        </w:tc>
        <w:tc>
          <w:tcPr>
            <w:tcW w:w="1276" w:type="dxa"/>
            <w:tcBorders>
              <w:left w:val="single" w:sz="4" w:space="0" w:color="auto"/>
            </w:tcBorders>
            <w:shd w:val="clear" w:color="auto" w:fill="auto"/>
            <w:noWrap/>
            <w:hideMark/>
          </w:tcPr>
          <w:p w14:paraId="1CF82DD1" w14:textId="77777777" w:rsidR="00C7572B" w:rsidRPr="00DC6C09" w:rsidRDefault="00C7572B" w:rsidP="00A0618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p = 0.006</w:t>
            </w:r>
          </w:p>
        </w:tc>
      </w:tr>
      <w:tr w:rsidR="00C7572B" w:rsidRPr="00CE3115" w14:paraId="7B9CA837" w14:textId="77777777" w:rsidTr="00A0618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tcPr>
          <w:p w14:paraId="11FCF847" w14:textId="77777777" w:rsidR="00C7572B" w:rsidRPr="00DC6C09" w:rsidRDefault="00C7572B" w:rsidP="00A06181">
            <w:pPr>
              <w:autoSpaceDE w:val="0"/>
              <w:autoSpaceDN w:val="0"/>
              <w:adjustRightInd w:val="0"/>
              <w:spacing w:line="320" w:lineRule="atLeast"/>
              <w:ind w:right="60"/>
              <w:jc w:val="left"/>
              <w:rPr>
                <w:rFonts w:ascii="Arial" w:hAnsi="Arial" w:cs="Arial"/>
                <w:i w:val="0"/>
                <w:iCs w:val="0"/>
                <w:color w:val="000000" w:themeColor="text1"/>
                <w:sz w:val="20"/>
                <w:szCs w:val="20"/>
                <w:lang w:val="en-US"/>
              </w:rPr>
            </w:pPr>
            <w:r w:rsidRPr="00DC6C09">
              <w:rPr>
                <w:rFonts w:ascii="Arial" w:hAnsi="Arial" w:cs="Arial"/>
                <w:color w:val="000000" w:themeColor="text1"/>
                <w:sz w:val="20"/>
                <w:szCs w:val="20"/>
                <w:lang w:val="en-US"/>
              </w:rPr>
              <w:t>NIHSS at admission, mean (SD)</w:t>
            </w:r>
          </w:p>
        </w:tc>
        <w:tc>
          <w:tcPr>
            <w:tcW w:w="1842" w:type="dxa"/>
            <w:tcBorders>
              <w:left w:val="single" w:sz="4" w:space="0" w:color="auto"/>
              <w:right w:val="single" w:sz="4" w:space="0" w:color="auto"/>
            </w:tcBorders>
            <w:shd w:val="clear" w:color="auto" w:fill="auto"/>
            <w:noWrap/>
          </w:tcPr>
          <w:p w14:paraId="30CD732B" w14:textId="77777777" w:rsidR="00C7572B" w:rsidRPr="00DC6C09" w:rsidRDefault="00C7572B" w:rsidP="00A06181">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0.8 (0.86)</w:t>
            </w:r>
          </w:p>
        </w:tc>
        <w:tc>
          <w:tcPr>
            <w:tcW w:w="1843" w:type="dxa"/>
            <w:tcBorders>
              <w:left w:val="single" w:sz="4" w:space="0" w:color="auto"/>
              <w:right w:val="single" w:sz="4" w:space="0" w:color="auto"/>
            </w:tcBorders>
            <w:shd w:val="clear" w:color="auto" w:fill="auto"/>
            <w:noWrap/>
          </w:tcPr>
          <w:p w14:paraId="54C7F503" w14:textId="77777777" w:rsidR="00C7572B" w:rsidRPr="00DC6C09" w:rsidRDefault="00C7572B" w:rsidP="00A06181">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1.7 (1.82)</w:t>
            </w:r>
          </w:p>
        </w:tc>
        <w:tc>
          <w:tcPr>
            <w:tcW w:w="1559" w:type="dxa"/>
            <w:tcBorders>
              <w:left w:val="single" w:sz="4" w:space="0" w:color="auto"/>
              <w:right w:val="single" w:sz="4" w:space="0" w:color="auto"/>
            </w:tcBorders>
            <w:shd w:val="clear" w:color="auto" w:fill="auto"/>
            <w:noWrap/>
          </w:tcPr>
          <w:p w14:paraId="160F5D5E" w14:textId="77777777" w:rsidR="00C7572B" w:rsidRPr="00DC6C09" w:rsidRDefault="00C7572B" w:rsidP="00A06181">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2.2 (2.1)</w:t>
            </w:r>
          </w:p>
        </w:tc>
        <w:tc>
          <w:tcPr>
            <w:tcW w:w="1276" w:type="dxa"/>
            <w:tcBorders>
              <w:left w:val="single" w:sz="4" w:space="0" w:color="auto"/>
            </w:tcBorders>
            <w:shd w:val="clear" w:color="auto" w:fill="auto"/>
            <w:noWrap/>
          </w:tcPr>
          <w:p w14:paraId="667D9A7D" w14:textId="77777777" w:rsidR="00C7572B" w:rsidRPr="00DC6C09" w:rsidRDefault="00C7572B" w:rsidP="00A06181">
            <w:pPr>
              <w:autoSpaceDE w:val="0"/>
              <w:autoSpaceDN w:val="0"/>
              <w:adjustRightInd w:val="0"/>
              <w:spacing w:line="320" w:lineRule="atLeast"/>
              <w:ind w:right="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Pr>
                <w:rFonts w:ascii="Arial" w:hAnsi="Arial" w:cs="Arial"/>
                <w:color w:val="000000" w:themeColor="text1"/>
                <w:sz w:val="20"/>
                <w:szCs w:val="20"/>
              </w:rPr>
              <w:t>p = 0.063</w:t>
            </w:r>
          </w:p>
        </w:tc>
      </w:tr>
      <w:tr w:rsidR="00C7572B" w:rsidRPr="00CE3115" w14:paraId="492C3032" w14:textId="77777777" w:rsidTr="00A06181">
        <w:trPr>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tcPr>
          <w:p w14:paraId="43EE3B05" w14:textId="77777777" w:rsidR="00C7572B" w:rsidRPr="00DC6C09" w:rsidRDefault="00C7572B" w:rsidP="00A06181">
            <w:pPr>
              <w:autoSpaceDE w:val="0"/>
              <w:autoSpaceDN w:val="0"/>
              <w:adjustRightInd w:val="0"/>
              <w:spacing w:line="320" w:lineRule="atLeast"/>
              <w:ind w:right="60"/>
              <w:jc w:val="left"/>
              <w:rPr>
                <w:rFonts w:ascii="Arial" w:hAnsi="Arial" w:cs="Arial"/>
                <w:i w:val="0"/>
                <w:iCs w:val="0"/>
                <w:color w:val="000000" w:themeColor="text1"/>
                <w:sz w:val="20"/>
                <w:szCs w:val="20"/>
              </w:rPr>
            </w:pPr>
            <w:r w:rsidRPr="00DC6C09">
              <w:rPr>
                <w:rFonts w:ascii="Arial" w:hAnsi="Arial" w:cs="Arial"/>
                <w:color w:val="000000" w:themeColor="text1"/>
                <w:sz w:val="20"/>
                <w:szCs w:val="20"/>
              </w:rPr>
              <w:t>MMSE Baseline, mean (SD)</w:t>
            </w:r>
          </w:p>
        </w:tc>
        <w:tc>
          <w:tcPr>
            <w:tcW w:w="1842" w:type="dxa"/>
            <w:tcBorders>
              <w:left w:val="single" w:sz="4" w:space="0" w:color="auto"/>
              <w:right w:val="single" w:sz="4" w:space="0" w:color="auto"/>
            </w:tcBorders>
            <w:shd w:val="clear" w:color="auto" w:fill="auto"/>
            <w:noWrap/>
          </w:tcPr>
          <w:p w14:paraId="255AFE2B" w14:textId="77777777" w:rsidR="00C7572B" w:rsidRPr="00DC6C09" w:rsidRDefault="00C7572B" w:rsidP="00A06181">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28.3 (2)</w:t>
            </w:r>
          </w:p>
        </w:tc>
        <w:tc>
          <w:tcPr>
            <w:tcW w:w="1843" w:type="dxa"/>
            <w:tcBorders>
              <w:left w:val="single" w:sz="4" w:space="0" w:color="auto"/>
              <w:right w:val="single" w:sz="4" w:space="0" w:color="auto"/>
            </w:tcBorders>
            <w:shd w:val="clear" w:color="auto" w:fill="auto"/>
            <w:noWrap/>
          </w:tcPr>
          <w:p w14:paraId="2ED578CF" w14:textId="77777777" w:rsidR="00C7572B" w:rsidRPr="00DC6C09" w:rsidRDefault="00C7572B" w:rsidP="00A06181">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28.9 (1.2)</w:t>
            </w:r>
          </w:p>
        </w:tc>
        <w:tc>
          <w:tcPr>
            <w:tcW w:w="1559" w:type="dxa"/>
            <w:tcBorders>
              <w:left w:val="single" w:sz="4" w:space="0" w:color="auto"/>
              <w:right w:val="single" w:sz="4" w:space="0" w:color="auto"/>
            </w:tcBorders>
            <w:shd w:val="clear" w:color="auto" w:fill="auto"/>
            <w:noWrap/>
          </w:tcPr>
          <w:p w14:paraId="4E887816" w14:textId="77777777" w:rsidR="00C7572B" w:rsidRPr="00DC6C09" w:rsidRDefault="00C7572B" w:rsidP="00A06181">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DC6C09">
              <w:rPr>
                <w:rFonts w:ascii="Arial" w:hAnsi="Arial" w:cs="Arial"/>
                <w:color w:val="000000" w:themeColor="text1"/>
                <w:sz w:val="20"/>
                <w:szCs w:val="20"/>
              </w:rPr>
              <w:t>28.6 (1.2)</w:t>
            </w:r>
          </w:p>
        </w:tc>
        <w:tc>
          <w:tcPr>
            <w:tcW w:w="1276" w:type="dxa"/>
            <w:tcBorders>
              <w:left w:val="single" w:sz="4" w:space="0" w:color="auto"/>
            </w:tcBorders>
            <w:shd w:val="clear" w:color="auto" w:fill="auto"/>
            <w:noWrap/>
          </w:tcPr>
          <w:p w14:paraId="6473CA7E" w14:textId="77777777" w:rsidR="00C7572B" w:rsidRPr="00DC6C09" w:rsidRDefault="00C7572B" w:rsidP="00A06181">
            <w:pPr>
              <w:autoSpaceDE w:val="0"/>
              <w:autoSpaceDN w:val="0"/>
              <w:adjustRightInd w:val="0"/>
              <w:spacing w:line="320" w:lineRule="atLeast"/>
              <w:ind w:right="6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Pr>
                <w:rFonts w:ascii="Arial" w:hAnsi="Arial" w:cs="Arial"/>
                <w:color w:val="000000" w:themeColor="text1"/>
                <w:sz w:val="20"/>
                <w:szCs w:val="20"/>
              </w:rPr>
              <w:t>P = 0.445</w:t>
            </w:r>
          </w:p>
        </w:tc>
      </w:tr>
      <w:tr w:rsidR="00C7572B" w:rsidRPr="00CE3115" w14:paraId="63DCA2E2" w14:textId="77777777" w:rsidTr="00A0618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hideMark/>
          </w:tcPr>
          <w:p w14:paraId="3F41C1A2" w14:textId="77777777" w:rsidR="00C7572B" w:rsidRPr="00DC6C09" w:rsidRDefault="00C7572B" w:rsidP="00A06181">
            <w:pPr>
              <w:jc w:val="left"/>
              <w:rPr>
                <w:rFonts w:ascii="Arial" w:hAnsi="Arial" w:cs="Arial"/>
                <w:i w:val="0"/>
                <w:iCs w:val="0"/>
                <w:color w:val="000000" w:themeColor="text1"/>
                <w:sz w:val="20"/>
                <w:szCs w:val="20"/>
                <w:lang w:eastAsia="de-DE"/>
              </w:rPr>
            </w:pPr>
            <w:r w:rsidRPr="00DC6C09">
              <w:rPr>
                <w:rFonts w:ascii="Arial" w:hAnsi="Arial" w:cs="Arial"/>
                <w:color w:val="000000" w:themeColor="text1"/>
                <w:sz w:val="20"/>
                <w:szCs w:val="20"/>
                <w:lang w:eastAsia="de-DE"/>
              </w:rPr>
              <w:t>Arterial Hypertension, n (%)</w:t>
            </w:r>
          </w:p>
        </w:tc>
        <w:tc>
          <w:tcPr>
            <w:tcW w:w="1842" w:type="dxa"/>
            <w:tcBorders>
              <w:left w:val="single" w:sz="4" w:space="0" w:color="auto"/>
              <w:right w:val="single" w:sz="4" w:space="0" w:color="auto"/>
            </w:tcBorders>
            <w:shd w:val="clear" w:color="auto" w:fill="auto"/>
            <w:noWrap/>
            <w:hideMark/>
          </w:tcPr>
          <w:p w14:paraId="58AE4B07"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15 (78.9%)</w:t>
            </w:r>
          </w:p>
        </w:tc>
        <w:tc>
          <w:tcPr>
            <w:tcW w:w="1843" w:type="dxa"/>
            <w:tcBorders>
              <w:left w:val="single" w:sz="4" w:space="0" w:color="auto"/>
              <w:right w:val="single" w:sz="4" w:space="0" w:color="auto"/>
            </w:tcBorders>
            <w:shd w:val="clear" w:color="auto" w:fill="auto"/>
            <w:noWrap/>
            <w:hideMark/>
          </w:tcPr>
          <w:p w14:paraId="318129F4"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53 (79.1%)</w:t>
            </w:r>
          </w:p>
        </w:tc>
        <w:tc>
          <w:tcPr>
            <w:tcW w:w="1559" w:type="dxa"/>
            <w:tcBorders>
              <w:left w:val="single" w:sz="4" w:space="0" w:color="auto"/>
              <w:right w:val="single" w:sz="4" w:space="0" w:color="auto"/>
            </w:tcBorders>
            <w:shd w:val="clear" w:color="auto" w:fill="auto"/>
            <w:noWrap/>
            <w:hideMark/>
          </w:tcPr>
          <w:p w14:paraId="43334A62"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10 (62.5%)</w:t>
            </w:r>
          </w:p>
        </w:tc>
        <w:tc>
          <w:tcPr>
            <w:tcW w:w="1276" w:type="dxa"/>
            <w:tcBorders>
              <w:left w:val="single" w:sz="4" w:space="0" w:color="auto"/>
            </w:tcBorders>
            <w:shd w:val="clear" w:color="auto" w:fill="auto"/>
            <w:noWrap/>
            <w:hideMark/>
          </w:tcPr>
          <w:p w14:paraId="21B97C27" w14:textId="77777777" w:rsidR="00C7572B" w:rsidRPr="00DC6C09" w:rsidRDefault="00C7572B" w:rsidP="00A0618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p = 0.42</w:t>
            </w:r>
          </w:p>
        </w:tc>
      </w:tr>
      <w:tr w:rsidR="00C7572B" w:rsidRPr="00CE3115" w14:paraId="0A757E88" w14:textId="77777777" w:rsidTr="00A06181">
        <w:trPr>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hideMark/>
          </w:tcPr>
          <w:p w14:paraId="22619337" w14:textId="77777777" w:rsidR="00C7572B" w:rsidRPr="00DC6C09" w:rsidRDefault="00C7572B" w:rsidP="00A06181">
            <w:pPr>
              <w:jc w:val="left"/>
              <w:rPr>
                <w:rFonts w:ascii="Arial" w:hAnsi="Arial" w:cs="Arial"/>
                <w:i w:val="0"/>
                <w:iCs w:val="0"/>
                <w:color w:val="000000" w:themeColor="text1"/>
                <w:sz w:val="20"/>
                <w:szCs w:val="20"/>
                <w:lang w:eastAsia="de-DE"/>
              </w:rPr>
            </w:pPr>
            <w:proofErr w:type="spellStart"/>
            <w:r w:rsidRPr="00DC6C09">
              <w:rPr>
                <w:rFonts w:ascii="Arial" w:hAnsi="Arial" w:cs="Arial"/>
                <w:color w:val="000000" w:themeColor="text1"/>
                <w:sz w:val="20"/>
                <w:szCs w:val="20"/>
                <w:lang w:eastAsia="de-DE"/>
              </w:rPr>
              <w:t>Hyperlipidemia</w:t>
            </w:r>
            <w:proofErr w:type="spellEnd"/>
            <w:r w:rsidRPr="00DC6C09">
              <w:rPr>
                <w:rFonts w:ascii="Arial" w:hAnsi="Arial" w:cs="Arial"/>
                <w:color w:val="000000" w:themeColor="text1"/>
                <w:sz w:val="20"/>
                <w:szCs w:val="20"/>
                <w:lang w:eastAsia="de-DE"/>
              </w:rPr>
              <w:t>, n (%)</w:t>
            </w:r>
          </w:p>
        </w:tc>
        <w:tc>
          <w:tcPr>
            <w:tcW w:w="1842" w:type="dxa"/>
            <w:tcBorders>
              <w:left w:val="single" w:sz="4" w:space="0" w:color="auto"/>
              <w:right w:val="single" w:sz="4" w:space="0" w:color="auto"/>
            </w:tcBorders>
            <w:shd w:val="clear" w:color="auto" w:fill="auto"/>
            <w:noWrap/>
            <w:hideMark/>
          </w:tcPr>
          <w:p w14:paraId="14597A07"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13 (68.4%)</w:t>
            </w:r>
          </w:p>
        </w:tc>
        <w:tc>
          <w:tcPr>
            <w:tcW w:w="1843" w:type="dxa"/>
            <w:tcBorders>
              <w:left w:val="single" w:sz="4" w:space="0" w:color="auto"/>
              <w:right w:val="single" w:sz="4" w:space="0" w:color="auto"/>
            </w:tcBorders>
            <w:shd w:val="clear" w:color="auto" w:fill="auto"/>
            <w:noWrap/>
            <w:hideMark/>
          </w:tcPr>
          <w:p w14:paraId="47AB183D"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54 (80.6%)</w:t>
            </w:r>
          </w:p>
        </w:tc>
        <w:tc>
          <w:tcPr>
            <w:tcW w:w="1559" w:type="dxa"/>
            <w:tcBorders>
              <w:left w:val="single" w:sz="4" w:space="0" w:color="auto"/>
              <w:right w:val="single" w:sz="4" w:space="0" w:color="auto"/>
            </w:tcBorders>
            <w:shd w:val="clear" w:color="auto" w:fill="auto"/>
            <w:noWrap/>
            <w:hideMark/>
          </w:tcPr>
          <w:p w14:paraId="09CDB0C2"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13 (81.3%)</w:t>
            </w:r>
          </w:p>
        </w:tc>
        <w:tc>
          <w:tcPr>
            <w:tcW w:w="1276" w:type="dxa"/>
            <w:tcBorders>
              <w:left w:val="single" w:sz="4" w:space="0" w:color="auto"/>
            </w:tcBorders>
            <w:shd w:val="clear" w:color="auto" w:fill="auto"/>
            <w:noWrap/>
            <w:hideMark/>
          </w:tcPr>
          <w:p w14:paraId="3302B8BA" w14:textId="77777777" w:rsidR="00C7572B" w:rsidRPr="00DC6C09" w:rsidRDefault="00C7572B" w:rsidP="00A0618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Pr>
                <w:rFonts w:ascii="Arial" w:hAnsi="Arial" w:cs="Arial"/>
                <w:color w:val="000000" w:themeColor="text1"/>
                <w:sz w:val="20"/>
                <w:szCs w:val="20"/>
                <w:lang w:eastAsia="de-DE"/>
              </w:rPr>
              <w:t>p</w:t>
            </w:r>
            <w:r w:rsidRPr="00DC6C09">
              <w:rPr>
                <w:rFonts w:ascii="Arial" w:hAnsi="Arial" w:cs="Arial"/>
                <w:color w:val="000000" w:themeColor="text1"/>
                <w:sz w:val="20"/>
                <w:szCs w:val="20"/>
                <w:lang w:eastAsia="de-DE"/>
              </w:rPr>
              <w:t>= 0.49</w:t>
            </w:r>
          </w:p>
        </w:tc>
      </w:tr>
      <w:tr w:rsidR="00C7572B" w:rsidRPr="00CE3115" w14:paraId="46936494" w14:textId="77777777" w:rsidTr="00A0618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hideMark/>
          </w:tcPr>
          <w:p w14:paraId="5883DB68" w14:textId="77777777" w:rsidR="00C7572B" w:rsidRPr="00DC6C09" w:rsidRDefault="00C7572B" w:rsidP="00A06181">
            <w:pPr>
              <w:jc w:val="left"/>
              <w:rPr>
                <w:rFonts w:ascii="Arial" w:hAnsi="Arial" w:cs="Arial"/>
                <w:i w:val="0"/>
                <w:iCs w:val="0"/>
                <w:color w:val="000000" w:themeColor="text1"/>
                <w:sz w:val="20"/>
                <w:szCs w:val="20"/>
                <w:lang w:eastAsia="de-DE"/>
              </w:rPr>
            </w:pPr>
            <w:r w:rsidRPr="00DC6C09">
              <w:rPr>
                <w:rFonts w:ascii="Arial" w:hAnsi="Arial" w:cs="Arial"/>
                <w:color w:val="000000" w:themeColor="text1"/>
                <w:sz w:val="20"/>
                <w:szCs w:val="20"/>
                <w:lang w:eastAsia="de-DE"/>
              </w:rPr>
              <w:t>Current smoker, n</w:t>
            </w:r>
            <w:r>
              <w:rPr>
                <w:rFonts w:ascii="Arial" w:hAnsi="Arial" w:cs="Arial"/>
                <w:i w:val="0"/>
                <w:iCs w:val="0"/>
                <w:color w:val="000000" w:themeColor="text1"/>
                <w:sz w:val="20"/>
                <w:szCs w:val="20"/>
                <w:lang w:eastAsia="de-DE"/>
              </w:rPr>
              <w:t xml:space="preserve"> </w:t>
            </w:r>
            <w:r w:rsidRPr="00DC6C09">
              <w:rPr>
                <w:rFonts w:ascii="Arial" w:hAnsi="Arial" w:cs="Arial"/>
                <w:color w:val="000000" w:themeColor="text1"/>
                <w:sz w:val="20"/>
                <w:szCs w:val="20"/>
                <w:lang w:eastAsia="de-DE"/>
              </w:rPr>
              <w:t>(%)</w:t>
            </w:r>
          </w:p>
        </w:tc>
        <w:tc>
          <w:tcPr>
            <w:tcW w:w="1842" w:type="dxa"/>
            <w:tcBorders>
              <w:left w:val="single" w:sz="4" w:space="0" w:color="auto"/>
              <w:right w:val="single" w:sz="4" w:space="0" w:color="auto"/>
            </w:tcBorders>
            <w:shd w:val="clear" w:color="auto" w:fill="auto"/>
            <w:noWrap/>
            <w:hideMark/>
          </w:tcPr>
          <w:p w14:paraId="558500DE"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5 (26.3%)</w:t>
            </w:r>
          </w:p>
        </w:tc>
        <w:tc>
          <w:tcPr>
            <w:tcW w:w="1843" w:type="dxa"/>
            <w:tcBorders>
              <w:left w:val="single" w:sz="4" w:space="0" w:color="auto"/>
              <w:right w:val="single" w:sz="4" w:space="0" w:color="auto"/>
            </w:tcBorders>
            <w:shd w:val="clear" w:color="auto" w:fill="auto"/>
            <w:noWrap/>
            <w:hideMark/>
          </w:tcPr>
          <w:p w14:paraId="6A7F278D"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16 (23.9%)</w:t>
            </w:r>
          </w:p>
        </w:tc>
        <w:tc>
          <w:tcPr>
            <w:tcW w:w="1559" w:type="dxa"/>
            <w:tcBorders>
              <w:left w:val="single" w:sz="4" w:space="0" w:color="auto"/>
              <w:right w:val="single" w:sz="4" w:space="0" w:color="auto"/>
            </w:tcBorders>
            <w:shd w:val="clear" w:color="auto" w:fill="auto"/>
            <w:noWrap/>
            <w:hideMark/>
          </w:tcPr>
          <w:p w14:paraId="2B1D436F"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5 (31.3%)</w:t>
            </w:r>
          </w:p>
        </w:tc>
        <w:tc>
          <w:tcPr>
            <w:tcW w:w="1276" w:type="dxa"/>
            <w:tcBorders>
              <w:left w:val="single" w:sz="4" w:space="0" w:color="auto"/>
            </w:tcBorders>
            <w:shd w:val="clear" w:color="auto" w:fill="auto"/>
            <w:noWrap/>
            <w:hideMark/>
          </w:tcPr>
          <w:p w14:paraId="1CB0D2CB" w14:textId="77777777" w:rsidR="00C7572B" w:rsidRPr="00DC6C09" w:rsidRDefault="00C7572B" w:rsidP="00A0618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p = 0.84</w:t>
            </w:r>
          </w:p>
        </w:tc>
      </w:tr>
      <w:tr w:rsidR="00C7572B" w:rsidRPr="00CE3115" w14:paraId="79DCC8E2" w14:textId="77777777" w:rsidTr="00A06181">
        <w:trPr>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hideMark/>
          </w:tcPr>
          <w:p w14:paraId="1F864966" w14:textId="77777777" w:rsidR="00C7572B" w:rsidRPr="00DC6C09" w:rsidRDefault="00C7572B" w:rsidP="00A06181">
            <w:pPr>
              <w:jc w:val="left"/>
              <w:rPr>
                <w:rFonts w:ascii="Arial" w:hAnsi="Arial" w:cs="Arial"/>
                <w:i w:val="0"/>
                <w:iCs w:val="0"/>
                <w:color w:val="000000" w:themeColor="text1"/>
                <w:sz w:val="20"/>
                <w:szCs w:val="20"/>
                <w:lang w:eastAsia="de-DE"/>
              </w:rPr>
            </w:pPr>
            <w:r w:rsidRPr="00DC6C09">
              <w:rPr>
                <w:rFonts w:ascii="Arial" w:hAnsi="Arial" w:cs="Arial"/>
                <w:color w:val="000000" w:themeColor="text1"/>
                <w:sz w:val="20"/>
                <w:szCs w:val="20"/>
                <w:lang w:eastAsia="de-DE"/>
              </w:rPr>
              <w:t>Atrial fibrillation, n (%)</w:t>
            </w:r>
          </w:p>
        </w:tc>
        <w:tc>
          <w:tcPr>
            <w:tcW w:w="1842" w:type="dxa"/>
            <w:tcBorders>
              <w:left w:val="single" w:sz="4" w:space="0" w:color="auto"/>
              <w:right w:val="single" w:sz="4" w:space="0" w:color="auto"/>
            </w:tcBorders>
            <w:shd w:val="clear" w:color="auto" w:fill="auto"/>
            <w:noWrap/>
            <w:hideMark/>
          </w:tcPr>
          <w:p w14:paraId="7DBA9A67"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3 (15.8%)</w:t>
            </w:r>
          </w:p>
        </w:tc>
        <w:tc>
          <w:tcPr>
            <w:tcW w:w="1843" w:type="dxa"/>
            <w:tcBorders>
              <w:left w:val="single" w:sz="4" w:space="0" w:color="auto"/>
              <w:right w:val="single" w:sz="4" w:space="0" w:color="auto"/>
            </w:tcBorders>
            <w:shd w:val="clear" w:color="auto" w:fill="auto"/>
            <w:noWrap/>
            <w:hideMark/>
          </w:tcPr>
          <w:p w14:paraId="7AC26523"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6 (9.0%)</w:t>
            </w:r>
          </w:p>
        </w:tc>
        <w:tc>
          <w:tcPr>
            <w:tcW w:w="1559" w:type="dxa"/>
            <w:tcBorders>
              <w:left w:val="single" w:sz="4" w:space="0" w:color="auto"/>
              <w:right w:val="single" w:sz="4" w:space="0" w:color="auto"/>
            </w:tcBorders>
            <w:shd w:val="clear" w:color="auto" w:fill="auto"/>
            <w:noWrap/>
            <w:hideMark/>
          </w:tcPr>
          <w:p w14:paraId="0EAEFC82"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 (6.3%)</w:t>
            </w:r>
          </w:p>
        </w:tc>
        <w:tc>
          <w:tcPr>
            <w:tcW w:w="1276" w:type="dxa"/>
            <w:tcBorders>
              <w:left w:val="single" w:sz="4" w:space="0" w:color="auto"/>
            </w:tcBorders>
            <w:shd w:val="clear" w:color="auto" w:fill="auto"/>
            <w:noWrap/>
            <w:hideMark/>
          </w:tcPr>
          <w:p w14:paraId="6A19C664" w14:textId="77777777" w:rsidR="00C7572B" w:rsidRPr="00DC6C09" w:rsidRDefault="00C7572B" w:rsidP="00A0618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Pr>
                <w:rFonts w:ascii="Arial" w:hAnsi="Arial" w:cs="Arial"/>
                <w:color w:val="000000" w:themeColor="text1"/>
                <w:sz w:val="20"/>
                <w:szCs w:val="20"/>
                <w:lang w:eastAsia="de-DE"/>
              </w:rPr>
              <w:t>p</w:t>
            </w:r>
            <w:r w:rsidRPr="00DC6C09">
              <w:rPr>
                <w:rFonts w:ascii="Arial" w:hAnsi="Arial" w:cs="Arial"/>
                <w:color w:val="000000" w:themeColor="text1"/>
                <w:sz w:val="20"/>
                <w:szCs w:val="20"/>
                <w:lang w:eastAsia="de-DE"/>
              </w:rPr>
              <w:t xml:space="preserve"> = 0.60</w:t>
            </w:r>
          </w:p>
        </w:tc>
      </w:tr>
      <w:tr w:rsidR="00C7572B" w:rsidRPr="00CE3115" w14:paraId="70D8418B" w14:textId="77777777" w:rsidTr="00A0618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hideMark/>
          </w:tcPr>
          <w:p w14:paraId="26138F26" w14:textId="77777777" w:rsidR="00C7572B" w:rsidRPr="00DC6C09" w:rsidRDefault="00C7572B" w:rsidP="00A06181">
            <w:pPr>
              <w:jc w:val="left"/>
              <w:rPr>
                <w:rFonts w:ascii="Arial" w:hAnsi="Arial" w:cs="Arial"/>
                <w:i w:val="0"/>
                <w:iCs w:val="0"/>
                <w:color w:val="000000" w:themeColor="text1"/>
                <w:sz w:val="20"/>
                <w:szCs w:val="20"/>
                <w:lang w:eastAsia="de-DE"/>
              </w:rPr>
            </w:pPr>
            <w:r w:rsidRPr="00DC6C09">
              <w:rPr>
                <w:rFonts w:ascii="Arial" w:hAnsi="Arial" w:cs="Arial"/>
                <w:color w:val="000000" w:themeColor="text1"/>
                <w:sz w:val="20"/>
                <w:szCs w:val="20"/>
                <w:lang w:eastAsia="de-DE"/>
              </w:rPr>
              <w:t>Coronary heart disease, n (%)</w:t>
            </w:r>
          </w:p>
        </w:tc>
        <w:tc>
          <w:tcPr>
            <w:tcW w:w="1842" w:type="dxa"/>
            <w:tcBorders>
              <w:left w:val="single" w:sz="4" w:space="0" w:color="auto"/>
              <w:right w:val="single" w:sz="4" w:space="0" w:color="auto"/>
            </w:tcBorders>
            <w:shd w:val="clear" w:color="auto" w:fill="auto"/>
            <w:noWrap/>
            <w:hideMark/>
          </w:tcPr>
          <w:p w14:paraId="576760D2"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4</w:t>
            </w:r>
            <w:r>
              <w:rPr>
                <w:rFonts w:ascii="Arial" w:hAnsi="Arial" w:cs="Arial"/>
                <w:color w:val="000000" w:themeColor="text1"/>
                <w:sz w:val="20"/>
                <w:szCs w:val="20"/>
                <w:lang w:eastAsia="de-DE"/>
              </w:rPr>
              <w:t xml:space="preserve"> (21%)</w:t>
            </w:r>
          </w:p>
        </w:tc>
        <w:tc>
          <w:tcPr>
            <w:tcW w:w="1843" w:type="dxa"/>
            <w:tcBorders>
              <w:left w:val="single" w:sz="4" w:space="0" w:color="auto"/>
              <w:right w:val="single" w:sz="4" w:space="0" w:color="auto"/>
            </w:tcBorders>
            <w:shd w:val="clear" w:color="auto" w:fill="auto"/>
            <w:noWrap/>
            <w:hideMark/>
          </w:tcPr>
          <w:p w14:paraId="33FA4516" w14:textId="77777777" w:rsidR="00C7572B" w:rsidRPr="00624EB8"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color w:val="000000" w:themeColor="text1"/>
                <w:sz w:val="20"/>
                <w:szCs w:val="20"/>
                <w:lang w:eastAsia="de-DE"/>
              </w:rPr>
            </w:pPr>
            <w:r w:rsidRPr="00DC6C09">
              <w:rPr>
                <w:rFonts w:ascii="Arial" w:hAnsi="Arial" w:cs="Arial"/>
                <w:color w:val="000000" w:themeColor="text1"/>
                <w:sz w:val="20"/>
                <w:szCs w:val="20"/>
                <w:lang w:eastAsia="de-DE"/>
              </w:rPr>
              <w:t>7</w:t>
            </w:r>
            <w:r>
              <w:rPr>
                <w:rFonts w:ascii="Arial" w:hAnsi="Arial" w:cs="Arial"/>
                <w:color w:val="000000" w:themeColor="text1"/>
                <w:sz w:val="20"/>
                <w:szCs w:val="20"/>
                <w:lang w:eastAsia="de-DE"/>
              </w:rPr>
              <w:t>(10.4%)</w:t>
            </w:r>
          </w:p>
        </w:tc>
        <w:tc>
          <w:tcPr>
            <w:tcW w:w="1559" w:type="dxa"/>
            <w:tcBorders>
              <w:left w:val="single" w:sz="4" w:space="0" w:color="auto"/>
              <w:right w:val="single" w:sz="4" w:space="0" w:color="auto"/>
            </w:tcBorders>
            <w:shd w:val="clear" w:color="auto" w:fill="auto"/>
            <w:noWrap/>
            <w:hideMark/>
          </w:tcPr>
          <w:p w14:paraId="23392CF1"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0</w:t>
            </w:r>
            <w:r>
              <w:rPr>
                <w:rFonts w:ascii="Arial" w:hAnsi="Arial" w:cs="Arial"/>
                <w:color w:val="000000" w:themeColor="text1"/>
                <w:sz w:val="20"/>
                <w:szCs w:val="20"/>
                <w:lang w:eastAsia="de-DE"/>
              </w:rPr>
              <w:t xml:space="preserve"> (0%)</w:t>
            </w:r>
          </w:p>
        </w:tc>
        <w:tc>
          <w:tcPr>
            <w:tcW w:w="1276" w:type="dxa"/>
            <w:tcBorders>
              <w:left w:val="single" w:sz="4" w:space="0" w:color="auto"/>
            </w:tcBorders>
            <w:shd w:val="clear" w:color="auto" w:fill="auto"/>
            <w:noWrap/>
            <w:hideMark/>
          </w:tcPr>
          <w:p w14:paraId="637DEC1F" w14:textId="77777777" w:rsidR="00C7572B" w:rsidRPr="00DC6C09" w:rsidRDefault="00C7572B" w:rsidP="00A0618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Pr>
                <w:rFonts w:ascii="Arial" w:hAnsi="Arial" w:cs="Arial"/>
                <w:color w:val="000000" w:themeColor="text1"/>
                <w:sz w:val="20"/>
                <w:szCs w:val="20"/>
                <w:lang w:eastAsia="de-DE"/>
              </w:rPr>
              <w:t>p</w:t>
            </w:r>
            <w:r w:rsidRPr="00DC6C09">
              <w:rPr>
                <w:rFonts w:ascii="Arial" w:hAnsi="Arial" w:cs="Arial"/>
                <w:color w:val="000000" w:themeColor="text1"/>
                <w:sz w:val="20"/>
                <w:szCs w:val="20"/>
                <w:lang w:eastAsia="de-DE"/>
              </w:rPr>
              <w:t xml:space="preserve"> = 0.11</w:t>
            </w:r>
          </w:p>
        </w:tc>
      </w:tr>
      <w:tr w:rsidR="00C7572B" w:rsidRPr="00CE3115" w14:paraId="26709213" w14:textId="77777777" w:rsidTr="00C7572B">
        <w:trPr>
          <w:trHeight w:val="567"/>
        </w:trPr>
        <w:tc>
          <w:tcPr>
            <w:cnfStyle w:val="001000000000" w:firstRow="0" w:lastRow="0" w:firstColumn="1" w:lastColumn="0" w:oddVBand="0" w:evenVBand="0" w:oddHBand="0" w:evenHBand="0" w:firstRowFirstColumn="0" w:firstRowLastColumn="0" w:lastRowFirstColumn="0" w:lastRowLastColumn="0"/>
            <w:tcW w:w="3261" w:type="dxa"/>
            <w:tcBorders>
              <w:right w:val="single" w:sz="4" w:space="0" w:color="auto"/>
            </w:tcBorders>
            <w:shd w:val="clear" w:color="auto" w:fill="auto"/>
            <w:noWrap/>
            <w:hideMark/>
          </w:tcPr>
          <w:p w14:paraId="33575AFF" w14:textId="77777777" w:rsidR="00C7572B" w:rsidRPr="00DC6C09" w:rsidRDefault="00C7572B" w:rsidP="00A06181">
            <w:pPr>
              <w:jc w:val="left"/>
              <w:rPr>
                <w:rFonts w:ascii="Arial" w:hAnsi="Arial" w:cs="Arial"/>
                <w:i w:val="0"/>
                <w:iCs w:val="0"/>
                <w:color w:val="000000" w:themeColor="text1"/>
                <w:sz w:val="20"/>
                <w:szCs w:val="20"/>
                <w:lang w:val="en-US" w:eastAsia="de-DE"/>
              </w:rPr>
            </w:pPr>
            <w:r w:rsidRPr="00DC6C09">
              <w:rPr>
                <w:rFonts w:ascii="Arial" w:hAnsi="Arial" w:cs="Arial"/>
                <w:color w:val="000000" w:themeColor="text1"/>
                <w:sz w:val="20"/>
                <w:szCs w:val="20"/>
                <w:lang w:val="en-US" w:eastAsia="de-DE"/>
              </w:rPr>
              <w:t>Previous stroke or TIA, n (%)</w:t>
            </w:r>
          </w:p>
        </w:tc>
        <w:tc>
          <w:tcPr>
            <w:tcW w:w="1842" w:type="dxa"/>
            <w:tcBorders>
              <w:left w:val="single" w:sz="4" w:space="0" w:color="auto"/>
              <w:right w:val="single" w:sz="4" w:space="0" w:color="auto"/>
            </w:tcBorders>
            <w:shd w:val="clear" w:color="auto" w:fill="auto"/>
            <w:noWrap/>
            <w:hideMark/>
          </w:tcPr>
          <w:p w14:paraId="394AB8E3"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3</w:t>
            </w:r>
            <w:r>
              <w:rPr>
                <w:rFonts w:ascii="Arial" w:hAnsi="Arial" w:cs="Arial"/>
                <w:color w:val="000000" w:themeColor="text1"/>
                <w:sz w:val="20"/>
                <w:szCs w:val="20"/>
                <w:lang w:eastAsia="de-DE"/>
              </w:rPr>
              <w:t xml:space="preserve"> (15.7%)</w:t>
            </w:r>
          </w:p>
        </w:tc>
        <w:tc>
          <w:tcPr>
            <w:tcW w:w="1843" w:type="dxa"/>
            <w:tcBorders>
              <w:left w:val="single" w:sz="4" w:space="0" w:color="auto"/>
              <w:right w:val="single" w:sz="4" w:space="0" w:color="auto"/>
            </w:tcBorders>
            <w:shd w:val="clear" w:color="auto" w:fill="auto"/>
            <w:noWrap/>
            <w:hideMark/>
          </w:tcPr>
          <w:p w14:paraId="02A3A48D"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8</w:t>
            </w:r>
            <w:r>
              <w:rPr>
                <w:rFonts w:ascii="Arial" w:hAnsi="Arial" w:cs="Arial"/>
                <w:color w:val="000000" w:themeColor="text1"/>
                <w:sz w:val="20"/>
                <w:szCs w:val="20"/>
                <w:lang w:eastAsia="de-DE"/>
              </w:rPr>
              <w:t xml:space="preserve"> (14%)</w:t>
            </w:r>
          </w:p>
        </w:tc>
        <w:tc>
          <w:tcPr>
            <w:tcW w:w="1559" w:type="dxa"/>
            <w:tcBorders>
              <w:left w:val="single" w:sz="4" w:space="0" w:color="auto"/>
              <w:right w:val="single" w:sz="4" w:space="0" w:color="auto"/>
            </w:tcBorders>
            <w:shd w:val="clear" w:color="auto" w:fill="auto"/>
            <w:noWrap/>
            <w:hideMark/>
          </w:tcPr>
          <w:p w14:paraId="5AEC5EA8" w14:textId="77777777" w:rsidR="00C7572B" w:rsidRPr="00DC6C09" w:rsidRDefault="00C7572B" w:rsidP="00A06181">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3</w:t>
            </w:r>
            <w:r>
              <w:rPr>
                <w:rFonts w:ascii="Arial" w:hAnsi="Arial" w:cs="Arial"/>
                <w:color w:val="000000" w:themeColor="text1"/>
                <w:sz w:val="20"/>
                <w:szCs w:val="20"/>
                <w:lang w:eastAsia="de-DE"/>
              </w:rPr>
              <w:t xml:space="preserve"> (18.8%)</w:t>
            </w:r>
          </w:p>
        </w:tc>
        <w:tc>
          <w:tcPr>
            <w:tcW w:w="1276" w:type="dxa"/>
            <w:tcBorders>
              <w:left w:val="single" w:sz="4" w:space="0" w:color="auto"/>
            </w:tcBorders>
            <w:shd w:val="clear" w:color="auto" w:fill="auto"/>
            <w:noWrap/>
            <w:hideMark/>
          </w:tcPr>
          <w:p w14:paraId="38F83E08" w14:textId="77777777" w:rsidR="00C7572B" w:rsidRPr="00DC6C09" w:rsidRDefault="00C7572B" w:rsidP="00A06181">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lang w:eastAsia="de-DE"/>
              </w:rPr>
            </w:pPr>
            <w:r>
              <w:rPr>
                <w:rFonts w:ascii="Arial" w:hAnsi="Arial" w:cs="Arial"/>
                <w:color w:val="000000" w:themeColor="text1"/>
                <w:sz w:val="20"/>
                <w:szCs w:val="20"/>
                <w:lang w:eastAsia="de-DE"/>
              </w:rPr>
              <w:t>p</w:t>
            </w:r>
            <w:r w:rsidRPr="00DC6C09">
              <w:rPr>
                <w:rFonts w:ascii="Arial" w:hAnsi="Arial" w:cs="Arial"/>
                <w:color w:val="000000" w:themeColor="text1"/>
                <w:sz w:val="20"/>
                <w:szCs w:val="20"/>
                <w:lang w:eastAsia="de-DE"/>
              </w:rPr>
              <w:t xml:space="preserve"> = 0.69</w:t>
            </w:r>
          </w:p>
        </w:tc>
      </w:tr>
      <w:tr w:rsidR="00C7572B" w:rsidRPr="00CE3115" w14:paraId="6FD33565" w14:textId="77777777" w:rsidTr="00C7572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Borders>
              <w:bottom w:val="single" w:sz="4" w:space="0" w:color="auto"/>
              <w:right w:val="single" w:sz="4" w:space="0" w:color="auto"/>
            </w:tcBorders>
            <w:shd w:val="clear" w:color="auto" w:fill="auto"/>
            <w:noWrap/>
          </w:tcPr>
          <w:p w14:paraId="47A09C39" w14:textId="77777777" w:rsidR="00C7572B" w:rsidRPr="00DC6C09" w:rsidRDefault="00C7572B" w:rsidP="00A06181">
            <w:pPr>
              <w:jc w:val="left"/>
              <w:rPr>
                <w:rFonts w:ascii="Arial" w:hAnsi="Arial" w:cs="Arial"/>
                <w:i w:val="0"/>
                <w:iCs w:val="0"/>
                <w:color w:val="000000" w:themeColor="text1"/>
                <w:sz w:val="20"/>
                <w:szCs w:val="20"/>
                <w:lang w:eastAsia="de-DE"/>
              </w:rPr>
            </w:pPr>
            <w:r w:rsidRPr="00DC6C09">
              <w:rPr>
                <w:rFonts w:ascii="Arial" w:hAnsi="Arial" w:cs="Arial"/>
                <w:color w:val="000000" w:themeColor="text1"/>
                <w:sz w:val="20"/>
                <w:szCs w:val="20"/>
                <w:lang w:eastAsia="de-DE"/>
              </w:rPr>
              <w:t>Multifactorial intervention, n (%)</w:t>
            </w:r>
          </w:p>
        </w:tc>
        <w:tc>
          <w:tcPr>
            <w:tcW w:w="1842" w:type="dxa"/>
            <w:tcBorders>
              <w:left w:val="single" w:sz="4" w:space="0" w:color="auto"/>
              <w:bottom w:val="single" w:sz="4" w:space="0" w:color="auto"/>
              <w:right w:val="single" w:sz="4" w:space="0" w:color="auto"/>
            </w:tcBorders>
            <w:shd w:val="clear" w:color="auto" w:fill="auto"/>
            <w:noWrap/>
          </w:tcPr>
          <w:p w14:paraId="77960ED2"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7 (36.8%)</w:t>
            </w:r>
          </w:p>
        </w:tc>
        <w:tc>
          <w:tcPr>
            <w:tcW w:w="1843" w:type="dxa"/>
            <w:tcBorders>
              <w:left w:val="single" w:sz="4" w:space="0" w:color="auto"/>
              <w:bottom w:val="single" w:sz="4" w:space="0" w:color="auto"/>
              <w:right w:val="single" w:sz="4" w:space="0" w:color="auto"/>
            </w:tcBorders>
            <w:shd w:val="clear" w:color="auto" w:fill="auto"/>
            <w:noWrap/>
          </w:tcPr>
          <w:p w14:paraId="52C37F81"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32 (47.8%)</w:t>
            </w:r>
          </w:p>
        </w:tc>
        <w:tc>
          <w:tcPr>
            <w:tcW w:w="1559" w:type="dxa"/>
            <w:tcBorders>
              <w:left w:val="single" w:sz="4" w:space="0" w:color="auto"/>
              <w:bottom w:val="single" w:sz="4" w:space="0" w:color="auto"/>
              <w:right w:val="single" w:sz="4" w:space="0" w:color="auto"/>
            </w:tcBorders>
            <w:shd w:val="clear" w:color="auto" w:fill="auto"/>
            <w:noWrap/>
          </w:tcPr>
          <w:p w14:paraId="30FF6363" w14:textId="77777777" w:rsidR="00C7572B" w:rsidRPr="00DC6C09" w:rsidRDefault="00C7572B" w:rsidP="00A06181">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12 (75%)</w:t>
            </w:r>
          </w:p>
        </w:tc>
        <w:tc>
          <w:tcPr>
            <w:tcW w:w="1276" w:type="dxa"/>
            <w:tcBorders>
              <w:left w:val="single" w:sz="4" w:space="0" w:color="auto"/>
              <w:bottom w:val="single" w:sz="4" w:space="0" w:color="auto"/>
            </w:tcBorders>
            <w:shd w:val="clear" w:color="auto" w:fill="auto"/>
            <w:noWrap/>
          </w:tcPr>
          <w:p w14:paraId="5094998A" w14:textId="77777777" w:rsidR="00C7572B" w:rsidRPr="00DC6C09" w:rsidRDefault="00C7572B" w:rsidP="00A0618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lang w:eastAsia="de-DE"/>
              </w:rPr>
            </w:pPr>
            <w:r w:rsidRPr="00DC6C09">
              <w:rPr>
                <w:rFonts w:ascii="Arial" w:hAnsi="Arial" w:cs="Arial"/>
                <w:color w:val="000000" w:themeColor="text1"/>
                <w:sz w:val="20"/>
                <w:szCs w:val="20"/>
                <w:lang w:eastAsia="de-DE"/>
              </w:rPr>
              <w:t>p = 0.063</w:t>
            </w:r>
          </w:p>
        </w:tc>
      </w:tr>
    </w:tbl>
    <w:p w14:paraId="09882E76" w14:textId="4A583E74" w:rsidR="00C7572B" w:rsidRPr="00DC6C09" w:rsidRDefault="00C7572B" w:rsidP="00C7572B">
      <w:pPr>
        <w:pStyle w:val="Endnotentext"/>
        <w:spacing w:line="240" w:lineRule="auto"/>
        <w:ind w:left="1304" w:hanging="1315"/>
        <w:rPr>
          <w:rFonts w:ascii="Arial" w:hAnsi="Arial" w:cs="Arial"/>
          <w:sz w:val="22"/>
          <w:szCs w:val="22"/>
          <w:lang w:val="en-US"/>
        </w:rPr>
      </w:pPr>
      <w:r>
        <w:rPr>
          <w:rFonts w:ascii="Arial" w:hAnsi="Arial" w:cs="Arial"/>
          <w:b/>
          <w:bCs/>
          <w:sz w:val="22"/>
          <w:szCs w:val="22"/>
          <w:lang w:val="en-US"/>
        </w:rPr>
        <w:t>Suppl. t</w:t>
      </w:r>
      <w:r w:rsidRPr="00DC6C09">
        <w:rPr>
          <w:rFonts w:ascii="Arial" w:hAnsi="Arial" w:cs="Arial"/>
          <w:b/>
          <w:bCs/>
          <w:sz w:val="22"/>
          <w:szCs w:val="22"/>
          <w:lang w:val="en-US"/>
        </w:rPr>
        <w:t xml:space="preserve">able </w:t>
      </w:r>
      <w:r w:rsidRPr="00DC6C09">
        <w:rPr>
          <w:rFonts w:ascii="Arial" w:hAnsi="Arial" w:cs="Arial"/>
          <w:sz w:val="22"/>
          <w:szCs w:val="22"/>
          <w:lang w:val="en-US"/>
        </w:rPr>
        <w:tab/>
        <w:t>Baseline characteristics of pa</w:t>
      </w:r>
      <w:r>
        <w:rPr>
          <w:rFonts w:ascii="Arial" w:hAnsi="Arial" w:cs="Arial"/>
          <w:sz w:val="22"/>
          <w:szCs w:val="22"/>
          <w:lang w:val="en-US"/>
        </w:rPr>
        <w:t>tients in different groups of evolution of glucose metabolism (GM) between baseline and 12 months follow up. Both, OGTT and HbA1c were used for diagnosis, patients were classified to PD or T2DM if either the OGTT or HbA1c criteria were fulfilled.</w:t>
      </w:r>
    </w:p>
    <w:p w14:paraId="43243FFE" w14:textId="77777777" w:rsidR="00C7572B" w:rsidRPr="00C7572B" w:rsidRDefault="00C7572B">
      <w:pPr>
        <w:rPr>
          <w:lang w:val="en-US"/>
        </w:rPr>
      </w:pPr>
    </w:p>
    <w:sectPr w:rsidR="00C7572B" w:rsidRPr="00C7572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72B"/>
    <w:rsid w:val="00C7572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086C8A61"/>
  <w15:chartTrackingRefBased/>
  <w15:docId w15:val="{421D51FF-94CE-5C47-B1E8-878D4AD5D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7572B"/>
    <w:pPr>
      <w:spacing w:after="120" w:line="360" w:lineRule="auto"/>
    </w:pPr>
    <w:rPr>
      <w:rFonts w:ascii="Times New Roman" w:eastAsia="Times New Roman" w:hAnsi="Times New Roman" w:cs="Times New Roman"/>
      <w:lang w:val="en-GB" w:eastAsia="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PlainTable51">
    <w:name w:val="Plain Table 51"/>
    <w:basedOn w:val="NormaleTabelle"/>
    <w:uiPriority w:val="45"/>
    <w:rsid w:val="00C7572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ndnotentext">
    <w:name w:val="endnote text"/>
    <w:basedOn w:val="Standard"/>
    <w:link w:val="EndnotentextZchn"/>
    <w:semiHidden/>
    <w:rsid w:val="00C7572B"/>
    <w:rPr>
      <w:sz w:val="20"/>
      <w:szCs w:val="20"/>
      <w:lang w:val="de-DE" w:eastAsia="de-DE"/>
    </w:rPr>
  </w:style>
  <w:style w:type="character" w:customStyle="1" w:styleId="EndnotentextZchn">
    <w:name w:val="Endnotentext Zchn"/>
    <w:basedOn w:val="Absatz-Standardschriftart"/>
    <w:link w:val="Endnotentext"/>
    <w:semiHidden/>
    <w:rsid w:val="00C7572B"/>
    <w:rPr>
      <w:rFonts w:ascii="Times New Roman" w:eastAsia="Times New Roman" w:hAnsi="Times New Roman" w:cs="Times New Roman"/>
      <w:sz w:val="20"/>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1058</Characters>
  <Application>Microsoft Office Word</Application>
  <DocSecurity>0</DocSecurity>
  <Lines>8</Lines>
  <Paragraphs>2</Paragraphs>
  <ScaleCrop>false</ScaleCrop>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Matz</dc:creator>
  <cp:keywords/>
  <dc:description/>
  <cp:lastModifiedBy>Karl Matz</cp:lastModifiedBy>
  <cp:revision>1</cp:revision>
  <dcterms:created xsi:type="dcterms:W3CDTF">2020-10-06T20:39:00Z</dcterms:created>
  <dcterms:modified xsi:type="dcterms:W3CDTF">2020-10-06T20:42:00Z</dcterms:modified>
</cp:coreProperties>
</file>