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FF7F97" w14:textId="77777777" w:rsidR="00422B4B" w:rsidRPr="00E81D97" w:rsidRDefault="00422B4B" w:rsidP="00422B4B">
      <w:pPr>
        <w:rPr>
          <w:rFonts w:ascii="Times New Roman" w:hAnsi="Times New Roman" w:cs="Times New Roman"/>
          <w:b/>
          <w:color w:val="000000" w:themeColor="text1"/>
        </w:rPr>
      </w:pPr>
      <w:r w:rsidRPr="00EB7DC1">
        <w:rPr>
          <w:rFonts w:ascii="Times New Roman" w:hAnsi="Times New Roman" w:cs="Times New Roman"/>
          <w:b/>
          <w:sz w:val="28"/>
          <w:szCs w:val="28"/>
        </w:rPr>
        <w:t>Appendix 1</w:t>
      </w:r>
      <w:r w:rsidRPr="00EB7DC1">
        <w:rPr>
          <w:rFonts w:ascii="Times New Roman" w:hAnsi="Times New Roman" w:cs="Times New Roman"/>
          <w:sz w:val="28"/>
          <w:szCs w:val="28"/>
        </w:rPr>
        <w:t xml:space="preserve">] </w:t>
      </w:r>
      <w:r>
        <w:rPr>
          <w:rFonts w:ascii="Times New Roman" w:eastAsia="宋体" w:hAnsi="Times New Roman" w:cs="Times New Roman"/>
          <w:kern w:val="0"/>
          <w:sz w:val="28"/>
          <w:szCs w:val="28"/>
        </w:rPr>
        <w:t>S</w:t>
      </w:r>
      <w:r w:rsidRPr="00EB7DC1">
        <w:rPr>
          <w:rFonts w:ascii="Times New Roman" w:eastAsia="宋体" w:hAnsi="Times New Roman" w:cs="Times New Roman" w:hint="eastAsia"/>
          <w:kern w:val="0"/>
          <w:sz w:val="28"/>
          <w:szCs w:val="28"/>
        </w:rPr>
        <w:t>a</w:t>
      </w:r>
      <w:r w:rsidRPr="00EB7DC1">
        <w:rPr>
          <w:rFonts w:ascii="Times New Roman" w:eastAsia="宋体" w:hAnsi="Times New Roman" w:cs="Times New Roman"/>
          <w:kern w:val="0"/>
          <w:sz w:val="28"/>
          <w:szCs w:val="28"/>
        </w:rPr>
        <w:t>mple size</w:t>
      </w:r>
    </w:p>
    <w:p w14:paraId="52CE977A" w14:textId="77777777" w:rsidR="00422B4B" w:rsidRPr="00B450F8" w:rsidRDefault="00422B4B" w:rsidP="00422B4B">
      <w:pPr>
        <w:spacing w:line="480" w:lineRule="auto"/>
        <w:ind w:firstLine="480"/>
        <w:rPr>
          <w:rFonts w:ascii="Times New Roman" w:eastAsia="宋体" w:hAnsi="Times New Roman" w:cs="Times New Roman"/>
          <w:color w:val="000000" w:themeColor="text1"/>
          <w:sz w:val="24"/>
        </w:rPr>
      </w:pPr>
      <w:r w:rsidRPr="00B450F8">
        <w:rPr>
          <w:rFonts w:ascii="Times New Roman" w:eastAsia="宋体" w:hAnsi="Times New Roman" w:cs="Times New Roman"/>
          <w:color w:val="000000" w:themeColor="text1"/>
          <w:sz w:val="24"/>
        </w:rPr>
        <w:t xml:space="preserve">According to the previous clinical application, the author </w:t>
      </w:r>
      <w:r w:rsidRPr="00B450F8">
        <w:rPr>
          <w:rFonts w:ascii="Times New Roman" w:eastAsia="宋体" w:hAnsi="Times New Roman" w:cs="Times New Roman" w:hint="eastAsia"/>
          <w:color w:val="000000" w:themeColor="text1"/>
          <w:sz w:val="24"/>
        </w:rPr>
        <w:t>es</w:t>
      </w:r>
      <w:r w:rsidRPr="00B450F8">
        <w:rPr>
          <w:rFonts w:ascii="Times New Roman" w:eastAsia="宋体" w:hAnsi="Times New Roman" w:cs="Times New Roman"/>
          <w:color w:val="000000" w:themeColor="text1"/>
          <w:sz w:val="24"/>
        </w:rPr>
        <w:t xml:space="preserve">timated that the improvement rate of </w:t>
      </w:r>
      <w:bookmarkStart w:id="0" w:name="OLE_LINK294"/>
      <w:bookmarkStart w:id="1" w:name="OLE_LINK295"/>
      <w:r w:rsidRPr="00B450F8">
        <w:rPr>
          <w:rFonts w:ascii="Times New Roman" w:eastAsia="宋体" w:hAnsi="Times New Roman" w:cs="Times New Roman"/>
          <w:color w:val="000000" w:themeColor="text1"/>
          <w:sz w:val="24"/>
        </w:rPr>
        <w:t>Tinetti Gait Scale</w:t>
      </w:r>
      <w:bookmarkEnd w:id="0"/>
      <w:bookmarkEnd w:id="1"/>
      <w:r w:rsidRPr="00B450F8">
        <w:rPr>
          <w:rFonts w:ascii="Times New Roman" w:eastAsia="宋体" w:hAnsi="Times New Roman" w:cs="Times New Roman"/>
          <w:color w:val="000000" w:themeColor="text1"/>
          <w:sz w:val="24"/>
        </w:rPr>
        <w:t xml:space="preserve"> (</w:t>
      </w:r>
      <w:r w:rsidRPr="00B450F8">
        <w:rPr>
          <w:rFonts w:ascii="Times New Roman" w:eastAsia="宋体" w:hAnsi="Times New Roman" w:cs="Times New Roman" w:hint="eastAsia"/>
          <w:color w:val="000000" w:themeColor="text1"/>
          <w:sz w:val="24"/>
        </w:rPr>
        <w:t>change</w:t>
      </w:r>
      <w:r w:rsidRPr="00B450F8">
        <w:rPr>
          <w:rFonts w:ascii="Times New Roman" w:eastAsia="宋体" w:hAnsi="Times New Roman" w:cs="Times New Roman"/>
          <w:color w:val="000000" w:themeColor="text1"/>
          <w:sz w:val="24"/>
        </w:rPr>
        <w:t xml:space="preserve"> of Tinetti Gait Scale more than one score) of the customized insoles group </w:t>
      </w:r>
      <w:r w:rsidRPr="00B450F8">
        <w:rPr>
          <w:rFonts w:ascii="Times New Roman" w:eastAsia="宋体" w:hAnsi="Times New Roman" w:cs="Times New Roman" w:hint="eastAsia"/>
          <w:color w:val="000000" w:themeColor="text1"/>
          <w:sz w:val="24"/>
        </w:rPr>
        <w:t>was</w:t>
      </w:r>
      <w:r w:rsidRPr="00B450F8">
        <w:rPr>
          <w:rFonts w:ascii="Times New Roman" w:eastAsia="宋体" w:hAnsi="Times New Roman" w:cs="Times New Roman"/>
          <w:color w:val="000000" w:themeColor="text1"/>
          <w:sz w:val="24"/>
        </w:rPr>
        <w:t xml:space="preserve"> 81% and that of control group was 48%, Set α = 0.05 (</w:t>
      </w:r>
      <w:r w:rsidRPr="00B450F8">
        <w:rPr>
          <w:rFonts w:ascii="Times New Roman" w:eastAsia="宋体" w:hAnsi="Times New Roman" w:cs="Times New Roman" w:hint="eastAsia"/>
          <w:color w:val="000000" w:themeColor="text1"/>
          <w:sz w:val="24"/>
        </w:rPr>
        <w:t>one</w:t>
      </w:r>
      <w:r w:rsidRPr="00B450F8">
        <w:rPr>
          <w:rFonts w:ascii="Times New Roman" w:eastAsia="宋体" w:hAnsi="Times New Roman" w:cs="Times New Roman"/>
          <w:color w:val="000000" w:themeColor="text1"/>
          <w:sz w:val="24"/>
        </w:rPr>
        <w:t xml:space="preserve"> tails test) and the subjects were included in the two groups according to the ratio of 1:1. By G*Power 3.1 calculation, a total of 50 women would be needed (25 in each group) (</w:t>
      </w:r>
      <w:r w:rsidRPr="00B450F8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Figure </w:t>
      </w:r>
      <w:r>
        <w:rPr>
          <w:rFonts w:ascii="Times New Roman" w:eastAsia="宋体" w:hAnsi="Times New Roman" w:cs="Times New Roman"/>
          <w:b/>
          <w:color w:val="000000" w:themeColor="text1"/>
          <w:sz w:val="24"/>
        </w:rPr>
        <w:t>4</w:t>
      </w:r>
      <w:r w:rsidRPr="00B450F8">
        <w:rPr>
          <w:rFonts w:ascii="Times New Roman" w:eastAsia="宋体" w:hAnsi="Times New Roman" w:cs="Times New Roman"/>
          <w:color w:val="000000" w:themeColor="text1"/>
          <w:sz w:val="24"/>
        </w:rPr>
        <w:t xml:space="preserve">).At the same time, considering the 15% abscission rate </w:t>
      </w:r>
      <w:r w:rsidRPr="00B450F8">
        <w:rPr>
          <w:rFonts w:ascii="Times New Roman" w:eastAsia="宋体" w:hAnsi="Times New Roman" w:cs="Times New Roman" w:hint="eastAsia"/>
          <w:color w:val="000000" w:themeColor="text1"/>
          <w:sz w:val="24"/>
        </w:rPr>
        <w:t>and</w:t>
      </w:r>
      <w:r w:rsidRPr="00B450F8">
        <w:rPr>
          <w:rFonts w:ascii="Times New Roman" w:eastAsia="宋体" w:hAnsi="Times New Roman" w:cs="Times New Roman"/>
          <w:color w:val="000000" w:themeColor="text1"/>
          <w:sz w:val="24"/>
        </w:rPr>
        <w:t xml:space="preserve"> the need for randomization of parallel groups, the statistical recommendation was to target 30 participants in each group, the final sample size was 60 cases.</w:t>
      </w:r>
    </w:p>
    <w:p w14:paraId="5A95F212" w14:textId="167F84ED" w:rsidR="00422B4B" w:rsidRDefault="00422B4B" w:rsidP="00422B4B">
      <w:pPr>
        <w:spacing w:line="480" w:lineRule="auto"/>
        <w:ind w:firstLine="480"/>
        <w:rPr>
          <w:rFonts w:ascii="Times New Roman" w:eastAsia="宋体" w:hAnsi="Times New Roman" w:cs="Times New Roman"/>
          <w:color w:val="000000" w:themeColor="text1"/>
          <w:sz w:val="24"/>
        </w:rPr>
      </w:pPr>
      <w:r w:rsidRPr="00B450F8">
        <w:rPr>
          <w:rFonts w:ascii="Times New Roman" w:eastAsia="宋体" w:hAnsi="Times New Roman" w:cs="Times New Roman"/>
          <w:color w:val="000000" w:themeColor="text1"/>
          <w:sz w:val="24"/>
        </w:rPr>
        <w:t xml:space="preserve">When the experiment reached 50 cases, the experiment could not continue due to the failure of our evaluation tool plantar pressure plate. Based on 50 cases, we conducted a statistical analysis and the results showed </w:t>
      </w:r>
      <w:bookmarkStart w:id="2" w:name="OLE_LINK376"/>
      <w:bookmarkStart w:id="3" w:name="OLE_LINK377"/>
      <w:r w:rsidRPr="00B450F8">
        <w:rPr>
          <w:rFonts w:ascii="Times New Roman" w:eastAsia="宋体" w:hAnsi="Times New Roman" w:cs="Times New Roman"/>
          <w:color w:val="000000" w:themeColor="text1"/>
          <w:sz w:val="24"/>
        </w:rPr>
        <w:t xml:space="preserve">a 68% improvement rate of Tinetti Gait </w:t>
      </w:r>
      <w:bookmarkEnd w:id="2"/>
      <w:bookmarkEnd w:id="3"/>
      <w:r w:rsidRPr="00B450F8">
        <w:rPr>
          <w:rFonts w:ascii="Times New Roman" w:eastAsia="宋体" w:hAnsi="Times New Roman" w:cs="Times New Roman"/>
          <w:color w:val="000000" w:themeColor="text1"/>
          <w:sz w:val="24"/>
        </w:rPr>
        <w:t>Scale (</w:t>
      </w:r>
      <w:r w:rsidRPr="00B450F8">
        <w:rPr>
          <w:rFonts w:ascii="Times New Roman" w:eastAsia="宋体" w:hAnsi="Times New Roman" w:cs="Times New Roman" w:hint="eastAsia"/>
          <w:color w:val="000000" w:themeColor="text1"/>
          <w:sz w:val="24"/>
        </w:rPr>
        <w:t>change</w:t>
      </w:r>
      <w:r w:rsidRPr="00B450F8">
        <w:rPr>
          <w:rFonts w:ascii="Times New Roman" w:eastAsia="宋体" w:hAnsi="Times New Roman" w:cs="Times New Roman"/>
          <w:color w:val="000000" w:themeColor="text1"/>
          <w:sz w:val="24"/>
        </w:rPr>
        <w:t xml:space="preserve"> of Tinetti Gait Scale more than one score) of the customized insoles group and that of control group was 24 %. Set α = 0.05 (one tails test). By G*Power (3.1.9.7 version) calculation, Power was 0.95, effective size was 0.91(</w:t>
      </w:r>
      <w:r w:rsidRPr="00B450F8">
        <w:rPr>
          <w:rFonts w:ascii="Times New Roman" w:eastAsia="宋体" w:hAnsi="Times New Roman" w:cs="Times New Roman"/>
          <w:b/>
          <w:color w:val="000000" w:themeColor="text1"/>
          <w:sz w:val="24"/>
        </w:rPr>
        <w:t xml:space="preserve">Figure </w:t>
      </w:r>
      <w:r>
        <w:rPr>
          <w:rFonts w:ascii="Times New Roman" w:eastAsia="宋体" w:hAnsi="Times New Roman" w:cs="Times New Roman"/>
          <w:b/>
          <w:color w:val="000000" w:themeColor="text1"/>
          <w:sz w:val="24"/>
        </w:rPr>
        <w:t>5</w:t>
      </w:r>
      <w:r w:rsidRPr="00B450F8">
        <w:rPr>
          <w:rFonts w:ascii="Times New Roman" w:eastAsia="宋体" w:hAnsi="Times New Roman" w:cs="Times New Roman"/>
          <w:color w:val="000000" w:themeColor="text1"/>
          <w:sz w:val="24"/>
        </w:rPr>
        <w:t>), so the conclusion of this study was reliable.</w:t>
      </w:r>
    </w:p>
    <w:p w14:paraId="5399F097" w14:textId="77777777" w:rsidR="00422B4B" w:rsidRDefault="00422B4B" w:rsidP="00422B4B">
      <w:pPr>
        <w:spacing w:line="480" w:lineRule="auto"/>
        <w:ind w:firstLine="480"/>
        <w:rPr>
          <w:rFonts w:ascii="Times New Roman" w:eastAsia="宋体" w:hAnsi="Times New Roman" w:cs="Times New Roman"/>
          <w:color w:val="000000" w:themeColor="text1"/>
          <w:sz w:val="24"/>
        </w:rPr>
        <w:sectPr w:rsidR="00422B4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9D7DB3F" w14:textId="77777777" w:rsidR="00422B4B" w:rsidRPr="00F07A5E" w:rsidRDefault="00422B4B" w:rsidP="00422B4B">
      <w:pPr>
        <w:pStyle w:val="a3"/>
        <w:jc w:val="both"/>
        <w:rPr>
          <w:rFonts w:ascii="Times New Roman" w:hAnsi="Times New Roman" w:cs="Times New Roman"/>
        </w:rPr>
      </w:pPr>
      <w:bookmarkStart w:id="4" w:name="OLE_LINK356"/>
      <w:bookmarkStart w:id="5" w:name="OLE_LINK357"/>
      <w:r w:rsidRPr="00FA6424">
        <w:rPr>
          <w:rFonts w:ascii="Times New Roman" w:hAnsi="Times New Roman" w:cs="Times New Roman"/>
          <w:b/>
        </w:rPr>
        <w:lastRenderedPageBreak/>
        <w:t>Appendix</w:t>
      </w:r>
      <w:r w:rsidRPr="00D717C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2</w:t>
      </w:r>
      <w:r w:rsidRPr="00D717CB">
        <w:rPr>
          <w:rFonts w:ascii="Times New Roman" w:hAnsi="Times New Roman" w:cs="Times New Roman"/>
        </w:rPr>
        <w:t xml:space="preserve">] </w:t>
      </w:r>
      <w:r w:rsidRPr="00F07A5E">
        <w:rPr>
          <w:rFonts w:ascii="Times New Roman" w:hAnsi="Times New Roman" w:cs="Times New Roman"/>
          <w:sz w:val="28"/>
          <w:szCs w:val="28"/>
        </w:rPr>
        <w:t>plantar pressure test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76D84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right</w:t>
      </w:r>
      <w:r w:rsidRPr="00576D84">
        <w:rPr>
          <w:rFonts w:ascii="Times New Roman" w:hAnsi="Times New Roman" w:cs="Times New Roman"/>
          <w:sz w:val="28"/>
          <w:szCs w:val="28"/>
        </w:rPr>
        <w:t>-sided hemiplegia)</w:t>
      </w:r>
    </w:p>
    <w:p w14:paraId="4902D528" w14:textId="77777777" w:rsidR="00422B4B" w:rsidRDefault="00422B4B" w:rsidP="00422B4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noProof/>
        </w:rPr>
        <w:drawing>
          <wp:inline distT="0" distB="0" distL="0" distR="0" wp14:anchorId="6073AFDD" wp14:editId="512E940A">
            <wp:extent cx="4800600" cy="2730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82E22" w14:textId="77777777" w:rsidR="00422B4B" w:rsidRPr="00965F51" w:rsidRDefault="00422B4B" w:rsidP="00422B4B">
      <w:pPr>
        <w:pStyle w:val="a3"/>
        <w:rPr>
          <w:rFonts w:ascii="Times New Roman" w:eastAsiaTheme="minorEastAsia" w:hAnsi="Times New Roman" w:cs="Times New Roman"/>
          <w:kern w:val="2"/>
          <w:sz w:val="22"/>
          <w:szCs w:val="28"/>
        </w:rPr>
      </w:pPr>
      <w:r w:rsidRPr="00965F51">
        <w:rPr>
          <w:rFonts w:ascii="Times New Roman" w:eastAsiaTheme="minorEastAsia" w:hAnsi="Times New Roman" w:cs="Times New Roman"/>
          <w:kern w:val="2"/>
          <w:sz w:val="22"/>
          <w:szCs w:val="28"/>
        </w:rPr>
        <w:t>The center of gravity moved back-and-forth, inward-and-outward on the uninvolved side in the forefoot and midfoot.</w:t>
      </w:r>
    </w:p>
    <w:bookmarkEnd w:id="4"/>
    <w:bookmarkEnd w:id="5"/>
    <w:p w14:paraId="10CE9696" w14:textId="77777777" w:rsidR="00422B4B" w:rsidRPr="00FA6424" w:rsidRDefault="00422B4B" w:rsidP="00422B4B">
      <w:pPr>
        <w:rPr>
          <w:rFonts w:ascii="Times New Roman" w:eastAsia="宋体" w:hAnsi="Times New Roman" w:cs="Times New Roman"/>
        </w:rPr>
      </w:pPr>
    </w:p>
    <w:p w14:paraId="48919B37" w14:textId="0C7DDD28" w:rsidR="00422B4B" w:rsidRPr="00422B4B" w:rsidRDefault="00422B4B" w:rsidP="00422B4B">
      <w:pPr>
        <w:spacing w:line="480" w:lineRule="auto"/>
        <w:ind w:firstLine="480"/>
        <w:rPr>
          <w:rFonts w:ascii="Times New Roman" w:eastAsia="宋体" w:hAnsi="Times New Roman" w:cs="Times New Roman" w:hint="eastAsia"/>
          <w:color w:val="000000" w:themeColor="text1"/>
          <w:sz w:val="24"/>
        </w:rPr>
      </w:pPr>
    </w:p>
    <w:p w14:paraId="21F12752" w14:textId="77777777" w:rsidR="009F04A0" w:rsidRDefault="009F04A0"/>
    <w:sectPr w:rsidR="009F04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B4B"/>
    <w:rsid w:val="000C3E4E"/>
    <w:rsid w:val="000E67D7"/>
    <w:rsid w:val="00101533"/>
    <w:rsid w:val="00116DA0"/>
    <w:rsid w:val="00127E7F"/>
    <w:rsid w:val="001B72AB"/>
    <w:rsid w:val="001C1070"/>
    <w:rsid w:val="001F0B58"/>
    <w:rsid w:val="00272205"/>
    <w:rsid w:val="002B0954"/>
    <w:rsid w:val="002D5DF0"/>
    <w:rsid w:val="00343B70"/>
    <w:rsid w:val="00367C3B"/>
    <w:rsid w:val="003B52D5"/>
    <w:rsid w:val="00417717"/>
    <w:rsid w:val="00422B4B"/>
    <w:rsid w:val="00446579"/>
    <w:rsid w:val="004521C5"/>
    <w:rsid w:val="00573A49"/>
    <w:rsid w:val="00580C10"/>
    <w:rsid w:val="005F7816"/>
    <w:rsid w:val="00676AC1"/>
    <w:rsid w:val="00837C4A"/>
    <w:rsid w:val="00864D73"/>
    <w:rsid w:val="008842E5"/>
    <w:rsid w:val="008A513E"/>
    <w:rsid w:val="0090601E"/>
    <w:rsid w:val="009462E3"/>
    <w:rsid w:val="00946DDC"/>
    <w:rsid w:val="00953AE0"/>
    <w:rsid w:val="009623BC"/>
    <w:rsid w:val="009A54DF"/>
    <w:rsid w:val="009D0F06"/>
    <w:rsid w:val="009F04A0"/>
    <w:rsid w:val="009F4DDF"/>
    <w:rsid w:val="00A16F9B"/>
    <w:rsid w:val="00AC47E4"/>
    <w:rsid w:val="00AE050E"/>
    <w:rsid w:val="00B8551E"/>
    <w:rsid w:val="00B85618"/>
    <w:rsid w:val="00BD074B"/>
    <w:rsid w:val="00C00A20"/>
    <w:rsid w:val="00C30868"/>
    <w:rsid w:val="00C345EA"/>
    <w:rsid w:val="00C868AC"/>
    <w:rsid w:val="00CA628E"/>
    <w:rsid w:val="00D60BF4"/>
    <w:rsid w:val="00D80C9E"/>
    <w:rsid w:val="00DF767F"/>
    <w:rsid w:val="00EA0AFD"/>
    <w:rsid w:val="00FB3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D8AA80"/>
  <w15:chartTrackingRefBased/>
  <w15:docId w15:val="{9341334D-C144-F949-BB94-2A644871F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2B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422B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jie</dc:creator>
  <cp:keywords/>
  <dc:description/>
  <cp:lastModifiedBy>wang jie</cp:lastModifiedBy>
  <cp:revision>1</cp:revision>
  <dcterms:created xsi:type="dcterms:W3CDTF">2021-05-07T08:08:00Z</dcterms:created>
  <dcterms:modified xsi:type="dcterms:W3CDTF">2021-05-07T08:10:00Z</dcterms:modified>
</cp:coreProperties>
</file>