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96E0D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 xml:space="preserve">Online Resource </w:t>
      </w:r>
    </w:p>
    <w:p w14:paraId="7BCFE15B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1: We analyzed the association of the selected SNPs from the 16 selected studies from India with diabetic retinopathy and found ambiguity in the results (see table, ESM_1.xlsx).</w:t>
      </w:r>
    </w:p>
    <w:p w14:paraId="71054AD4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2: We analyzed the association of selected covariates from the 16 selected studies from India with diabetic retinopathy and found conflicting results (see table, ESM_2.xlsx).</w:t>
      </w:r>
    </w:p>
    <w:p w14:paraId="7314A112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3: The forest and funnel plots generated in all the models (additive, dominant and recessive) of all the SNPs selected for the meta-analysis in the Indian population are provided (see ESM_3.pdf).</w:t>
      </w:r>
    </w:p>
    <w:p w14:paraId="79742BB1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4: Forest plots depicting the odds ratios (ORs) and 95% CI for the polymorphism: rs2070600/RAGE in regards to its association with diabetic retinopathy risk in the Indian population in fixed- and random-effect dominant models and rs833061/VEGF (additive and dominant models) (see ESM_4.pdf).</w:t>
      </w:r>
    </w:p>
    <w:p w14:paraId="78BD24C0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5: The forest and funnel plots of all the covariates associated with diabetic retinopathy in the Indian population are provided (see ESM_5.pdf).</w:t>
      </w:r>
    </w:p>
    <w:p w14:paraId="0B37D8E8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6: Forest plots depicting the odds ratios (ORs) and 95% CI for the polymorphism: rs2070600/RAGE in regards to its association with diabetic retinopathy risk in the global population in fixed- and random-effect recessive models (see ESM_6.pdf).</w:t>
      </w:r>
    </w:p>
    <w:p w14:paraId="7888F932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7: The details of the studies on rs2070600 (AGER) in world population considered for the meta-analysis (see table, ESM_7.docx).</w:t>
      </w:r>
    </w:p>
    <w:p w14:paraId="39CCE6DB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8: Global Meta-Analysis Results Showing the Statistical Association of rs2070600 (RAGE) with Diabetic Retinopathy; with Crude Odds Ratio (OR), 95% CI, and Heterogeneity Indices, I2, H2. P values are adjusted by Benjamini-H€ochberg FDR correction in fixed and random effects (additive, dominant and recessive model) (see table, ESM_8.docx).</w:t>
      </w:r>
    </w:p>
    <w:p w14:paraId="04C1246C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9: Funnel plot showing no evidence of publication bias between the studies reporting rs2070600/RAGE that were analysed for the recessive model meta-analysis (see ESM_9.pdf).</w:t>
      </w:r>
    </w:p>
    <w:p w14:paraId="009EF3F1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10: The forest and funnel plots generated in all the models (additive, dominant and recessive) for rs2070600 (RAGE) meta-analysis in global population are given (see ESM_10.pdf).</w:t>
      </w:r>
    </w:p>
    <w:p w14:paraId="6D011A92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11: The details of the studies on rs833061 (VEGF) in world population considered for the meta-analysis (see table, ESM_11.docx).</w:t>
      </w:r>
    </w:p>
    <w:p w14:paraId="5E6551D1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t>Online Resource 12: Global Meta-Analysis Results Showing the Statistical Association of rs833061 (VEGF) with Diabetic Retinopathy; with Crude Odds Ratio (OR), 95% CI, and Heterogeneity Indices, I2, H2. P values are adjusted by Benjamini-H€ochberg FDR correction in fixed and random effects (additive, dominant and recessive model) (see table, ESM_12.docx).</w:t>
      </w:r>
    </w:p>
    <w:p w14:paraId="7000B130" w14:textId="77777777" w:rsidR="00DA7CDE" w:rsidRPr="00DA7CDE" w:rsidRDefault="00DA7CDE" w:rsidP="00DA7CDE">
      <w:pPr>
        <w:rPr>
          <w:b/>
          <w:bCs/>
          <w:lang w:val="en-IN"/>
        </w:rPr>
      </w:pPr>
      <w:r w:rsidRPr="00DA7CDE">
        <w:rPr>
          <w:b/>
          <w:bCs/>
          <w:lang w:val="en-IN"/>
        </w:rPr>
        <w:lastRenderedPageBreak/>
        <w:t>Online Resource 13: The forest and funnel plots generated in all the models (additive, dominant and recessive) for rs833061 (VEGF) meta-analysis in global population are given (see ESM_13.pdf).</w:t>
      </w:r>
    </w:p>
    <w:p w14:paraId="1B397B3C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CDE"/>
    <w:rsid w:val="005D7902"/>
    <w:rsid w:val="00732981"/>
    <w:rsid w:val="00AC0449"/>
    <w:rsid w:val="00AD604E"/>
    <w:rsid w:val="00DA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79E97"/>
  <w15:chartTrackingRefBased/>
  <w15:docId w15:val="{7EDB19F7-2D26-4D69-ACBF-CD115B0E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7C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7C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7C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7C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7C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7C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7C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7C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7C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7C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7C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7C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7C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7C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7C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7C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7C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7C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7C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7C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7C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7C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7C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7C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7C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7C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7C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7C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7C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83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2489</Characters>
  <Application>Microsoft Office Word</Application>
  <DocSecurity>0</DocSecurity>
  <Lines>20</Lines>
  <Paragraphs>5</Paragraphs>
  <ScaleCrop>false</ScaleCrop>
  <Company>Springer Nature</Company>
  <LinksUpToDate>false</LinksUpToDate>
  <CharactersWithSpaces>2920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2024-12-05T14:59:00Z</dcterms:created>
  <dcterms:modified xsi:type="dcterms:W3CDTF">2024-12-05T14:59:00Z</dcterms:modified>
</cp:coreProperties>
</file>