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8097F" w:rsidRDefault="00000000">
      <w:pPr>
        <w:pStyle w:val="SupplementaryMaterial"/>
        <w:rPr>
          <w:b w:val="0"/>
        </w:rPr>
      </w:pPr>
      <w:r>
        <w:t>Supplementary Material</w:t>
      </w:r>
    </w:p>
    <w:p w:rsidR="00A8097F" w:rsidRDefault="00000000">
      <w:pPr>
        <w:pStyle w:val="1"/>
      </w:pPr>
      <w:r>
        <w:t xml:space="preserve">Supplementary Figure and Table </w:t>
      </w:r>
      <w:r>
        <w:rPr>
          <w:rFonts w:hint="eastAsia"/>
          <w:lang w:eastAsia="zh-Hans"/>
        </w:rPr>
        <w:t>len</w:t>
      </w:r>
      <w:r>
        <w:rPr>
          <w:lang w:eastAsia="zh-Hans"/>
        </w:rPr>
        <w:t>gends</w:t>
      </w:r>
    </w:p>
    <w:p w:rsidR="00A8097F" w:rsidRDefault="00000000">
      <w:pPr>
        <w:pStyle w:val="1"/>
        <w:numPr>
          <w:ilvl w:val="1"/>
          <w:numId w:val="3"/>
        </w:numPr>
        <w:ind w:left="120" w:hangingChars="50" w:hanging="120"/>
      </w:pPr>
      <w:r>
        <w:t xml:space="preserve">   Supplementar</w:t>
      </w:r>
      <w:r>
        <w:rPr>
          <w:rFonts w:hint="eastAsia"/>
          <w:lang w:eastAsia="zh-Hans"/>
        </w:rPr>
        <w:t>y</w:t>
      </w:r>
      <w:r>
        <w:rPr>
          <w:lang w:eastAsia="zh-Hans"/>
        </w:rPr>
        <w:t xml:space="preserve"> </w:t>
      </w:r>
      <w:r>
        <w:t>Figures</w:t>
      </w:r>
    </w:p>
    <w:p w:rsidR="002B6652" w:rsidRDefault="002B6652" w:rsidP="002B6652">
      <w:r>
        <w:rPr>
          <w:noProof/>
        </w:rPr>
        <w:drawing>
          <wp:inline distT="0" distB="0" distL="0" distR="0" wp14:anchorId="0407B3F1" wp14:editId="368EE4EA">
            <wp:extent cx="5653087" cy="5745090"/>
            <wp:effectExtent l="0" t="0" r="5080" b="8255"/>
            <wp:docPr id="20979775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608" cy="577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E7F" w:rsidRDefault="002B6652" w:rsidP="002B6652">
      <w:pPr>
        <w:pStyle w:val="a"/>
        <w:numPr>
          <w:ilvl w:val="0"/>
          <w:numId w:val="0"/>
        </w:numPr>
        <w:rPr>
          <w:color w:val="000000"/>
        </w:rPr>
      </w:pPr>
      <w:r w:rsidRPr="002B6652">
        <w:rPr>
          <w:b/>
          <w:bCs/>
          <w:color w:val="000000"/>
        </w:rPr>
        <w:t xml:space="preserve">Supplementary Figure 1. </w:t>
      </w:r>
      <w:r w:rsidRPr="002B6652">
        <w:rPr>
          <w:color w:val="000000"/>
        </w:rPr>
        <w:t xml:space="preserve">Quality control and dimension reduction analysis of single-cell sequencing data. </w:t>
      </w:r>
      <w:r w:rsidRPr="002B6652">
        <w:rPr>
          <w:b/>
          <w:bCs/>
          <w:color w:val="000000"/>
        </w:rPr>
        <w:t>(A)</w:t>
      </w:r>
      <w:r w:rsidRPr="002B6652">
        <w:rPr>
          <w:color w:val="000000"/>
        </w:rPr>
        <w:t xml:space="preserve"> Excluded cells that did not meet the criteria for quality control. </w:t>
      </w:r>
      <w:r w:rsidRPr="002B6652">
        <w:rPr>
          <w:b/>
          <w:bCs/>
          <w:color w:val="000000"/>
        </w:rPr>
        <w:t>(B)</w:t>
      </w:r>
      <w:r w:rsidRPr="002B6652">
        <w:rPr>
          <w:color w:val="000000"/>
        </w:rPr>
        <w:t xml:space="preserve"> Correlation of sequencing depth and total intracellular sequence. </w:t>
      </w:r>
      <w:r w:rsidRPr="002B6652">
        <w:rPr>
          <w:b/>
          <w:bCs/>
          <w:color w:val="000000"/>
        </w:rPr>
        <w:t>(C)</w:t>
      </w:r>
      <w:r w:rsidRPr="002B6652">
        <w:rPr>
          <w:color w:val="000000"/>
        </w:rPr>
        <w:t xml:space="preserve"> The principal component analysis for cell</w:t>
      </w:r>
      <w:r>
        <w:rPr>
          <w:color w:val="000000"/>
        </w:rPr>
        <w:t xml:space="preserve"> </w:t>
      </w:r>
      <w:r w:rsidRPr="002B6652">
        <w:rPr>
          <w:color w:val="000000"/>
        </w:rPr>
        <w:t xml:space="preserve">cycle. </w:t>
      </w:r>
      <w:r w:rsidRPr="002B6652">
        <w:rPr>
          <w:b/>
          <w:bCs/>
          <w:color w:val="000000"/>
        </w:rPr>
        <w:t>(D)</w:t>
      </w:r>
      <w:r w:rsidRPr="002B6652">
        <w:rPr>
          <w:color w:val="000000"/>
        </w:rPr>
        <w:t xml:space="preserve"> Expression of marker genes that identify cell types.</w:t>
      </w:r>
    </w:p>
    <w:p w:rsidR="002B6652" w:rsidRPr="002B6652" w:rsidRDefault="002B6652" w:rsidP="002B6652">
      <w:pPr>
        <w:pStyle w:val="a"/>
        <w:numPr>
          <w:ilvl w:val="0"/>
          <w:numId w:val="0"/>
        </w:numPr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22F0BFF9" wp14:editId="09017A91">
            <wp:extent cx="5267325" cy="3710305"/>
            <wp:effectExtent l="0" t="0" r="9525" b="4445"/>
            <wp:docPr id="9894115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52" w:rsidRDefault="002B6652" w:rsidP="002B6652">
      <w:pPr>
        <w:pStyle w:val="a"/>
        <w:numPr>
          <w:ilvl w:val="0"/>
          <w:numId w:val="0"/>
        </w:numPr>
        <w:jc w:val="both"/>
        <w:rPr>
          <w:color w:val="000000"/>
        </w:rPr>
      </w:pPr>
      <w:r w:rsidRPr="002B6652">
        <w:rPr>
          <w:b/>
          <w:bCs/>
          <w:color w:val="000000"/>
        </w:rPr>
        <w:t xml:space="preserve">Supplementary Figure 2. </w:t>
      </w:r>
      <w:r w:rsidRPr="002B6652">
        <w:rPr>
          <w:color w:val="000000"/>
        </w:rPr>
        <w:t>Clustering based on overlapping genes between DEGs of DSR clusters, WGCNA gene modules</w:t>
      </w:r>
      <w:r w:rsidRPr="002B6652">
        <w:t xml:space="preserve"> </w:t>
      </w:r>
      <w:r w:rsidRPr="002B6652">
        <w:rPr>
          <w:color w:val="000000"/>
        </w:rPr>
        <w:t>as well as DEGs obtained from scRNA-Seq analysis.</w:t>
      </w:r>
      <w:r w:rsidRPr="002B6652">
        <w:rPr>
          <w:b/>
          <w:bCs/>
          <w:color w:val="000000"/>
        </w:rPr>
        <w:t xml:space="preserve"> (A) </w:t>
      </w:r>
      <w:r w:rsidRPr="002B6652">
        <w:rPr>
          <w:color w:val="000000"/>
        </w:rPr>
        <w:t>Overlapping genes (DPRGs) between DEGs and DSR clusters, WGCNA gene modules</w:t>
      </w:r>
      <w:r w:rsidRPr="002B6652">
        <w:t xml:space="preserve">, and </w:t>
      </w:r>
      <w:r w:rsidRPr="002B6652">
        <w:rPr>
          <w:color w:val="000000"/>
        </w:rPr>
        <w:t xml:space="preserve">DEGs obtained from scRNA-Seq analysis. </w:t>
      </w:r>
      <w:r w:rsidRPr="002B6652">
        <w:rPr>
          <w:b/>
          <w:bCs/>
          <w:color w:val="000000"/>
        </w:rPr>
        <w:t>(B)</w:t>
      </w:r>
      <w:r w:rsidRPr="002B6652">
        <w:rPr>
          <w:color w:val="000000"/>
        </w:rPr>
        <w:t xml:space="preserve"> KEGG enrichment analysis of DPRGs. </w:t>
      </w:r>
      <w:r w:rsidRPr="002B6652">
        <w:rPr>
          <w:b/>
          <w:bCs/>
          <w:color w:val="000000"/>
        </w:rPr>
        <w:t xml:space="preserve">(C) </w:t>
      </w:r>
      <w:r w:rsidRPr="002B6652">
        <w:rPr>
          <w:color w:val="000000"/>
        </w:rPr>
        <w:t>Consensus clustering of OS-related DPRGs.</w:t>
      </w:r>
      <w:r w:rsidRPr="002B6652">
        <w:rPr>
          <w:b/>
          <w:bCs/>
          <w:color w:val="000000"/>
        </w:rPr>
        <w:t xml:space="preserve"> (D) </w:t>
      </w:r>
      <w:r w:rsidRPr="002B6652">
        <w:rPr>
          <w:color w:val="000000"/>
        </w:rPr>
        <w:t xml:space="preserve">Kaplan–Meier curves for LUAD patients in two DPRG clusters. </w:t>
      </w:r>
      <w:r w:rsidRPr="002B6652">
        <w:rPr>
          <w:b/>
          <w:bCs/>
          <w:color w:val="000000"/>
        </w:rPr>
        <w:t xml:space="preserve">(E–G) </w:t>
      </w:r>
      <w:r w:rsidRPr="002B6652">
        <w:rPr>
          <w:color w:val="000000"/>
        </w:rPr>
        <w:t>PCA, t-SNE, and UMAP analysis for the two</w:t>
      </w:r>
      <w:r w:rsidRPr="002B6652">
        <w:rPr>
          <w:b/>
          <w:bCs/>
          <w:color w:val="000000"/>
        </w:rPr>
        <w:t xml:space="preserve"> </w:t>
      </w:r>
      <w:r w:rsidRPr="002B6652">
        <w:rPr>
          <w:color w:val="000000"/>
        </w:rPr>
        <w:t xml:space="preserve">clusters, respectively. </w:t>
      </w:r>
      <w:r w:rsidRPr="002B6652">
        <w:rPr>
          <w:b/>
          <w:bCs/>
          <w:color w:val="000000"/>
        </w:rPr>
        <w:t xml:space="preserve">(H) </w:t>
      </w:r>
      <w:r w:rsidRPr="002B6652">
        <w:rPr>
          <w:color w:val="000000"/>
        </w:rPr>
        <w:t>Differential expression levels of the nine DSRs in two DPRG clusters.</w:t>
      </w:r>
    </w:p>
    <w:p w:rsidR="002B6652" w:rsidRPr="002B6652" w:rsidRDefault="002B6652" w:rsidP="002B6652">
      <w:pPr>
        <w:pStyle w:val="a"/>
        <w:numPr>
          <w:ilvl w:val="0"/>
          <w:numId w:val="0"/>
        </w:numPr>
        <w:jc w:val="both"/>
        <w:rPr>
          <w:color w:val="000000"/>
        </w:rPr>
      </w:pPr>
    </w:p>
    <w:p w:rsidR="002B6652" w:rsidRDefault="002B6652" w:rsidP="002B6652">
      <w:pPr>
        <w:pStyle w:val="a"/>
        <w:numPr>
          <w:ilvl w:val="0"/>
          <w:numId w:val="0"/>
        </w:numPr>
        <w:jc w:val="both"/>
        <w:rPr>
          <w:b/>
          <w:bCs/>
          <w:color w:val="000000"/>
        </w:rPr>
      </w:pPr>
    </w:p>
    <w:p w:rsidR="00DE0FC2" w:rsidRPr="002B6652" w:rsidRDefault="00DE0FC2" w:rsidP="002B6652">
      <w:pPr>
        <w:pStyle w:val="a"/>
        <w:numPr>
          <w:ilvl w:val="0"/>
          <w:numId w:val="0"/>
        </w:numPr>
        <w:jc w:val="both"/>
        <w:rPr>
          <w:b/>
          <w:bCs/>
          <w:color w:val="000000"/>
        </w:rPr>
      </w:pPr>
    </w:p>
    <w:p w:rsidR="002B6652" w:rsidRDefault="002B6652" w:rsidP="005B0E7F">
      <w:pPr>
        <w:pStyle w:val="a"/>
        <w:numPr>
          <w:ilvl w:val="0"/>
          <w:numId w:val="0"/>
        </w:numPr>
      </w:pPr>
      <w:r>
        <w:rPr>
          <w:rFonts w:hint="eastAsia"/>
          <w:noProof/>
        </w:rPr>
        <w:lastRenderedPageBreak/>
        <w:drawing>
          <wp:inline distT="0" distB="0" distL="0" distR="0" wp14:anchorId="18C7CE9E" wp14:editId="444E30E1">
            <wp:extent cx="5267325" cy="2919730"/>
            <wp:effectExtent l="0" t="0" r="9525" b="0"/>
            <wp:docPr id="9183742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52" w:rsidRPr="002B6652" w:rsidRDefault="002B6652" w:rsidP="002B6652">
      <w:pPr>
        <w:pStyle w:val="a"/>
        <w:numPr>
          <w:ilvl w:val="0"/>
          <w:numId w:val="0"/>
        </w:numPr>
        <w:jc w:val="both"/>
        <w:rPr>
          <w:color w:val="000000"/>
        </w:rPr>
      </w:pPr>
      <w:r w:rsidRPr="002B6652">
        <w:rPr>
          <w:b/>
          <w:bCs/>
          <w:color w:val="000000"/>
        </w:rPr>
        <w:t xml:space="preserve">Supplementary Figure 3. </w:t>
      </w:r>
      <w:r w:rsidRPr="002B6652">
        <w:rPr>
          <w:color w:val="000000"/>
        </w:rPr>
        <w:t xml:space="preserve">Validation of the risk model. </w:t>
      </w:r>
      <w:r w:rsidRPr="002B6652">
        <w:rPr>
          <w:b/>
          <w:bCs/>
          <w:color w:val="000000"/>
        </w:rPr>
        <w:t xml:space="preserve">(A) </w:t>
      </w:r>
      <w:r w:rsidRPr="002B6652">
        <w:rPr>
          <w:color w:val="000000"/>
        </w:rPr>
        <w:t xml:space="preserve">Kaplan–Meier OS curves for LUAD patients in the low-risk and high-risk groups based on the risk signature in the indicated datasets. </w:t>
      </w:r>
      <w:r w:rsidRPr="002B6652">
        <w:rPr>
          <w:b/>
          <w:bCs/>
          <w:color w:val="000000"/>
        </w:rPr>
        <w:t xml:space="preserve">(B) </w:t>
      </w:r>
      <w:r w:rsidRPr="002B6652">
        <w:rPr>
          <w:color w:val="000000"/>
        </w:rPr>
        <w:t xml:space="preserve">ROC curves validate the prognostic capability of risk signature in the indicated datasets at 1, 3, and 5 years, respectively. </w:t>
      </w:r>
      <w:r w:rsidRPr="002B6652">
        <w:rPr>
          <w:b/>
          <w:bCs/>
          <w:color w:val="000000"/>
        </w:rPr>
        <w:t xml:space="preserve">(C) </w:t>
      </w:r>
      <w:r w:rsidRPr="002B6652">
        <w:rPr>
          <w:color w:val="000000"/>
        </w:rPr>
        <w:t xml:space="preserve">Differential gene expression in the risk signature between low-risk and high-risk groups in the indicated datasets. </w:t>
      </w:r>
      <w:r w:rsidRPr="002B6652">
        <w:rPr>
          <w:b/>
          <w:bCs/>
          <w:color w:val="000000"/>
        </w:rPr>
        <w:t>(D)</w:t>
      </w:r>
      <w:r w:rsidRPr="002B6652">
        <w:rPr>
          <w:color w:val="000000"/>
        </w:rPr>
        <w:t xml:space="preserve"> Survival time and survival status of LUAD patients with various risk scores in the indicated datasets. </w:t>
      </w:r>
      <w:r w:rsidRPr="002B6652">
        <w:rPr>
          <w:b/>
          <w:bCs/>
          <w:color w:val="000000"/>
        </w:rPr>
        <w:t xml:space="preserve">(E–F) </w:t>
      </w:r>
      <w:r w:rsidRPr="002B6652">
        <w:rPr>
          <w:color w:val="000000"/>
        </w:rPr>
        <w:t xml:space="preserve">Correlation of the seven genes in risk signature with DSRs (E) and PPP related genes (F). </w:t>
      </w:r>
      <w:r w:rsidRPr="002B6652">
        <w:rPr>
          <w:b/>
          <w:bCs/>
          <w:color w:val="000000"/>
        </w:rPr>
        <w:t xml:space="preserve">(G–H) </w:t>
      </w:r>
      <w:r w:rsidRPr="002B6652">
        <w:rPr>
          <w:color w:val="000000"/>
        </w:rPr>
        <w:t>Risk score differences among DSR clusters (G) and DPRG clusters (H). *</w:t>
      </w:r>
      <w:r w:rsidRPr="002B6652">
        <w:rPr>
          <w:i/>
          <w:iCs/>
          <w:color w:val="000000"/>
        </w:rPr>
        <w:t>p</w:t>
      </w:r>
      <w:r w:rsidRPr="002B6652">
        <w:rPr>
          <w:color w:val="000000"/>
        </w:rPr>
        <w:t xml:space="preserve"> &lt; 0.05, and **</w:t>
      </w:r>
      <w:r w:rsidRPr="002B6652">
        <w:rPr>
          <w:i/>
          <w:iCs/>
          <w:color w:val="000000"/>
        </w:rPr>
        <w:t xml:space="preserve">p </w:t>
      </w:r>
      <w:r w:rsidRPr="002B6652">
        <w:rPr>
          <w:color w:val="000000"/>
        </w:rPr>
        <w:t>&lt; 0.01.</w:t>
      </w:r>
    </w:p>
    <w:p w:rsidR="002B6652" w:rsidRDefault="002B6652" w:rsidP="002B6652">
      <w:pPr>
        <w:pStyle w:val="a"/>
        <w:numPr>
          <w:ilvl w:val="0"/>
          <w:numId w:val="0"/>
        </w:numPr>
      </w:pPr>
      <w:r>
        <w:rPr>
          <w:rFonts w:hint="eastAsia"/>
          <w:noProof/>
        </w:rPr>
        <w:lastRenderedPageBreak/>
        <w:drawing>
          <wp:inline distT="0" distB="0" distL="0" distR="0" wp14:anchorId="06B60B66" wp14:editId="10DFEB80">
            <wp:extent cx="5267325" cy="6505575"/>
            <wp:effectExtent l="0" t="0" r="9525" b="9525"/>
            <wp:docPr id="200725198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52" w:rsidRPr="002B6652" w:rsidRDefault="002B6652" w:rsidP="002B6652">
      <w:pPr>
        <w:pStyle w:val="a"/>
        <w:numPr>
          <w:ilvl w:val="0"/>
          <w:numId w:val="0"/>
        </w:numPr>
        <w:jc w:val="both"/>
        <w:rPr>
          <w:color w:val="000000"/>
        </w:rPr>
      </w:pPr>
      <w:r w:rsidRPr="002B6652">
        <w:rPr>
          <w:b/>
          <w:bCs/>
          <w:color w:val="000000"/>
        </w:rPr>
        <w:t xml:space="preserve">Supplementary Figure 4. </w:t>
      </w:r>
      <w:r w:rsidRPr="002B6652">
        <w:rPr>
          <w:color w:val="000000"/>
        </w:rPr>
        <w:t xml:space="preserve">Associations of the risk signature with TIME and </w:t>
      </w:r>
      <w:r w:rsidRPr="002B6652">
        <w:t xml:space="preserve">cytokine expression. </w:t>
      </w:r>
      <w:r w:rsidRPr="002B6652">
        <w:rPr>
          <w:b/>
          <w:bCs/>
          <w:color w:val="000000"/>
        </w:rPr>
        <w:t xml:space="preserve">(A) </w:t>
      </w:r>
      <w:r w:rsidRPr="002B6652">
        <w:rPr>
          <w:color w:val="000000"/>
        </w:rPr>
        <w:t xml:space="preserve">Correlation of the risk signature with infiltrating immune cell populations. </w:t>
      </w:r>
      <w:r w:rsidRPr="002B6652">
        <w:rPr>
          <w:b/>
          <w:bCs/>
          <w:color w:val="000000"/>
        </w:rPr>
        <w:t xml:space="preserve">(B) </w:t>
      </w:r>
      <w:r w:rsidRPr="002B6652">
        <w:rPr>
          <w:color w:val="000000"/>
        </w:rPr>
        <w:t>Differences in mRNA expression of cytokines and their receptors in low-risk and high-risk groups. *</w:t>
      </w:r>
      <w:r w:rsidRPr="002B6652">
        <w:rPr>
          <w:i/>
          <w:iCs/>
          <w:color w:val="000000"/>
        </w:rPr>
        <w:t>p</w:t>
      </w:r>
      <w:r w:rsidRPr="002B6652">
        <w:rPr>
          <w:color w:val="000000"/>
        </w:rPr>
        <w:t xml:space="preserve"> &lt; 0.05, **</w:t>
      </w:r>
      <w:r w:rsidRPr="002B6652">
        <w:rPr>
          <w:i/>
          <w:iCs/>
          <w:color w:val="000000"/>
        </w:rPr>
        <w:t xml:space="preserve">p </w:t>
      </w:r>
      <w:r w:rsidRPr="002B6652">
        <w:rPr>
          <w:color w:val="000000"/>
        </w:rPr>
        <w:t>&lt; 0.01, and ***</w:t>
      </w:r>
      <w:r w:rsidRPr="002B6652">
        <w:rPr>
          <w:i/>
          <w:iCs/>
          <w:color w:val="000000"/>
        </w:rPr>
        <w:t>p</w:t>
      </w:r>
      <w:r w:rsidRPr="002B6652">
        <w:rPr>
          <w:color w:val="000000"/>
        </w:rPr>
        <w:t xml:space="preserve"> &lt; 0.001.</w:t>
      </w:r>
    </w:p>
    <w:p w:rsidR="002B6652" w:rsidRDefault="002B6652" w:rsidP="002B6652">
      <w:pPr>
        <w:pStyle w:val="a"/>
        <w:numPr>
          <w:ilvl w:val="0"/>
          <w:numId w:val="0"/>
        </w:numPr>
      </w:pPr>
      <w:r>
        <w:rPr>
          <w:rFonts w:hint="eastAsia"/>
          <w:noProof/>
        </w:rPr>
        <w:lastRenderedPageBreak/>
        <w:drawing>
          <wp:inline distT="0" distB="0" distL="0" distR="0" wp14:anchorId="795A3DC0" wp14:editId="15FFEE0E">
            <wp:extent cx="5267325" cy="6505575"/>
            <wp:effectExtent l="0" t="0" r="9525" b="9525"/>
            <wp:docPr id="20619596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52" w:rsidRDefault="002B6652" w:rsidP="002B6652">
      <w:pPr>
        <w:pStyle w:val="a"/>
        <w:numPr>
          <w:ilvl w:val="0"/>
          <w:numId w:val="0"/>
        </w:numPr>
      </w:pPr>
      <w:r w:rsidRPr="002B6652">
        <w:rPr>
          <w:b/>
          <w:bCs/>
          <w:color w:val="000000"/>
        </w:rPr>
        <w:t xml:space="preserve">Supplementary Figure 5. </w:t>
      </w:r>
      <w:r w:rsidRPr="002B6652">
        <w:rPr>
          <w:color w:val="000000"/>
        </w:rPr>
        <w:t>Kaplan–Meier curves for LUAD patients based on risk score and immune checkpoint expression level.</w:t>
      </w:r>
    </w:p>
    <w:p w:rsidR="002B6652" w:rsidRPr="002B6652" w:rsidRDefault="002B6652" w:rsidP="002B6652">
      <w:pPr>
        <w:pStyle w:val="a"/>
        <w:numPr>
          <w:ilvl w:val="0"/>
          <w:numId w:val="0"/>
        </w:numPr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165C59F1" wp14:editId="6FF337A2">
            <wp:extent cx="5267325" cy="6505575"/>
            <wp:effectExtent l="0" t="0" r="9525" b="9525"/>
            <wp:docPr id="204659546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52" w:rsidRPr="002B6652" w:rsidRDefault="002B6652" w:rsidP="002B6652">
      <w:pPr>
        <w:pStyle w:val="a"/>
        <w:numPr>
          <w:ilvl w:val="0"/>
          <w:numId w:val="0"/>
        </w:numPr>
        <w:rPr>
          <w:color w:val="000000"/>
        </w:rPr>
      </w:pPr>
      <w:r w:rsidRPr="002B6652">
        <w:rPr>
          <w:b/>
          <w:bCs/>
          <w:color w:val="000000"/>
        </w:rPr>
        <w:t xml:space="preserve">Supplementary Figure 6. </w:t>
      </w:r>
      <w:r w:rsidRPr="002B6652">
        <w:rPr>
          <w:color w:val="000000"/>
        </w:rPr>
        <w:t xml:space="preserve">Drug sensitivity of the risk signature. </w:t>
      </w:r>
      <w:r w:rsidRPr="002B6652">
        <w:rPr>
          <w:b/>
          <w:bCs/>
          <w:color w:val="000000"/>
        </w:rPr>
        <w:t xml:space="preserve">(A) </w:t>
      </w:r>
      <w:r w:rsidRPr="002B6652">
        <w:rPr>
          <w:color w:val="000000"/>
        </w:rPr>
        <w:t xml:space="preserve">Sensitivity to commonly used drugs in low-risk and high-risk groups. </w:t>
      </w:r>
      <w:r w:rsidRPr="002B6652">
        <w:rPr>
          <w:b/>
          <w:bCs/>
          <w:color w:val="000000"/>
        </w:rPr>
        <w:t xml:space="preserve">(B) </w:t>
      </w:r>
      <w:r w:rsidRPr="002B6652">
        <w:rPr>
          <w:color w:val="000000"/>
        </w:rPr>
        <w:t>Screening for drugs that are more effective to the high-risk group.</w:t>
      </w:r>
    </w:p>
    <w:p w:rsidR="002B6652" w:rsidRDefault="002B6652" w:rsidP="002B6652">
      <w:pPr>
        <w:pStyle w:val="a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60AA2DD2" wp14:editId="7BACC7BF">
            <wp:extent cx="5267325" cy="3881755"/>
            <wp:effectExtent l="0" t="0" r="9525" b="4445"/>
            <wp:docPr id="13965189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52" w:rsidRPr="002B6652" w:rsidRDefault="002B6652" w:rsidP="002B6652">
      <w:pPr>
        <w:pStyle w:val="a"/>
        <w:numPr>
          <w:ilvl w:val="0"/>
          <w:numId w:val="0"/>
        </w:numPr>
        <w:jc w:val="both"/>
        <w:rPr>
          <w:color w:val="000000"/>
        </w:rPr>
      </w:pPr>
      <w:r w:rsidRPr="002B6652">
        <w:rPr>
          <w:b/>
          <w:bCs/>
          <w:color w:val="000000"/>
        </w:rPr>
        <w:t xml:space="preserve">Supplementary Figure 7. </w:t>
      </w:r>
      <w:r w:rsidRPr="002B6652">
        <w:rPr>
          <w:color w:val="000000"/>
        </w:rPr>
        <w:t>Correlation of LRRC61 expression with immune cell populations in pan-cancer.</w:t>
      </w:r>
    </w:p>
    <w:p w:rsidR="002B6652" w:rsidRDefault="002B6652" w:rsidP="002B6652">
      <w:pPr>
        <w:pStyle w:val="a"/>
        <w:numPr>
          <w:ilvl w:val="0"/>
          <w:numId w:val="0"/>
        </w:numPr>
      </w:pPr>
      <w:r>
        <w:rPr>
          <w:rFonts w:hint="eastAsia"/>
          <w:noProof/>
        </w:rPr>
        <w:lastRenderedPageBreak/>
        <w:drawing>
          <wp:inline distT="0" distB="0" distL="0" distR="0" wp14:anchorId="2E77F142" wp14:editId="4A6F4904">
            <wp:extent cx="5267325" cy="6505575"/>
            <wp:effectExtent l="0" t="0" r="9525" b="9525"/>
            <wp:docPr id="97909126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52" w:rsidRPr="002B6652" w:rsidRDefault="002B6652" w:rsidP="002B6652">
      <w:pPr>
        <w:pStyle w:val="a"/>
        <w:numPr>
          <w:ilvl w:val="0"/>
          <w:numId w:val="0"/>
        </w:numPr>
        <w:rPr>
          <w:b/>
          <w:bCs/>
          <w:color w:val="000000"/>
        </w:rPr>
      </w:pPr>
      <w:r w:rsidRPr="002B6652">
        <w:rPr>
          <w:b/>
          <w:bCs/>
          <w:color w:val="000000"/>
        </w:rPr>
        <w:t xml:space="preserve">Supplementary Figure 8. </w:t>
      </w:r>
      <w:r w:rsidRPr="002B6652">
        <w:rPr>
          <w:color w:val="000000"/>
        </w:rPr>
        <w:t>Correlation of LRRC61 expression with immune checkpoint expression in pan-cancer.</w:t>
      </w:r>
    </w:p>
    <w:p w:rsidR="00A8097F" w:rsidRDefault="00A8097F"/>
    <w:p w:rsidR="00A8097F" w:rsidRDefault="00A8097F">
      <w:pPr>
        <w:rPr>
          <w:color w:val="000000"/>
        </w:rPr>
      </w:pPr>
    </w:p>
    <w:p w:rsidR="00A8097F" w:rsidRDefault="00A8097F">
      <w:pPr>
        <w:spacing w:before="240"/>
        <w:rPr>
          <w:color w:val="000000"/>
        </w:rPr>
      </w:pPr>
    </w:p>
    <w:p w:rsidR="002B6652" w:rsidRDefault="002B6652">
      <w:pPr>
        <w:spacing w:before="240"/>
        <w:rPr>
          <w:color w:val="000000"/>
        </w:rPr>
      </w:pPr>
    </w:p>
    <w:p w:rsidR="00A8097F" w:rsidRDefault="00000000">
      <w:pPr>
        <w:spacing w:before="240"/>
        <w:rPr>
          <w:rFonts w:ascii="Times New Roman Bold" w:hAnsi="Times New Roman Bold" w:cs="Times New Roman Bold"/>
          <w:b/>
          <w:bCs/>
          <w:color w:val="000000"/>
        </w:rPr>
      </w:pPr>
      <w:r>
        <w:rPr>
          <w:rFonts w:ascii="Times New Roman Bold" w:hAnsi="Times New Roman Bold" w:cs="Times New Roman Bold"/>
          <w:b/>
          <w:bCs/>
          <w:color w:val="000000"/>
        </w:rPr>
        <w:lastRenderedPageBreak/>
        <w:t>1.2    Supplementary Tables</w:t>
      </w:r>
    </w:p>
    <w:p w:rsidR="00A8097F" w:rsidRDefault="00000000">
      <w:pPr>
        <w:spacing w:before="240"/>
        <w:rPr>
          <w:color w:val="000000"/>
        </w:rPr>
      </w:pPr>
      <w:r>
        <w:rPr>
          <w:rFonts w:ascii="Times New Roman Bold" w:hAnsi="Times New Roman Bold" w:cs="Times New Roman Bold"/>
          <w:b/>
          <w:bCs/>
          <w:color w:val="000000"/>
        </w:rPr>
        <w:t>Supplementary Table 1.</w:t>
      </w:r>
      <w:r>
        <w:rPr>
          <w:color w:val="000000"/>
        </w:rPr>
        <w:t xml:space="preserve"> </w:t>
      </w:r>
      <w:r w:rsidR="00BE0843" w:rsidRPr="00BE0843">
        <w:rPr>
          <w:color w:val="000000"/>
        </w:rPr>
        <w:t>Oligonucleotides used in this study.</w:t>
      </w:r>
      <w:r>
        <w:rPr>
          <w:color w:val="000000"/>
        </w:rPr>
        <w:tab/>
      </w:r>
      <w:r>
        <w:rPr>
          <w:color w:val="000000"/>
        </w:rPr>
        <w:tab/>
      </w:r>
    </w:p>
    <w:p w:rsidR="00A8097F" w:rsidRDefault="00000000">
      <w:pPr>
        <w:spacing w:before="240"/>
        <w:rPr>
          <w:color w:val="000000"/>
        </w:rPr>
      </w:pPr>
      <w:r>
        <w:rPr>
          <w:rFonts w:ascii="Times New Roman Bold" w:hAnsi="Times New Roman Bold" w:cs="Times New Roman Bold"/>
          <w:b/>
          <w:bCs/>
          <w:color w:val="000000"/>
        </w:rPr>
        <w:t>Supplementary Table 2.</w:t>
      </w:r>
      <w:r>
        <w:rPr>
          <w:color w:val="000000"/>
        </w:rPr>
        <w:t xml:space="preserve"> </w:t>
      </w:r>
      <w:r w:rsidR="00BE0843" w:rsidRPr="00BE0843">
        <w:rPr>
          <w:color w:val="000000"/>
        </w:rPr>
        <w:t>Different DSR clusters of patients with LUAD from the TCGA and GEO databases.</w:t>
      </w:r>
    </w:p>
    <w:p w:rsidR="00A8097F" w:rsidRDefault="00000000">
      <w:pPr>
        <w:spacing w:before="240"/>
        <w:rPr>
          <w:color w:val="000000"/>
        </w:rPr>
      </w:pPr>
      <w:r>
        <w:rPr>
          <w:rFonts w:ascii="Times New Roman Bold" w:hAnsi="Times New Roman Bold" w:cs="Times New Roman Bold"/>
          <w:b/>
          <w:bCs/>
          <w:color w:val="000000"/>
        </w:rPr>
        <w:t>Supplementary Table 3.</w:t>
      </w:r>
      <w:r>
        <w:rPr>
          <w:color w:val="000000"/>
        </w:rPr>
        <w:t xml:space="preserve"> </w:t>
      </w:r>
      <w:r w:rsidR="00BE0843" w:rsidRPr="00BE0843">
        <w:rPr>
          <w:color w:val="000000"/>
        </w:rPr>
        <w:t>Genes related to pentose phosphate pathway.</w:t>
      </w:r>
    </w:p>
    <w:p w:rsidR="00A8097F" w:rsidRDefault="00000000">
      <w:pPr>
        <w:spacing w:before="240"/>
        <w:rPr>
          <w:color w:val="000000"/>
        </w:rPr>
      </w:pPr>
      <w:r>
        <w:rPr>
          <w:rFonts w:ascii="Times New Roman Bold" w:hAnsi="Times New Roman Bold" w:cs="Times New Roman Bold"/>
          <w:b/>
          <w:bCs/>
          <w:color w:val="000000"/>
        </w:rPr>
        <w:t>Supplementary Table 4.</w:t>
      </w:r>
      <w:r>
        <w:rPr>
          <w:color w:val="000000"/>
        </w:rPr>
        <w:t xml:space="preserve"> </w:t>
      </w:r>
      <w:r w:rsidR="00BE0843" w:rsidRPr="00BE0843">
        <w:rPr>
          <w:color w:val="000000"/>
        </w:rPr>
        <w:t>Overall survival (OS)-related DPRGs.</w:t>
      </w:r>
    </w:p>
    <w:p w:rsidR="00A8097F" w:rsidRPr="00BE0843" w:rsidRDefault="00000000">
      <w:pPr>
        <w:spacing w:before="240"/>
        <w:rPr>
          <w:color w:val="000000"/>
        </w:rPr>
      </w:pPr>
      <w:r>
        <w:rPr>
          <w:rFonts w:ascii="Times New Roman Bold" w:hAnsi="Times New Roman Bold" w:cs="Times New Roman Bold"/>
          <w:b/>
          <w:bCs/>
          <w:color w:val="000000"/>
        </w:rPr>
        <w:t>Supplementary Table 5.</w:t>
      </w:r>
      <w:r>
        <w:rPr>
          <w:color w:val="000000"/>
        </w:rPr>
        <w:t xml:space="preserve"> </w:t>
      </w:r>
      <w:r w:rsidR="00BE0843" w:rsidRPr="00BE0843">
        <w:rPr>
          <w:color w:val="000000"/>
        </w:rPr>
        <w:t>The coefficients of the risk signature.</w:t>
      </w:r>
    </w:p>
    <w:sectPr w:rsidR="00A8097F" w:rsidRPr="00BE0843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C0BAC" w:rsidRDefault="001C0BAC">
      <w:r>
        <w:separator/>
      </w:r>
    </w:p>
  </w:endnote>
  <w:endnote w:type="continuationSeparator" w:id="0">
    <w:p w:rsidR="001C0BAC" w:rsidRDefault="001C0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20208030705050203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8097F" w:rsidRDefault="00000000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8097F" w:rsidRDefault="0000000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60288;mso-width-relative:page;mso-height-relative:page;" filled="f" stroked="f" coordsize="21600,21600" o:gfxdata="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BYAAABkcnMvUEsBAhQAFAAAAAgAh07iQExXRCLSAAAABAEAAA8AAAAAAAAAAQAgAAAAOAAA&#10;AGRycy9kb3ducmV2LnhtbFBLAQIUABQAAAAIAIdO4kBbEdXxMQIAAHMEAAAOAAAAAAAAAAEAIAAA&#10;ADcBAABkcnMvZTJvRG9jLnhtbFBLBQYAAAAABgAGAFkBAADaBQAAAAA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8097F" w:rsidRDefault="00000000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8097F" w:rsidRDefault="0000000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59264;mso-width-relative:page;mso-height-relative:page;" filled="f" stroked="f" coordsize="21600,21600" o:gfxdata="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FgAAAGRycy9QSwECFAAUAAAACACHTuJATFdEItIAAAAEAQAADwAAAAAAAAABACAAAAA4&#10;AAAAZHJzL2Rvd25yZXYueG1sUEsBAhQAFAAAAAgAh07iQEQHADgzAgAAdQQAAA4AAAAAAAAAAQAg&#10;AAAANwEAAGRycy9lMm9Eb2MueG1sUEsFBgAAAAAGAAYAWQEAANw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C0BAC" w:rsidRDefault="001C0BAC">
      <w:pPr>
        <w:spacing w:before="0" w:after="0"/>
      </w:pPr>
      <w:r>
        <w:separator/>
      </w:r>
    </w:p>
  </w:footnote>
  <w:footnote w:type="continuationSeparator" w:id="0">
    <w:p w:rsidR="001C0BAC" w:rsidRDefault="001C0BA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8097F" w:rsidRDefault="00000000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8097F" w:rsidRDefault="00000000">
    <w:r>
      <w:rPr>
        <w:b/>
        <w:noProof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AD24193"/>
    <w:multiLevelType w:val="multilevel"/>
    <w:tmpl w:val="FAD24193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EC0601A"/>
    <w:multiLevelType w:val="multilevel"/>
    <w:tmpl w:val="1EC0601A"/>
    <w:lvl w:ilvl="0">
      <w:start w:val="1"/>
      <w:numFmt w:val="decimal"/>
      <w:pStyle w:val="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2" w15:restartNumberingAfterBreak="0">
    <w:nsid w:val="225305B5"/>
    <w:multiLevelType w:val="multilevel"/>
    <w:tmpl w:val="225305B5"/>
    <w:lvl w:ilvl="0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12141107">
    <w:abstractNumId w:val="1"/>
  </w:num>
  <w:num w:numId="2" w16cid:durableId="161506077">
    <w:abstractNumId w:val="2"/>
  </w:num>
  <w:num w:numId="3" w16cid:durableId="1141076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evenAndOddHeaders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BB9F1BF2"/>
    <w:rsid w:val="BDAFF402"/>
    <w:rsid w:val="BDFB7DBF"/>
    <w:rsid w:val="FFF79AAF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C0BAC"/>
    <w:rsid w:val="00267D18"/>
    <w:rsid w:val="00274347"/>
    <w:rsid w:val="002868E2"/>
    <w:rsid w:val="002869C3"/>
    <w:rsid w:val="002936E4"/>
    <w:rsid w:val="002B4A57"/>
    <w:rsid w:val="002B6652"/>
    <w:rsid w:val="002C74CA"/>
    <w:rsid w:val="003123F4"/>
    <w:rsid w:val="003544FB"/>
    <w:rsid w:val="003C44DF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B0E7F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329E9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8097F"/>
    <w:rsid w:val="00AA4D24"/>
    <w:rsid w:val="00AB6715"/>
    <w:rsid w:val="00B1671E"/>
    <w:rsid w:val="00B25EB8"/>
    <w:rsid w:val="00B37F4D"/>
    <w:rsid w:val="00BE0843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0FC2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1977B139"/>
    <w:rsid w:val="4DFBE7B4"/>
    <w:rsid w:val="7A46946B"/>
    <w:rsid w:val="7CFBF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6341C4"/>
  <w15:docId w15:val="{C0B2A70B-5C89-45AB-971A-9C3BEC678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before="120" w:after="240"/>
    </w:pPr>
    <w:rPr>
      <w:rFonts w:eastAsiaTheme="minorHAnsi" w:cstheme="minorBidi"/>
      <w:sz w:val="24"/>
      <w:szCs w:val="22"/>
      <w:lang w:eastAsia="en-US"/>
    </w:rPr>
  </w:style>
  <w:style w:type="paragraph" w:styleId="1">
    <w:name w:val="heading 1"/>
    <w:basedOn w:val="a"/>
    <w:next w:val="a0"/>
    <w:link w:val="10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a4">
    <w:name w:val="caption"/>
    <w:basedOn w:val="a0"/>
    <w:next w:val="a5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a5">
    <w:name w:val="No Spacing"/>
    <w:uiPriority w:val="99"/>
    <w:unhideWhenUsed/>
    <w:qFormat/>
    <w:rPr>
      <w:rFonts w:eastAsiaTheme="minorHAnsi" w:cstheme="minorBidi"/>
      <w:sz w:val="24"/>
      <w:szCs w:val="22"/>
      <w:lang w:eastAsia="en-US"/>
    </w:rPr>
  </w:style>
  <w:style w:type="paragraph" w:styleId="a6">
    <w:name w:val="annotation text"/>
    <w:basedOn w:val="a0"/>
    <w:link w:val="a7"/>
    <w:uiPriority w:val="99"/>
    <w:semiHidden/>
    <w:unhideWhenUsed/>
    <w:qFormat/>
    <w:rPr>
      <w:sz w:val="20"/>
      <w:szCs w:val="20"/>
    </w:rPr>
  </w:style>
  <w:style w:type="paragraph" w:styleId="a8">
    <w:name w:val="endnote text"/>
    <w:basedOn w:val="a0"/>
    <w:link w:val="a9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aa">
    <w:name w:val="Balloon Text"/>
    <w:basedOn w:val="a0"/>
    <w:link w:val="ab"/>
    <w:uiPriority w:val="99"/>
    <w:semiHidden/>
    <w:unhideWhenUsed/>
    <w:qFormat/>
    <w:pPr>
      <w:spacing w:after="0"/>
    </w:pPr>
    <w:rPr>
      <w:rFonts w:ascii="Tahoma" w:hAnsi="Tahoma" w:cs="Tahoma"/>
      <w:sz w:val="16"/>
      <w:szCs w:val="16"/>
    </w:rPr>
  </w:style>
  <w:style w:type="paragraph" w:styleId="ac">
    <w:name w:val="footer"/>
    <w:basedOn w:val="a0"/>
    <w:link w:val="ad"/>
    <w:uiPriority w:val="99"/>
    <w:unhideWhenUsed/>
    <w:qFormat/>
    <w:pPr>
      <w:tabs>
        <w:tab w:val="center" w:pos="4844"/>
        <w:tab w:val="right" w:pos="9689"/>
      </w:tabs>
      <w:spacing w:after="0"/>
    </w:pPr>
  </w:style>
  <w:style w:type="paragraph" w:styleId="ae">
    <w:name w:val="header"/>
    <w:basedOn w:val="a0"/>
    <w:link w:val="af"/>
    <w:uiPriority w:val="99"/>
    <w:unhideWhenUsed/>
    <w:qFormat/>
    <w:pPr>
      <w:tabs>
        <w:tab w:val="center" w:pos="4844"/>
        <w:tab w:val="right" w:pos="9689"/>
      </w:tabs>
    </w:pPr>
    <w:rPr>
      <w:b/>
    </w:rPr>
  </w:style>
  <w:style w:type="paragraph" w:styleId="af0">
    <w:name w:val="Subtitle"/>
    <w:basedOn w:val="a0"/>
    <w:next w:val="a0"/>
    <w:link w:val="af1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af2">
    <w:name w:val="footnote text"/>
    <w:basedOn w:val="a0"/>
    <w:link w:val="af3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af4">
    <w:name w:val="Normal (Web)"/>
    <w:basedOn w:val="a0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5">
    <w:name w:val="Title"/>
    <w:basedOn w:val="a0"/>
    <w:next w:val="a0"/>
    <w:link w:val="af6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af7">
    <w:name w:val="annotation subject"/>
    <w:basedOn w:val="a6"/>
    <w:next w:val="a6"/>
    <w:link w:val="af8"/>
    <w:uiPriority w:val="99"/>
    <w:semiHidden/>
    <w:unhideWhenUsed/>
    <w:qFormat/>
    <w:rPr>
      <w:b/>
      <w:bCs/>
    </w:rPr>
  </w:style>
  <w:style w:type="table" w:styleId="af9">
    <w:name w:val="Table Grid"/>
    <w:basedOn w:val="a2"/>
    <w:uiPriority w:val="59"/>
    <w:qFormat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1"/>
    <w:uiPriority w:val="22"/>
    <w:qFormat/>
    <w:rPr>
      <w:rFonts w:ascii="Times New Roman" w:hAnsi="Times New Roman"/>
      <w:b/>
      <w:bCs/>
    </w:rPr>
  </w:style>
  <w:style w:type="character" w:styleId="afb">
    <w:name w:val="endnote reference"/>
    <w:basedOn w:val="a1"/>
    <w:uiPriority w:val="99"/>
    <w:semiHidden/>
    <w:unhideWhenUsed/>
    <w:qFormat/>
    <w:rPr>
      <w:vertAlign w:val="superscript"/>
    </w:rPr>
  </w:style>
  <w:style w:type="character" w:styleId="afc">
    <w:name w:val="FollowedHyperlink"/>
    <w:basedOn w:val="a1"/>
    <w:uiPriority w:val="99"/>
    <w:semiHidden/>
    <w:unhideWhenUsed/>
    <w:qFormat/>
    <w:rPr>
      <w:color w:val="800080" w:themeColor="followedHyperlink"/>
      <w:u w:val="single"/>
    </w:rPr>
  </w:style>
  <w:style w:type="character" w:styleId="afd">
    <w:name w:val="Emphasis"/>
    <w:basedOn w:val="a1"/>
    <w:uiPriority w:val="20"/>
    <w:qFormat/>
    <w:rPr>
      <w:rFonts w:ascii="Times New Roman" w:hAnsi="Times New Roman"/>
      <w:i/>
      <w:iCs/>
    </w:rPr>
  </w:style>
  <w:style w:type="character" w:styleId="afe">
    <w:name w:val="line number"/>
    <w:basedOn w:val="a1"/>
    <w:uiPriority w:val="99"/>
    <w:semiHidden/>
    <w:unhideWhenUsed/>
    <w:qFormat/>
  </w:style>
  <w:style w:type="character" w:styleId="aff">
    <w:name w:val="Hyperlink"/>
    <w:basedOn w:val="a1"/>
    <w:uiPriority w:val="99"/>
    <w:unhideWhenUsed/>
    <w:qFormat/>
    <w:rPr>
      <w:color w:val="0000FF"/>
      <w:u w:val="single"/>
    </w:rPr>
  </w:style>
  <w:style w:type="character" w:styleId="aff0">
    <w:name w:val="annotation reference"/>
    <w:basedOn w:val="a1"/>
    <w:uiPriority w:val="99"/>
    <w:semiHidden/>
    <w:unhideWhenUsed/>
    <w:qFormat/>
    <w:rPr>
      <w:sz w:val="16"/>
      <w:szCs w:val="16"/>
    </w:rPr>
  </w:style>
  <w:style w:type="character" w:styleId="aff1">
    <w:name w:val="footnote reference"/>
    <w:basedOn w:val="a1"/>
    <w:uiPriority w:val="99"/>
    <w:semiHidden/>
    <w:unhideWhenUsed/>
    <w:qFormat/>
    <w:rPr>
      <w:vertAlign w:val="superscript"/>
    </w:rPr>
  </w:style>
  <w:style w:type="character" w:customStyle="1" w:styleId="10">
    <w:name w:val="标题 1 字符"/>
    <w:basedOn w:val="a1"/>
    <w:link w:val="1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af1">
    <w:name w:val="副标题 字符"/>
    <w:basedOn w:val="a1"/>
    <w:link w:val="af0"/>
    <w:uiPriority w:val="99"/>
    <w:qFormat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af0"/>
    <w:next w:val="a0"/>
    <w:uiPriority w:val="1"/>
    <w:qFormat/>
  </w:style>
  <w:style w:type="character" w:customStyle="1" w:styleId="ab">
    <w:name w:val="批注框文本 字符"/>
    <w:basedOn w:val="a1"/>
    <w:link w:val="aa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11">
    <w:name w:val="书籍标题1"/>
    <w:basedOn w:val="a1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a7">
    <w:name w:val="批注文字 字符"/>
    <w:basedOn w:val="a1"/>
    <w:link w:val="a6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af8">
    <w:name w:val="批注主题 字符"/>
    <w:basedOn w:val="a7"/>
    <w:link w:val="af7"/>
    <w:uiPriority w:val="99"/>
    <w:semiHidden/>
    <w:qFormat/>
    <w:rPr>
      <w:rFonts w:ascii="Times New Roman" w:hAnsi="Times New Roman"/>
      <w:b/>
      <w:bCs/>
      <w:sz w:val="20"/>
      <w:szCs w:val="20"/>
    </w:rPr>
  </w:style>
  <w:style w:type="character" w:customStyle="1" w:styleId="a9">
    <w:name w:val="尾注文本 字符"/>
    <w:basedOn w:val="a1"/>
    <w:link w:val="a8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ad">
    <w:name w:val="页脚 字符"/>
    <w:basedOn w:val="a1"/>
    <w:link w:val="ac"/>
    <w:uiPriority w:val="99"/>
    <w:qFormat/>
    <w:rPr>
      <w:rFonts w:ascii="Times New Roman" w:hAnsi="Times New Roman"/>
      <w:sz w:val="24"/>
    </w:rPr>
  </w:style>
  <w:style w:type="character" w:customStyle="1" w:styleId="af3">
    <w:name w:val="脚注文本 字符"/>
    <w:basedOn w:val="a1"/>
    <w:link w:val="af2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af">
    <w:name w:val="页眉 字符"/>
    <w:basedOn w:val="a1"/>
    <w:link w:val="ae"/>
    <w:uiPriority w:val="99"/>
    <w:qFormat/>
    <w:rPr>
      <w:rFonts w:ascii="Times New Roman" w:hAnsi="Times New Roman"/>
      <w:b/>
      <w:sz w:val="24"/>
    </w:rPr>
  </w:style>
  <w:style w:type="character" w:customStyle="1" w:styleId="12">
    <w:name w:val="明显强调1"/>
    <w:basedOn w:val="a1"/>
    <w:uiPriority w:val="21"/>
    <w:unhideWhenUsed/>
    <w:qFormat/>
    <w:rPr>
      <w:rFonts w:ascii="Times New Roman" w:hAnsi="Times New Roman"/>
      <w:i/>
      <w:iCs/>
      <w:color w:val="auto"/>
    </w:rPr>
  </w:style>
  <w:style w:type="character" w:customStyle="1" w:styleId="13">
    <w:name w:val="明显参考1"/>
    <w:basedOn w:val="a1"/>
    <w:uiPriority w:val="32"/>
    <w:qFormat/>
    <w:rPr>
      <w:b/>
      <w:bCs/>
      <w:smallCaps/>
      <w:color w:val="auto"/>
      <w:spacing w:val="5"/>
    </w:rPr>
  </w:style>
  <w:style w:type="character" w:customStyle="1" w:styleId="30">
    <w:name w:val="标题 3 字符"/>
    <w:basedOn w:val="a1"/>
    <w:link w:val="3"/>
    <w:uiPriority w:val="2"/>
    <w:qFormat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2">
    <w:name w:val="Quote"/>
    <w:basedOn w:val="a0"/>
    <w:next w:val="a0"/>
    <w:link w:val="aff3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3">
    <w:name w:val="引用 字符"/>
    <w:basedOn w:val="a1"/>
    <w:link w:val="aff2"/>
    <w:uiPriority w:val="29"/>
    <w:qFormat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14">
    <w:name w:val="不明显强调1"/>
    <w:basedOn w:val="a1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af6">
    <w:name w:val="标题 字符"/>
    <w:basedOn w:val="a1"/>
    <w:link w:val="af5"/>
    <w:qFormat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5"/>
    <w:next w:val="af5"/>
    <w:qFormat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452</Words>
  <Characters>2578</Characters>
  <Application>Microsoft Office Word</Application>
  <DocSecurity>0</DocSecurity>
  <Lines>21</Lines>
  <Paragraphs>6</Paragraphs>
  <ScaleCrop>false</ScaleCrop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竹子 王</cp:lastModifiedBy>
  <cp:revision>7</cp:revision>
  <cp:lastPrinted>2013-10-04T04:51:00Z</cp:lastPrinted>
  <dcterms:created xsi:type="dcterms:W3CDTF">2018-11-24T00:58:00Z</dcterms:created>
  <dcterms:modified xsi:type="dcterms:W3CDTF">2023-04-22T15:29:00Z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33A67778C44754B349F87963B1E9F16B</vt:lpwstr>
  </property>
</Properties>
</file>