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94DA2" w14:textId="77777777" w:rsidR="00791C31" w:rsidRPr="00A653F3" w:rsidRDefault="00791C31" w:rsidP="00791C31">
      <w:pPr>
        <w:rPr>
          <w:rFonts w:ascii="Times New Roman" w:eastAsia="Times New Roman" w:hAnsi="Times New Roman" w:cs="Times New Roman"/>
        </w:rPr>
      </w:pPr>
      <w:r w:rsidRPr="00A653F3">
        <w:rPr>
          <w:rFonts w:ascii="Times New Roman" w:eastAsia="Times New Roman" w:hAnsi="Times New Roman" w:cs="Times New Roman"/>
          <w:b/>
        </w:rPr>
        <w:t xml:space="preserve">Table 1: </w:t>
      </w:r>
      <w:r w:rsidRPr="00A653F3">
        <w:rPr>
          <w:rFonts w:ascii="Times New Roman" w:eastAsia="Times New Roman" w:hAnsi="Times New Roman" w:cs="Times New Roman"/>
        </w:rPr>
        <w:t>PubMed Search Strategy</w:t>
      </w:r>
    </w:p>
    <w:p w14:paraId="6673EEE8" w14:textId="77777777" w:rsidR="00791C31" w:rsidRPr="00A653F3" w:rsidRDefault="00791C31" w:rsidP="00791C31">
      <w:pPr>
        <w:jc w:val="center"/>
        <w:rPr>
          <w:rFonts w:ascii="Times New Roman" w:eastAsia="Times New Roman" w:hAnsi="Times New Roman" w:cs="Times New Roman"/>
          <w:b/>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36"/>
        <w:gridCol w:w="7412"/>
        <w:gridCol w:w="1056"/>
      </w:tblGrid>
      <w:tr w:rsidR="00791C31" w:rsidRPr="00A653F3" w14:paraId="64EC7E4A" w14:textId="77777777" w:rsidTr="0047793C">
        <w:tc>
          <w:tcPr>
            <w:tcW w:w="0" w:type="auto"/>
            <w:tcBorders>
              <w:top w:val="single" w:sz="18" w:space="0" w:color="auto"/>
              <w:left w:val="single" w:sz="18" w:space="0" w:color="FFFFFF" w:themeColor="background1"/>
              <w:right w:val="single" w:sz="18" w:space="0" w:color="FFFFFF" w:themeColor="background1"/>
            </w:tcBorders>
            <w:shd w:val="clear" w:color="auto" w:fill="auto"/>
            <w:textDirection w:val="btLr"/>
            <w:vAlign w:val="center"/>
          </w:tcPr>
          <w:p w14:paraId="08A116D2" w14:textId="77777777" w:rsidR="00791C31" w:rsidRPr="00A653F3" w:rsidRDefault="00791C31" w:rsidP="0047793C">
            <w:pPr>
              <w:ind w:left="113" w:right="113"/>
              <w:jc w:val="center"/>
              <w:rPr>
                <w:rFonts w:ascii="Times New Roman" w:eastAsia="Times New Roman" w:hAnsi="Times New Roman" w:cs="Times New Roman"/>
                <w:bCs/>
                <w:lang w:eastAsia="nb-NO"/>
              </w:rPr>
            </w:pPr>
          </w:p>
        </w:tc>
        <w:tc>
          <w:tcPr>
            <w:tcW w:w="0" w:type="auto"/>
            <w:tcBorders>
              <w:top w:val="single" w:sz="18" w:space="0" w:color="auto"/>
              <w:left w:val="single" w:sz="18" w:space="0" w:color="FFFFFF" w:themeColor="background1"/>
              <w:right w:val="single" w:sz="18" w:space="0" w:color="FFFFFF" w:themeColor="background1"/>
            </w:tcBorders>
            <w:shd w:val="clear" w:color="auto" w:fill="auto"/>
            <w:vAlign w:val="center"/>
            <w:hideMark/>
          </w:tcPr>
          <w:p w14:paraId="26F53648" w14:textId="77777777" w:rsidR="00791C31" w:rsidRPr="00A653F3" w:rsidRDefault="00791C31" w:rsidP="0047793C">
            <w:pPr>
              <w:jc w:val="center"/>
              <w:rPr>
                <w:rFonts w:ascii="Times New Roman" w:eastAsia="Times New Roman" w:hAnsi="Times New Roman" w:cs="Times New Roman"/>
                <w:b/>
                <w:bCs/>
                <w:i/>
                <w:lang w:eastAsia="nb-NO"/>
              </w:rPr>
            </w:pPr>
            <w:r w:rsidRPr="00A653F3">
              <w:rPr>
                <w:rFonts w:ascii="Times New Roman" w:eastAsia="Times New Roman" w:hAnsi="Times New Roman" w:cs="Times New Roman"/>
                <w:b/>
                <w:bCs/>
                <w:i/>
                <w:lang w:eastAsia="nb-NO"/>
              </w:rPr>
              <w:t>#</w:t>
            </w:r>
          </w:p>
        </w:tc>
        <w:tc>
          <w:tcPr>
            <w:tcW w:w="0" w:type="auto"/>
            <w:tcBorders>
              <w:top w:val="single" w:sz="18" w:space="0" w:color="auto"/>
              <w:left w:val="single" w:sz="18" w:space="0" w:color="FFFFFF" w:themeColor="background1"/>
              <w:right w:val="single" w:sz="18" w:space="0" w:color="FFFFFF" w:themeColor="background1"/>
            </w:tcBorders>
            <w:shd w:val="clear" w:color="auto" w:fill="auto"/>
            <w:vAlign w:val="center"/>
            <w:hideMark/>
          </w:tcPr>
          <w:p w14:paraId="28302048" w14:textId="77777777" w:rsidR="00791C31" w:rsidRPr="00A653F3" w:rsidRDefault="00791C31" w:rsidP="0047793C">
            <w:pPr>
              <w:jc w:val="center"/>
              <w:rPr>
                <w:rFonts w:ascii="Times New Roman" w:eastAsia="Times New Roman" w:hAnsi="Times New Roman" w:cs="Times New Roman"/>
                <w:b/>
                <w:bCs/>
                <w:i/>
                <w:lang w:eastAsia="nb-NO"/>
              </w:rPr>
            </w:pPr>
            <w:r>
              <w:rPr>
                <w:rFonts w:ascii="Times New Roman" w:eastAsia="Times New Roman" w:hAnsi="Times New Roman" w:cs="Times New Roman"/>
                <w:b/>
                <w:bCs/>
                <w:i/>
                <w:lang w:eastAsia="nb-NO"/>
              </w:rPr>
              <w:t>Search</w:t>
            </w:r>
            <w:r w:rsidRPr="00A653F3">
              <w:rPr>
                <w:rFonts w:ascii="Times New Roman" w:eastAsia="Times New Roman" w:hAnsi="Times New Roman" w:cs="Times New Roman"/>
                <w:b/>
                <w:bCs/>
                <w:i/>
                <w:lang w:eastAsia="nb-NO"/>
              </w:rPr>
              <w:t xml:space="preserve"> Terminology</w:t>
            </w:r>
          </w:p>
        </w:tc>
        <w:tc>
          <w:tcPr>
            <w:tcW w:w="0" w:type="auto"/>
            <w:tcBorders>
              <w:top w:val="single" w:sz="18" w:space="0" w:color="auto"/>
              <w:left w:val="single" w:sz="18" w:space="0" w:color="FFFFFF" w:themeColor="background1"/>
              <w:right w:val="single" w:sz="18" w:space="0" w:color="FFFFFF" w:themeColor="background1"/>
            </w:tcBorders>
            <w:shd w:val="clear" w:color="auto" w:fill="auto"/>
            <w:vAlign w:val="center"/>
            <w:hideMark/>
          </w:tcPr>
          <w:p w14:paraId="59531F81" w14:textId="77777777" w:rsidR="00791C31" w:rsidRPr="00A653F3" w:rsidRDefault="00791C31" w:rsidP="0047793C">
            <w:pPr>
              <w:jc w:val="center"/>
              <w:rPr>
                <w:rFonts w:ascii="Times New Roman" w:eastAsia="Times New Roman" w:hAnsi="Times New Roman" w:cs="Times New Roman"/>
                <w:b/>
                <w:bCs/>
                <w:i/>
                <w:lang w:eastAsia="nb-NO"/>
              </w:rPr>
            </w:pPr>
            <w:r w:rsidRPr="00A653F3">
              <w:rPr>
                <w:rFonts w:ascii="Times New Roman" w:eastAsia="Times New Roman" w:hAnsi="Times New Roman" w:cs="Times New Roman"/>
                <w:b/>
                <w:bCs/>
                <w:i/>
                <w:lang w:eastAsia="nb-NO"/>
              </w:rPr>
              <w:t>Results</w:t>
            </w:r>
          </w:p>
        </w:tc>
      </w:tr>
      <w:tr w:rsidR="00791C31" w:rsidRPr="00A653F3" w14:paraId="08BB4813" w14:textId="77777777" w:rsidTr="0047793C">
        <w:trPr>
          <w:cantSplit/>
          <w:trHeight w:val="2762"/>
        </w:trPr>
        <w:tc>
          <w:tcPr>
            <w:tcW w:w="0" w:type="auto"/>
            <w:tcBorders>
              <w:left w:val="single" w:sz="18" w:space="0" w:color="FFFFFF" w:themeColor="background1"/>
              <w:right w:val="single" w:sz="18" w:space="0" w:color="FFFFFF" w:themeColor="background1"/>
            </w:tcBorders>
            <w:shd w:val="clear" w:color="auto" w:fill="auto"/>
            <w:textDirection w:val="btLr"/>
            <w:vAlign w:val="center"/>
          </w:tcPr>
          <w:p w14:paraId="5FB5C256" w14:textId="77777777" w:rsidR="00791C31" w:rsidRPr="00A653F3" w:rsidRDefault="00791C31" w:rsidP="0047793C">
            <w:pPr>
              <w:ind w:left="113" w:right="113"/>
              <w:jc w:val="center"/>
              <w:rPr>
                <w:rFonts w:ascii="Times New Roman" w:eastAsia="Times New Roman" w:hAnsi="Times New Roman" w:cs="Times New Roman"/>
                <w:b/>
                <w:u w:val="single"/>
                <w:lang w:eastAsia="nb-NO"/>
              </w:rPr>
            </w:pPr>
            <w:r w:rsidRPr="00A653F3">
              <w:rPr>
                <w:rFonts w:ascii="Times New Roman" w:eastAsia="Times New Roman" w:hAnsi="Times New Roman" w:cs="Times New Roman"/>
                <w:b/>
                <w:u w:val="single"/>
                <w:lang w:eastAsia="nb-NO"/>
              </w:rPr>
              <w:t xml:space="preserve">Gender </w:t>
            </w:r>
            <w:r>
              <w:rPr>
                <w:rFonts w:ascii="Times New Roman" w:eastAsia="Times New Roman" w:hAnsi="Times New Roman" w:cs="Times New Roman"/>
                <w:b/>
                <w:u w:val="single"/>
                <w:lang w:eastAsia="nb-NO"/>
              </w:rPr>
              <w:t>Minority Populations</w:t>
            </w:r>
          </w:p>
        </w:tc>
        <w:tc>
          <w:tcPr>
            <w:tcW w:w="0" w:type="auto"/>
            <w:tcBorders>
              <w:left w:val="single" w:sz="18" w:space="0" w:color="FFFFFF" w:themeColor="background1"/>
              <w:right w:val="single" w:sz="18" w:space="0" w:color="FFFFFF" w:themeColor="background1"/>
            </w:tcBorders>
            <w:shd w:val="clear" w:color="auto" w:fill="auto"/>
            <w:vAlign w:val="center"/>
            <w:hideMark/>
          </w:tcPr>
          <w:p w14:paraId="5AED34D5" w14:textId="77777777" w:rsidR="00791C31" w:rsidRPr="00A653F3" w:rsidRDefault="00791C31" w:rsidP="0047793C">
            <w:pPr>
              <w:jc w:val="cente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1</w:t>
            </w:r>
          </w:p>
        </w:tc>
        <w:tc>
          <w:tcPr>
            <w:tcW w:w="0" w:type="auto"/>
            <w:tcBorders>
              <w:left w:val="single" w:sz="18" w:space="0" w:color="FFFFFF" w:themeColor="background1"/>
              <w:right w:val="single" w:sz="18" w:space="0" w:color="FFFFFF" w:themeColor="background1"/>
            </w:tcBorders>
            <w:shd w:val="clear" w:color="auto" w:fill="auto"/>
            <w:vAlign w:val="center"/>
            <w:hideMark/>
          </w:tcPr>
          <w:p w14:paraId="5910B62E" w14:textId="77777777" w:rsidR="00791C31" w:rsidRPr="00A653F3" w:rsidRDefault="00791C31" w:rsidP="0047793C">
            <w:pPr>
              <w:rPr>
                <w:rFonts w:ascii="Times New Roman" w:eastAsia="Times New Roman" w:hAnsi="Times New Roman" w:cs="Times New Roman"/>
                <w:lang w:eastAsia="nb-NO"/>
              </w:rPr>
            </w:pPr>
          </w:p>
          <w:p w14:paraId="7129E4A4" w14:textId="77777777" w:rsidR="00791C31" w:rsidRPr="00A653F3" w:rsidRDefault="00791C31" w:rsidP="0047793C">
            <w:pP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("gender identity" OR "gender identities" OR "gender minority" OR "gender minorities" OR transgend* OR trans-gend* OR transsexu* OR trans-sexu* OR transvesti* OR trans-vesti* OR transgender OR transgenders OR transgendered OR trans-gender OR trans-genders OR transsexual OR transsexuals OR trans-sexual OR trans-sexuals OR transvestite OR transvestites OR "gender nonconforming" OR "gender non-conforming" OR "gender ambiguous" OR agender OR agenders OR agendered OR bigender OR androgyn* OR genderqueer OR genderqueers OR gender-queer OR "gender queer" OR "gender bender" OR "gender variant" OR "gender-variant" OR transmasc* OR transfem* OR transman OR transmen OR trans-man OR trans-men OR transwoman OR transwomen OR trans-woman OR trans-women OR "transgender man" OR "transgender men" OR "transgender woman" OR "transgender women" OR MTF OR "male to female transgender" OR "male-to-female transgender" OR "male to female transgenders" OR "male-to-female transgenders" OR "male to female transsexual" OR "male-to-female transsexual" OR "male to female transsexuals" OR "male-to-female transsexuals" OR FTM OR "female to male transgender" OR "female-to-male transgender" OR "female to male transgenders" OR "female-to-male transgenders" OR "female to male transsexual" OR "female-to-male transsexual" OR "female to male transsexuals" OR "female-to-male transsexuals" OR "female to male trans-sexual" OR "female to male trans-sexuals" OR "female-to-male trans-sexual" OR "female-to-male trans-sexuals" OR "sex reassignment" OR "sex change" OR "gender reassignment" OR "gender change" OR "gender confirmation" OR intersex* OR "gender identity disorder" OR "gender identity disorders" OR "gender disorder" OR "gender disorders" OR "sexual and gender disorders" OR "sexual and gender identity disorders" OR "gender dysphoria" OR koti OR kothi* OR hijra OR mahu OR waria OR banci OR katoey OR tut OR ladyman OR meti OR "cross dress" OR cross-dress OR "cross dresser" OR "cross dressers" OR "cross dressed" OR cross-dresser OR cross-dressers OR cross-dressed OR acault OR bayot OR bakla OR berdache OR "two spirit" OR "two-spirit" OR transgenderism OR transsexualism OR transvestism OR transvestisms OR transvestic)</w:t>
            </w:r>
          </w:p>
          <w:p w14:paraId="6F3550ED" w14:textId="77777777" w:rsidR="00791C31" w:rsidRPr="00A653F3" w:rsidRDefault="00791C31" w:rsidP="0047793C">
            <w:pPr>
              <w:rPr>
                <w:rFonts w:ascii="Times New Roman" w:eastAsia="Times New Roman" w:hAnsi="Times New Roman" w:cs="Times New Roman"/>
                <w:lang w:eastAsia="nb-NO"/>
              </w:rPr>
            </w:pPr>
          </w:p>
        </w:tc>
        <w:tc>
          <w:tcPr>
            <w:tcW w:w="0" w:type="auto"/>
            <w:tcBorders>
              <w:left w:val="single" w:sz="18" w:space="0" w:color="FFFFFF" w:themeColor="background1"/>
              <w:right w:val="single" w:sz="18" w:space="0" w:color="FFFFFF" w:themeColor="background1"/>
            </w:tcBorders>
            <w:shd w:val="clear" w:color="auto" w:fill="auto"/>
            <w:vAlign w:val="center"/>
            <w:hideMark/>
          </w:tcPr>
          <w:p w14:paraId="6B6E7CEC" w14:textId="77777777" w:rsidR="00791C31" w:rsidRPr="00A653F3" w:rsidRDefault="00791C31" w:rsidP="0047793C">
            <w:pPr>
              <w:jc w:val="center"/>
              <w:rPr>
                <w:rFonts w:ascii="Times New Roman" w:eastAsia="Times New Roman" w:hAnsi="Times New Roman" w:cs="Times New Roman"/>
                <w:i/>
                <w:lang w:eastAsia="nb-NO"/>
              </w:rPr>
            </w:pPr>
            <w:r w:rsidRPr="00A653F3">
              <w:rPr>
                <w:rFonts w:ascii="Times New Roman" w:eastAsia="Times New Roman" w:hAnsi="Times New Roman" w:cs="Times New Roman"/>
                <w:i/>
                <w:lang w:eastAsia="nb-NO"/>
              </w:rPr>
              <w:t>38849</w:t>
            </w:r>
          </w:p>
        </w:tc>
      </w:tr>
      <w:tr w:rsidR="00791C31" w:rsidRPr="00A653F3" w14:paraId="42685D01" w14:textId="77777777" w:rsidTr="0047793C">
        <w:trPr>
          <w:trHeight w:val="4112"/>
        </w:trPr>
        <w:tc>
          <w:tcPr>
            <w:tcW w:w="0" w:type="auto"/>
            <w:tcBorders>
              <w:left w:val="single" w:sz="18" w:space="0" w:color="FFFFFF" w:themeColor="background1"/>
              <w:right w:val="single" w:sz="18" w:space="0" w:color="FFFFFF" w:themeColor="background1"/>
            </w:tcBorders>
            <w:shd w:val="clear" w:color="auto" w:fill="auto"/>
            <w:textDirection w:val="btLr"/>
            <w:vAlign w:val="center"/>
          </w:tcPr>
          <w:p w14:paraId="13C8A865" w14:textId="77777777" w:rsidR="00791C31" w:rsidRPr="00A653F3" w:rsidRDefault="00791C31" w:rsidP="0047793C">
            <w:pPr>
              <w:ind w:left="113" w:right="113"/>
              <w:jc w:val="center"/>
              <w:rPr>
                <w:rFonts w:ascii="Times New Roman" w:eastAsia="Times New Roman" w:hAnsi="Times New Roman" w:cs="Times New Roman"/>
                <w:u w:val="single"/>
                <w:lang w:eastAsia="nb-NO"/>
              </w:rPr>
            </w:pPr>
            <w:r w:rsidRPr="00A653F3">
              <w:rPr>
                <w:rFonts w:ascii="Times New Roman" w:eastAsia="Times New Roman" w:hAnsi="Times New Roman" w:cs="Times New Roman"/>
                <w:b/>
                <w:u w:val="single"/>
                <w:lang w:eastAsia="nb-NO"/>
              </w:rPr>
              <w:lastRenderedPageBreak/>
              <w:t>Substance Use</w:t>
            </w:r>
          </w:p>
        </w:tc>
        <w:tc>
          <w:tcPr>
            <w:tcW w:w="0" w:type="auto"/>
            <w:tcBorders>
              <w:left w:val="single" w:sz="18" w:space="0" w:color="FFFFFF" w:themeColor="background1"/>
              <w:right w:val="single" w:sz="18" w:space="0" w:color="FFFFFF" w:themeColor="background1"/>
            </w:tcBorders>
            <w:shd w:val="clear" w:color="auto" w:fill="auto"/>
            <w:vAlign w:val="center"/>
            <w:hideMark/>
          </w:tcPr>
          <w:p w14:paraId="13F0D39B" w14:textId="77777777" w:rsidR="00791C31" w:rsidRPr="00A653F3" w:rsidRDefault="00791C31" w:rsidP="0047793C">
            <w:pPr>
              <w:jc w:val="cente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2</w:t>
            </w:r>
          </w:p>
        </w:tc>
        <w:tc>
          <w:tcPr>
            <w:tcW w:w="0" w:type="auto"/>
            <w:tcBorders>
              <w:left w:val="single" w:sz="18" w:space="0" w:color="FFFFFF" w:themeColor="background1"/>
              <w:right w:val="single" w:sz="18" w:space="0" w:color="FFFFFF" w:themeColor="background1"/>
            </w:tcBorders>
            <w:shd w:val="clear" w:color="auto" w:fill="auto"/>
            <w:vAlign w:val="center"/>
            <w:hideMark/>
          </w:tcPr>
          <w:p w14:paraId="18F29B88" w14:textId="77777777" w:rsidR="00791C31" w:rsidRPr="00A653F3" w:rsidRDefault="00791C31" w:rsidP="0047793C">
            <w:pPr>
              <w:rPr>
                <w:rFonts w:ascii="Times New Roman" w:eastAsia="Times New Roman" w:hAnsi="Times New Roman" w:cs="Times New Roman"/>
                <w:lang w:eastAsia="nb-NO"/>
              </w:rPr>
            </w:pPr>
          </w:p>
          <w:p w14:paraId="2E45690E" w14:textId="77777777" w:rsidR="00791C31" w:rsidRPr="00A653F3" w:rsidRDefault="00791C31" w:rsidP="0047793C">
            <w:pP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("substance use" OR "substance use disorder" OR "substance use disorders" OR SUD OR "substance abuse" OR "substance dependency" OR “substance dependencies” OR “substance dependence” OR “substance use dependency” OR “substance use dependencies” OR “substance use dependence” OR "substance misuse" OR polysubstance OR polysubstances OR poly-substance OR poly-substances OR polydrug OR polydrugs OR poly-drug OR poly-drugs OR "illicit drug" OR "illicit drugs" OR “illicit drug use” OR "illegal drug" OR "illegal drugs" OR “illegal drug use” OR "illicit substance” OR “illicit substance use” OR “illicit substances” OR “illegal substance” OR “illegal substance use” OR “illegal substances” OR addict* OR overdose* OR withdraw* OR marijuana OR marihuana OR cannabis OR weed OR pot OR THC OR "delta-9-tetrahydrocannabinol" OR cannabinol OR cannabinols OR cocaine OR crack OR speed OR amphetamine* OR methamphetamine* OR meth OR crystal OR heroin OR opiate* OR "prescription opiates" OR opioid* OR "prescription opioid" OR "prescription opioids" OR opium OR ecstasy OR MDMA OR molly OR "3,4-methylenedioxy-methamphetamine" OR GHB OR "gamma-hydroxybutyric acid" OR poppers OR whippets OR "inhalant abuse" OR "inhaled nitrates" OR nitrate* OR hallucinogen* OR LSD OR "lysergic acid diethylamide" OR DMT OR dimethyltryptamine OR PCP OR phencyclidine OR ketamine OR "special k" OR "hash oil" OR hashish OR sativa OR indica OR "street drug" OR "street drugs" OR "party drug" OR "party drugs" OR "designer drug" OR "designer drugs" OR narcotic* OR "off label use" OR "off-label use" OR "club drug" OR "club drugs" OR downer* OR sedative* OR barbiturate* OR upper OR psychedelic*)</w:t>
            </w:r>
          </w:p>
          <w:p w14:paraId="37DBFDDA" w14:textId="77777777" w:rsidR="00791C31" w:rsidRPr="00A653F3" w:rsidRDefault="00791C31" w:rsidP="0047793C">
            <w:pPr>
              <w:rPr>
                <w:rFonts w:ascii="Times New Roman" w:eastAsia="Times New Roman" w:hAnsi="Times New Roman" w:cs="Times New Roman"/>
                <w:lang w:eastAsia="nb-NO"/>
              </w:rPr>
            </w:pPr>
          </w:p>
        </w:tc>
        <w:tc>
          <w:tcPr>
            <w:tcW w:w="0" w:type="auto"/>
            <w:tcBorders>
              <w:left w:val="single" w:sz="18" w:space="0" w:color="FFFFFF" w:themeColor="background1"/>
              <w:right w:val="single" w:sz="18" w:space="0" w:color="FFFFFF" w:themeColor="background1"/>
            </w:tcBorders>
            <w:shd w:val="clear" w:color="auto" w:fill="auto"/>
            <w:vAlign w:val="center"/>
            <w:hideMark/>
          </w:tcPr>
          <w:p w14:paraId="0DA65DC7" w14:textId="77777777" w:rsidR="00791C31" w:rsidRPr="00A653F3" w:rsidDel="001C513D" w:rsidRDefault="00791C31" w:rsidP="0047793C">
            <w:pPr>
              <w:jc w:val="center"/>
              <w:rPr>
                <w:rFonts w:ascii="Times New Roman" w:eastAsia="Times New Roman" w:hAnsi="Times New Roman" w:cs="Times New Roman"/>
                <w:i/>
                <w:lang w:eastAsia="nb-NO"/>
              </w:rPr>
            </w:pPr>
            <w:r w:rsidRPr="00A653F3">
              <w:rPr>
                <w:rFonts w:ascii="Times New Roman" w:eastAsia="Times New Roman" w:hAnsi="Times New Roman" w:cs="Times New Roman"/>
                <w:i/>
                <w:lang w:eastAsia="nb-NO"/>
              </w:rPr>
              <w:t>1424526</w:t>
            </w:r>
          </w:p>
        </w:tc>
      </w:tr>
      <w:tr w:rsidR="00791C31" w:rsidRPr="00A653F3" w14:paraId="288E261B" w14:textId="77777777" w:rsidTr="0047793C">
        <w:trPr>
          <w:trHeight w:val="899"/>
        </w:trPr>
        <w:tc>
          <w:tcPr>
            <w:tcW w:w="0" w:type="auto"/>
            <w:tcBorders>
              <w:left w:val="single" w:sz="18" w:space="0" w:color="FFFFFF" w:themeColor="background1"/>
              <w:bottom w:val="single" w:sz="18" w:space="0" w:color="auto"/>
              <w:right w:val="single" w:sz="18" w:space="0" w:color="FFFFFF" w:themeColor="background1"/>
            </w:tcBorders>
            <w:shd w:val="clear" w:color="auto" w:fill="auto"/>
            <w:textDirection w:val="btLr"/>
            <w:vAlign w:val="center"/>
          </w:tcPr>
          <w:p w14:paraId="38C4D4AB" w14:textId="77777777" w:rsidR="00791C31" w:rsidRPr="00A653F3" w:rsidRDefault="00791C31" w:rsidP="0047793C">
            <w:pPr>
              <w:ind w:left="113" w:right="113"/>
              <w:jc w:val="center"/>
              <w:rPr>
                <w:rFonts w:ascii="Times New Roman" w:eastAsia="Times New Roman" w:hAnsi="Times New Roman" w:cs="Times New Roman"/>
                <w:b/>
                <w:u w:val="single"/>
                <w:lang w:eastAsia="nb-NO"/>
              </w:rPr>
            </w:pPr>
            <w:r w:rsidRPr="00A653F3">
              <w:rPr>
                <w:rFonts w:ascii="Times New Roman" w:eastAsia="Times New Roman" w:hAnsi="Times New Roman" w:cs="Times New Roman"/>
                <w:b/>
                <w:u w:val="single"/>
                <w:lang w:eastAsia="nb-NO"/>
              </w:rPr>
              <w:t>Both</w:t>
            </w:r>
          </w:p>
        </w:tc>
        <w:tc>
          <w:tcPr>
            <w:tcW w:w="0" w:type="auto"/>
            <w:tcBorders>
              <w:left w:val="single" w:sz="18" w:space="0" w:color="FFFFFF" w:themeColor="background1"/>
              <w:bottom w:val="single" w:sz="18" w:space="0" w:color="auto"/>
              <w:right w:val="single" w:sz="18" w:space="0" w:color="FFFFFF" w:themeColor="background1"/>
            </w:tcBorders>
            <w:shd w:val="clear" w:color="auto" w:fill="auto"/>
            <w:vAlign w:val="center"/>
          </w:tcPr>
          <w:p w14:paraId="721F6DC6" w14:textId="77777777" w:rsidR="00791C31" w:rsidRPr="00A653F3" w:rsidRDefault="00791C31" w:rsidP="0047793C">
            <w:pPr>
              <w:jc w:val="cente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3</w:t>
            </w:r>
          </w:p>
        </w:tc>
        <w:tc>
          <w:tcPr>
            <w:tcW w:w="0" w:type="auto"/>
            <w:tcBorders>
              <w:left w:val="single" w:sz="18" w:space="0" w:color="FFFFFF" w:themeColor="background1"/>
              <w:bottom w:val="single" w:sz="18" w:space="0" w:color="auto"/>
              <w:right w:val="single" w:sz="18" w:space="0" w:color="FFFFFF" w:themeColor="background1"/>
            </w:tcBorders>
            <w:shd w:val="clear" w:color="auto" w:fill="auto"/>
            <w:vAlign w:val="center"/>
          </w:tcPr>
          <w:p w14:paraId="3AC333F9" w14:textId="77777777" w:rsidR="00791C31" w:rsidRPr="00A653F3" w:rsidRDefault="00791C31" w:rsidP="0047793C">
            <w:pPr>
              <w:rPr>
                <w:rFonts w:ascii="Times New Roman" w:eastAsia="Times New Roman" w:hAnsi="Times New Roman" w:cs="Times New Roman"/>
                <w:lang w:eastAsia="nb-NO"/>
              </w:rPr>
            </w:pPr>
          </w:p>
          <w:p w14:paraId="6DADB8C9" w14:textId="77777777" w:rsidR="00791C31" w:rsidRPr="00A653F3" w:rsidRDefault="00791C31" w:rsidP="0047793C">
            <w:pPr>
              <w:rPr>
                <w:rFonts w:ascii="Times New Roman" w:eastAsia="Times New Roman" w:hAnsi="Times New Roman" w:cs="Times New Roman"/>
                <w:lang w:eastAsia="nb-NO"/>
              </w:rPr>
            </w:pPr>
            <w:r w:rsidRPr="00A653F3">
              <w:rPr>
                <w:rFonts w:ascii="Times New Roman" w:eastAsia="Times New Roman" w:hAnsi="Times New Roman" w:cs="Times New Roman"/>
                <w:lang w:eastAsia="nb-NO"/>
              </w:rPr>
              <w:t>1 AND 2</w:t>
            </w:r>
          </w:p>
          <w:p w14:paraId="3C96F559" w14:textId="77777777" w:rsidR="00791C31" w:rsidRPr="00A653F3" w:rsidRDefault="00791C31" w:rsidP="0047793C">
            <w:pPr>
              <w:rPr>
                <w:rFonts w:ascii="Times New Roman" w:eastAsia="Times New Roman" w:hAnsi="Times New Roman" w:cs="Times New Roman"/>
                <w:lang w:eastAsia="nb-NO"/>
              </w:rPr>
            </w:pPr>
          </w:p>
        </w:tc>
        <w:tc>
          <w:tcPr>
            <w:tcW w:w="0" w:type="auto"/>
            <w:tcBorders>
              <w:left w:val="single" w:sz="18" w:space="0" w:color="FFFFFF" w:themeColor="background1"/>
              <w:bottom w:val="single" w:sz="18" w:space="0" w:color="auto"/>
              <w:right w:val="single" w:sz="18" w:space="0" w:color="FFFFFF" w:themeColor="background1"/>
            </w:tcBorders>
            <w:shd w:val="clear" w:color="auto" w:fill="auto"/>
            <w:vAlign w:val="center"/>
          </w:tcPr>
          <w:p w14:paraId="064F3AC4" w14:textId="77777777" w:rsidR="00791C31" w:rsidRPr="00A653F3" w:rsidRDefault="00791C31" w:rsidP="0047793C">
            <w:pPr>
              <w:jc w:val="center"/>
              <w:rPr>
                <w:rFonts w:ascii="Times New Roman" w:eastAsia="Times New Roman" w:hAnsi="Times New Roman" w:cs="Times New Roman"/>
                <w:i/>
                <w:lang w:eastAsia="nb-NO"/>
              </w:rPr>
            </w:pPr>
            <w:r w:rsidRPr="00A653F3">
              <w:rPr>
                <w:rFonts w:ascii="Times New Roman" w:eastAsia="Times New Roman" w:hAnsi="Times New Roman" w:cs="Times New Roman"/>
                <w:i/>
                <w:lang w:eastAsia="nb-NO"/>
              </w:rPr>
              <w:t>2233</w:t>
            </w:r>
          </w:p>
        </w:tc>
      </w:tr>
    </w:tbl>
    <w:p w14:paraId="7058966C" w14:textId="77777777" w:rsidR="00791C31" w:rsidRPr="00A653F3" w:rsidRDefault="00791C31" w:rsidP="00791C31">
      <w:pPr>
        <w:rPr>
          <w:rFonts w:ascii="Times New Roman" w:hAnsi="Times New Roman" w:cs="Times New Roman"/>
        </w:rPr>
      </w:pPr>
    </w:p>
    <w:p w14:paraId="118FAB6B" w14:textId="77777777" w:rsidR="00791C31" w:rsidRPr="00A653F3" w:rsidRDefault="00791C31" w:rsidP="00791C31">
      <w:pPr>
        <w:rPr>
          <w:rFonts w:ascii="Times New Roman" w:hAnsi="Times New Roman" w:cs="Times New Roman"/>
        </w:rPr>
      </w:pPr>
      <w:r w:rsidRPr="00A653F3">
        <w:rPr>
          <w:rFonts w:ascii="Times New Roman" w:hAnsi="Times New Roman" w:cs="Times New Roman"/>
        </w:rPr>
        <w:br w:type="page"/>
      </w:r>
    </w:p>
    <w:p w14:paraId="47BEA950" w14:textId="77777777" w:rsidR="00791C31" w:rsidRDefault="00791C31" w:rsidP="00791C31">
      <w:pPr>
        <w:spacing w:line="480" w:lineRule="auto"/>
        <w:rPr>
          <w:rFonts w:ascii="Times New Roman" w:hAnsi="Times New Roman" w:cs="Times New Roman"/>
          <w:b/>
        </w:rPr>
        <w:sectPr w:rsidR="00791C31" w:rsidSect="00791C31">
          <w:headerReference w:type="even" r:id="rId4"/>
          <w:headerReference w:type="default" r:id="rId5"/>
          <w:pgSz w:w="12240" w:h="15840"/>
          <w:pgMar w:top="1440" w:right="1440" w:bottom="1440" w:left="1440" w:header="720" w:footer="720" w:gutter="0"/>
          <w:lnNumType w:countBy="1" w:restart="continuous"/>
          <w:cols w:space="720"/>
          <w:docGrid w:linePitch="360"/>
        </w:sectPr>
      </w:pPr>
    </w:p>
    <w:p w14:paraId="7872402B" w14:textId="77777777" w:rsidR="00791C31" w:rsidRDefault="00791C31" w:rsidP="00791C31">
      <w:pPr>
        <w:spacing w:line="480" w:lineRule="auto"/>
        <w:rPr>
          <w:rFonts w:ascii="Times New Roman" w:hAnsi="Times New Roman" w:cs="Times New Roman"/>
          <w:b/>
        </w:rPr>
      </w:pPr>
      <w:r>
        <w:rPr>
          <w:rFonts w:ascii="Times New Roman" w:hAnsi="Times New Roman" w:cs="Times New Roman"/>
          <w:b/>
        </w:rPr>
        <w:lastRenderedPageBreak/>
        <w:t xml:space="preserve">Table 2: </w:t>
      </w:r>
      <w:r w:rsidRPr="0070301F">
        <w:rPr>
          <w:rFonts w:ascii="Times New Roman" w:hAnsi="Times New Roman" w:cs="Times New Roman"/>
        </w:rPr>
        <w:t>Studies included for review</w:t>
      </w:r>
    </w:p>
    <w:tbl>
      <w:tblPr>
        <w:tblW w:w="0" w:type="auto"/>
        <w:tblLook w:val="04A0" w:firstRow="1" w:lastRow="0" w:firstColumn="1" w:lastColumn="0" w:noHBand="0" w:noVBand="1"/>
      </w:tblPr>
      <w:tblGrid>
        <w:gridCol w:w="6209"/>
        <w:gridCol w:w="4929"/>
        <w:gridCol w:w="1777"/>
      </w:tblGrid>
      <w:tr w:rsidR="00791C31" w:rsidRPr="00BB15F4" w14:paraId="6C27855C" w14:textId="77777777" w:rsidTr="0047793C">
        <w:trPr>
          <w:trHeight w:val="320"/>
        </w:trPr>
        <w:tc>
          <w:tcPr>
            <w:tcW w:w="0" w:type="auto"/>
            <w:tcBorders>
              <w:top w:val="single" w:sz="18" w:space="0" w:color="auto"/>
              <w:bottom w:val="single" w:sz="4" w:space="0" w:color="auto"/>
            </w:tcBorders>
            <w:shd w:val="clear" w:color="auto" w:fill="auto"/>
            <w:noWrap/>
            <w:vAlign w:val="center"/>
            <w:hideMark/>
          </w:tcPr>
          <w:p w14:paraId="5214B738" w14:textId="77777777" w:rsidR="00791C31" w:rsidRPr="006C4417" w:rsidRDefault="00791C31" w:rsidP="0047793C">
            <w:pPr>
              <w:rPr>
                <w:rFonts w:ascii="Times New Roman" w:eastAsia="Times New Roman" w:hAnsi="Times New Roman" w:cs="Times New Roman"/>
                <w:b/>
                <w:i/>
                <w:color w:val="000000"/>
              </w:rPr>
            </w:pPr>
            <w:r w:rsidRPr="006C4417">
              <w:rPr>
                <w:rFonts w:ascii="Times New Roman" w:eastAsia="Times New Roman" w:hAnsi="Times New Roman" w:cs="Times New Roman"/>
                <w:b/>
                <w:i/>
                <w:color w:val="000000"/>
              </w:rPr>
              <w:t>Citation</w:t>
            </w:r>
          </w:p>
        </w:tc>
        <w:tc>
          <w:tcPr>
            <w:tcW w:w="4929" w:type="dxa"/>
            <w:tcBorders>
              <w:top w:val="single" w:sz="18" w:space="0" w:color="auto"/>
              <w:bottom w:val="single" w:sz="4" w:space="0" w:color="auto"/>
            </w:tcBorders>
            <w:shd w:val="clear" w:color="auto" w:fill="auto"/>
            <w:noWrap/>
            <w:vAlign w:val="center"/>
            <w:hideMark/>
          </w:tcPr>
          <w:p w14:paraId="7FC5B416" w14:textId="77777777" w:rsidR="00791C31" w:rsidRPr="006C4417" w:rsidRDefault="00791C31" w:rsidP="0047793C">
            <w:pPr>
              <w:rPr>
                <w:rFonts w:ascii="Times New Roman" w:eastAsia="Times New Roman" w:hAnsi="Times New Roman" w:cs="Times New Roman"/>
                <w:b/>
                <w:i/>
                <w:color w:val="000000"/>
              </w:rPr>
            </w:pPr>
            <w:r w:rsidRPr="006C4417">
              <w:rPr>
                <w:rFonts w:ascii="Times New Roman" w:eastAsia="Times New Roman" w:hAnsi="Times New Roman" w:cs="Times New Roman"/>
                <w:b/>
                <w:i/>
                <w:color w:val="000000"/>
              </w:rPr>
              <w:t>Location</w:t>
            </w:r>
          </w:p>
        </w:tc>
        <w:tc>
          <w:tcPr>
            <w:tcW w:w="1777" w:type="dxa"/>
            <w:tcBorders>
              <w:top w:val="single" w:sz="18" w:space="0" w:color="auto"/>
              <w:bottom w:val="single" w:sz="4" w:space="0" w:color="auto"/>
            </w:tcBorders>
            <w:shd w:val="clear" w:color="auto" w:fill="auto"/>
            <w:noWrap/>
            <w:vAlign w:val="center"/>
            <w:hideMark/>
          </w:tcPr>
          <w:p w14:paraId="5E9A9A8A" w14:textId="77777777" w:rsidR="00791C31" w:rsidRPr="006C4417" w:rsidRDefault="00791C31" w:rsidP="0047793C">
            <w:pPr>
              <w:jc w:val="center"/>
              <w:rPr>
                <w:rFonts w:ascii="Times New Roman" w:eastAsia="Times New Roman" w:hAnsi="Times New Roman" w:cs="Times New Roman"/>
                <w:b/>
                <w:i/>
                <w:color w:val="000000"/>
              </w:rPr>
            </w:pPr>
            <w:r w:rsidRPr="006C4417">
              <w:rPr>
                <w:rFonts w:ascii="Times New Roman" w:eastAsia="Times New Roman" w:hAnsi="Times New Roman" w:cs="Times New Roman"/>
                <w:b/>
                <w:i/>
                <w:color w:val="000000"/>
              </w:rPr>
              <w:t>Study Type</w:t>
            </w:r>
          </w:p>
        </w:tc>
      </w:tr>
      <w:tr w:rsidR="00791C31" w:rsidRPr="00BB15F4" w14:paraId="2E4EC5DA" w14:textId="77777777" w:rsidTr="0047793C">
        <w:trPr>
          <w:trHeight w:val="320"/>
        </w:trPr>
        <w:tc>
          <w:tcPr>
            <w:tcW w:w="0" w:type="auto"/>
            <w:tcBorders>
              <w:top w:val="single" w:sz="4" w:space="0" w:color="auto"/>
              <w:bottom w:val="single" w:sz="4" w:space="0" w:color="FFFFFF" w:themeColor="background1"/>
            </w:tcBorders>
            <w:shd w:val="clear" w:color="auto" w:fill="auto"/>
            <w:noWrap/>
            <w:vAlign w:val="center"/>
          </w:tcPr>
          <w:p w14:paraId="43340379" w14:textId="77777777" w:rsidR="00791C31" w:rsidRDefault="00791C31" w:rsidP="0047793C">
            <w:pPr>
              <w:rPr>
                <w:rFonts w:ascii="Times New Roman" w:eastAsia="Times New Roman" w:hAnsi="Times New Roman" w:cs="Times New Roman"/>
                <w:color w:val="000000"/>
              </w:rPr>
            </w:pPr>
          </w:p>
        </w:tc>
        <w:tc>
          <w:tcPr>
            <w:tcW w:w="4929" w:type="dxa"/>
            <w:tcBorders>
              <w:top w:val="single" w:sz="4" w:space="0" w:color="auto"/>
              <w:bottom w:val="single" w:sz="4" w:space="0" w:color="FFFFFF" w:themeColor="background1"/>
            </w:tcBorders>
            <w:shd w:val="clear" w:color="auto" w:fill="auto"/>
            <w:noWrap/>
            <w:vAlign w:val="center"/>
          </w:tcPr>
          <w:p w14:paraId="3D7605E9" w14:textId="77777777" w:rsidR="00791C31" w:rsidRPr="00BB15F4" w:rsidRDefault="00791C31" w:rsidP="0047793C">
            <w:pPr>
              <w:rPr>
                <w:rFonts w:ascii="Times New Roman" w:eastAsia="Times New Roman" w:hAnsi="Times New Roman" w:cs="Times New Roman"/>
                <w:color w:val="000000"/>
              </w:rPr>
            </w:pPr>
          </w:p>
        </w:tc>
        <w:tc>
          <w:tcPr>
            <w:tcW w:w="1777" w:type="dxa"/>
            <w:tcBorders>
              <w:top w:val="single" w:sz="4" w:space="0" w:color="auto"/>
              <w:bottom w:val="single" w:sz="4" w:space="0" w:color="FFFFFF" w:themeColor="background1"/>
            </w:tcBorders>
            <w:shd w:val="clear" w:color="auto" w:fill="auto"/>
            <w:noWrap/>
            <w:vAlign w:val="center"/>
          </w:tcPr>
          <w:p w14:paraId="73CD8406" w14:textId="77777777" w:rsidR="00791C31" w:rsidRPr="00BB15F4" w:rsidRDefault="00791C31" w:rsidP="0047793C">
            <w:pPr>
              <w:jc w:val="center"/>
              <w:rPr>
                <w:rFonts w:ascii="Times New Roman" w:eastAsia="Times New Roman" w:hAnsi="Times New Roman" w:cs="Times New Roman"/>
                <w:color w:val="000000"/>
              </w:rPr>
            </w:pPr>
          </w:p>
        </w:tc>
      </w:tr>
      <w:tr w:rsidR="00791C31" w:rsidRPr="00BB15F4" w14:paraId="40F7D3CE" w14:textId="77777777" w:rsidTr="0047793C">
        <w:trPr>
          <w:trHeight w:val="320"/>
        </w:trPr>
        <w:tc>
          <w:tcPr>
            <w:tcW w:w="0" w:type="auto"/>
            <w:tcBorders>
              <w:top w:val="single" w:sz="4" w:space="0" w:color="FFFFFF" w:themeColor="background1"/>
            </w:tcBorders>
            <w:shd w:val="clear" w:color="auto" w:fill="auto"/>
            <w:noWrap/>
            <w:vAlign w:val="center"/>
            <w:hideMark/>
          </w:tcPr>
          <w:p w14:paraId="1F0916C9"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{"citationID":"rWt6urB0","properties":{"formattedCitation":"(Aghabikloo, Bahrami, Saberi, &amp; Emamhadi, 2012)","plainCitation":"(Aghabikloo, Bahrami, Saberi, &amp; Emamhadi, 2012)","noteIndex":0},"citationItems":[{"id":1311,"uris":["http://zotero.org/users/1641921/items/FU7IXLR9"],"uri":["http://zotero.org/users/1641921/items/FU7IXLR9"],"itemData":{"id":1311,"type":"article-journal","title":"Gender Identity Disorders in Iran; Request for Sex Reassignment Surgery","container-title":"International Journal of Medical Toxicology and Forensic Medicine","page":"128-134","volume":"2","issue":"4","author":[{"family":"Aghabikloo","given":"A"},{"family":"Bahrami","given":"M"},{"family":"Saberi","given":"SM"},{"family":"Emamhadi","given":"MA"}],"issued":{"date-parts":[["2012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(Aghabikloo, Bahrami, Saberi, &amp; Emamhadi, 2012)</w:t>
            </w:r>
            <w:r>
              <w:rPr>
                <w:rFonts w:ascii="Times New Roman" w:eastAsia="Times New Roman" w:hAnsi="Times New Roman" w:cs="Times New Roman"/>
                <w:color w:val="000000"/>
              </w:rPr>
              <w:fldChar w:fldCharType="end"/>
            </w:r>
          </w:p>
        </w:tc>
        <w:tc>
          <w:tcPr>
            <w:tcW w:w="4929" w:type="dxa"/>
            <w:tcBorders>
              <w:top w:val="single" w:sz="4" w:space="0" w:color="FFFFFF" w:themeColor="background1"/>
            </w:tcBorders>
            <w:shd w:val="clear" w:color="auto" w:fill="auto"/>
            <w:noWrap/>
            <w:vAlign w:val="center"/>
            <w:hideMark/>
          </w:tcPr>
          <w:p w14:paraId="3ABBE7A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Tehran, Iran</w:t>
            </w:r>
          </w:p>
        </w:tc>
        <w:tc>
          <w:tcPr>
            <w:tcW w:w="1777" w:type="dxa"/>
            <w:tcBorders>
              <w:top w:val="single" w:sz="4" w:space="0" w:color="FFFFFF" w:themeColor="background1"/>
            </w:tcBorders>
            <w:shd w:val="clear" w:color="auto" w:fill="auto"/>
            <w:noWrap/>
            <w:vAlign w:val="center"/>
            <w:hideMark/>
          </w:tcPr>
          <w:p w14:paraId="55B2A1D9"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7988461" w14:textId="77777777" w:rsidTr="0047793C">
        <w:trPr>
          <w:trHeight w:val="320"/>
        </w:trPr>
        <w:tc>
          <w:tcPr>
            <w:tcW w:w="6208" w:type="dxa"/>
            <w:shd w:val="clear" w:color="auto" w:fill="auto"/>
            <w:noWrap/>
            <w:vAlign w:val="center"/>
            <w:hideMark/>
          </w:tcPr>
          <w:p w14:paraId="7E8554BB"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{"citationID":"DPzIAdkQ","properties":{"formattedCitation":"(Anderson-Carpenter, Fletcher, &amp; Reback, 2017)","plainCitation":"(Anderson-Carpenter, Fletcher, &amp; Reback, 2017)","noteIndex":0},"citationItems":[{"id":787,"uris":["http://zotero.org/users/1641921/items/G7FHDYXL"],"uri":["http://zotero.org/users/1641921/items/G7FHDYXL"],"itemData":{"id":787,"type":"article-journal","title":"Associations Between Methamphetamine Use, Housing Status, and Incarceration Rates Among Men Who Have Sex With Men and Transgender Women","container-title":"Journal of Drug Issues","page":"383-395","volume":"47","issue":"3","source":"SAGE Journals","abstract":"The present study examined associations between methamphetamine use and social factors among men who have sex with men (MSM) and transgender women. Over a 4-year period, 7,419 HIV outreach encounters were conducted with MSM (n = 6,243) and transgender women (n = 1,176). Logistic and negative binomial regressions estimated associations between sociodemographics, incarceration history, housing status, and methamphetamine use. Incarceration history was associated with marginal housing or homelessness (adjusted odds ratio [AOR] = 3.4) and with increased likelihood (AOR = 6.00) and adjusted incidence rate ratio (AIRR = 3.57) of methamphetamine use. African American/Black MSM and transgender women were more likely to report a recent incarceration history compared with non-African American/Black participants (AOR = 2.18). Incarceration history was associated with a HIV-positive status (AOR = 1.69), and transgender women were 5.2 times more likely to report recent incarceration relative to MSM. Understanding these associations may provide a basis for developing interventions that account for the social factors influencing health outcomes among these two high-risk populations.","DOI":"10.1177/0022042617696917","ISSN":"0022-0426","journalAbbreviation":"Journal of Drug Issues","language":"en","author":[{"family":"Anderson-Carpenter","given":"Kaston D."},{"family":"Fletcher","given":"Jesse B."},{"family":"Reback","given":"Cathy J."}],"issued":{"date-parts":[["2017",7,1]]}}}],"schema":"https://github.com/citation-style-language/schema/raw/master/csl-citation.json"}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(Anderson-Carpenter, Fletcher, &amp; Reback,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5C10946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Los Angeles, CA, USA</w:t>
            </w:r>
          </w:p>
        </w:tc>
        <w:tc>
          <w:tcPr>
            <w:tcW w:w="1777" w:type="dxa"/>
            <w:shd w:val="clear" w:color="auto" w:fill="auto"/>
            <w:noWrap/>
            <w:vAlign w:val="center"/>
            <w:hideMark/>
          </w:tcPr>
          <w:p w14:paraId="031A00AC"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E67C742" w14:textId="77777777" w:rsidTr="0047793C">
        <w:trPr>
          <w:trHeight w:val="320"/>
        </w:trPr>
        <w:tc>
          <w:tcPr>
            <w:tcW w:w="0" w:type="auto"/>
            <w:shd w:val="clear" w:color="auto" w:fill="auto"/>
            <w:noWrap/>
            <w:vAlign w:val="center"/>
            <w:hideMark/>
          </w:tcPr>
          <w:p w14:paraId="511B3210"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{"citationID":"BsXehyFe","properties":{"formattedCitation":"(Arayasirikul, Pomart, Raymond, &amp; Wilson, 2018)","plainCitation":"(Arayasirikul, Pomart, Raymond, &amp; Wilson, 2018)","noteIndex":0},"citationItems":[{"id":729,"uris":["http://zotero.org/users/1641921/items/YZU7H4D9"],"uri":["http://zotero.org/users/1641921/items/YZU7H4D9"],"itemData":{"id":729,"type":"article-journal","title":"Unevenness in Health at the Intersection of Gender and Sexuality: Sexual minority disparities in alcohol and drug use among transwomen in the San Francisco Bay Area","container-title":"Journal of homosexuality","page":"66-79","volume":"65","issue":"1","source":"PubMed Central","abstract":"Research on the health of transwomen is largely focused on heterosexual HIV risk. Little is known about the health of sexual minority transwomen. We conducted a secondary cross-sectional analysis of data from a HIV risk and resilience study of transwomen aged 16 to 24 years in the San Francisco Bay Area (N=259). Prevalence and demographic characteristics of sexual minority transwomen was assessed and logistic regression models were used to examine the relationship between sexual minority status and alcohol and drug use. In logistic regression models, sexual minority transwomen had greater fold odds of heavy episodic drinking and illicit prescription drug use compared to their heterosexual counterparts, controlling for race/ethnicity, age, income, nativity, hormone status and history of feminization procedures. These results suggest that sexual minority status may be an important social determinant of health among gender minorities. Populations of transwomen are heterogeneous; effective interventions must consider sexual minority status.","DOI":"10.1080/00918369.2017.1310552","ISSN":"0091-8369","note":"PMID: 28332945\nPMCID: PMC5683394","shortTitle":"Unevenness in Health at the Intersection of Gender and Sexuality","journalAbbreviation":"J Homosex","author":[{"family":"Arayasirikul","given":"Sean"},{"family":"Pomart","given":"W. Andres"},{"family":"Raymond","given":"H. Fisher"},{"family":"Wilson","given":"Erin C."}],"issued":{"date-parts":[["2018"]]}}}],"schema":"https://github.com/citation-style-language/schema/raw/master/csl-citation.json"}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(Arayasirikul, Pomart, Raymond, &amp; Wilson,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B5C82D4"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San Francisco/Bay Area, CA, USA</w:t>
            </w:r>
          </w:p>
        </w:tc>
        <w:tc>
          <w:tcPr>
            <w:tcW w:w="1777" w:type="dxa"/>
            <w:shd w:val="clear" w:color="auto" w:fill="auto"/>
            <w:noWrap/>
            <w:vAlign w:val="center"/>
            <w:hideMark/>
          </w:tcPr>
          <w:p w14:paraId="4713D1E3"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0B03D73" w14:textId="77777777" w:rsidTr="0047793C">
        <w:trPr>
          <w:trHeight w:val="320"/>
        </w:trPr>
        <w:tc>
          <w:tcPr>
            <w:tcW w:w="0" w:type="auto"/>
            <w:shd w:val="clear" w:color="auto" w:fill="auto"/>
            <w:noWrap/>
            <w:vAlign w:val="center"/>
            <w:hideMark/>
          </w:tcPr>
          <w:p w14:paraId="4E5407FE"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{"citationID":"b7rQm5ie","properties":{"formattedCitation":"(Asscheman et al., 2011)","plainCitation":"(Asscheman et al., 2011)","noteIndex":0},"citationItems":[{"id":1125,"uris":["http://zotero.org/users/1641921/items/VMU3I63J"],"uri":["http://zotero.org/users/1641921/items/VMU3I63J"],"itemData":{"id":1125,"type":"article-journal","title":"A long-term follow-up study of mortality in transsexuals receiving treatment with cross-sex hormones","container-title":"European Journal of Endocrinology","page":"635-642","volume":"164","issue":"4","source":"www.eje-online.org","abstract":"Objective Adverse effects of long-term cross-sex hormone administration to transsexuals are not well documented. We assessed mortality rates in transsexual subjects receiving long-term cross-sex hormones.\nDesign A cohort study with a median follow-up of 18.5 years at a university gender clinic.\nMethods Mortality data and the standardized mortality rate were compared with the general population in 966 male-to-female (MtF) and 365 female-to-male (FtM) transsexuals, who started cross-sex hormones before July 1, 1997. Follow-up was at least 1 year. MtF transsexuals received treatment with different high-dose estrogen regimens and cyproterone acetate 100 mg/day. FtM transsexuals received parenteral/oral testosterone esters or testosterone gel. After surgical sex reassignment, hormonal treatment was continued with lower doses.\nResults In the MtF group, total mortality was 51% higher than in the general population, mainly from increased mortality rates due to suicide, acquired immunodeficiency syndrome, cardiovascular disease, drug abuse, and unknown cause. No increase was observed in total cancer mortality, but lung and hematological cancer mortality rates were elevated. Current, but not past ethinyl estradiol use was associated with an independent threefold increased risk of cardiovascular death. In FtM transsexuals, total mortality and cause-specific mortality were not significantly different from those of the general population.\nConclusions The increased mortality in hormone-treated MtF transsexuals was mainly due to non-hormone-related causes, but ethinyl estradiol may increase the risk of cardiovascular death. In the FtM transsexuals, use of testosterone in doses used for hypogonadal men seemed safe.","DOI":"10.1530/EJE-10-1038","ISSN":"0804-4643, 1479-683X","note":"PMID: 21266549","journalAbbreviation":"Eur J Endocrinol","language":"en","author":[{"family":"Asscheman","given":"Henk"},{"family":"Giltay","given":"Erik J."},{"family":"Megens","given":"Jos A. J."},{"family":"Ronde","given":"W. (Pim)","dropping-particle":"de"},{"family":"Trotsenburg","given":"Michael A. A.","dropping-particle":"van"},{"family":"Gooren","given":"Louis J. G."}],"issued":{"date-parts":[["2011",4,1]]}}}],"schema":"https://github.com/citation-style-language/schema/raw/master/csl-citation.json"}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(Asscheman et al., 2011)</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8C36D0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Leiden, Netherlands</w:t>
            </w:r>
          </w:p>
        </w:tc>
        <w:tc>
          <w:tcPr>
            <w:tcW w:w="1777" w:type="dxa"/>
            <w:shd w:val="clear" w:color="auto" w:fill="auto"/>
            <w:noWrap/>
            <w:vAlign w:val="center"/>
            <w:hideMark/>
          </w:tcPr>
          <w:p w14:paraId="4C3A392C"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Cohort</w:t>
            </w:r>
          </w:p>
        </w:tc>
      </w:tr>
      <w:tr w:rsidR="00791C31" w:rsidRPr="00BB15F4" w14:paraId="5D60F765" w14:textId="77777777" w:rsidTr="0047793C">
        <w:trPr>
          <w:trHeight w:val="360"/>
        </w:trPr>
        <w:tc>
          <w:tcPr>
            <w:tcW w:w="0" w:type="auto"/>
            <w:shd w:val="clear" w:color="auto" w:fill="auto"/>
            <w:noWrap/>
            <w:vAlign w:val="center"/>
            <w:hideMark/>
          </w:tcPr>
          <w:p w14:paraId="34325745"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{"citationID":"nmZwD5A1","properties":{"formattedCitation":"(Bauer et al., 2016)","plainCitation":"(Bauer et al., 2016)","noteIndex":0},"citationItems":[{"id":862,"uris":["http://zotero.org/users/1641921/items/6BTAAIE3"],"uri":["http://zotero.org/users/1641921/items/6BTAAIE3"],"itemData":{"id":862,"type":"article-journal","title":"Occurrence of multiple mental health or substance use outcomes among bisexuals: a respondent-driven sampling study","container-title":"BMC Public Health","volume":"16","source":"PubMed Central","abstract":"Background\nBisexual populations have higher prevalence of depression, anxiety, suicidality and substance use than heterosexuals, and often than gay men or lesbians. The co-occurrence of multiple outcomes has rarely been studied.\n\nMethods\nData were collected from 405 bisexuals using respondent-driven sampling. Weighted analyses were conducted for 387 with outcome data. Multiple outcomes were defined as 3 or more of: depression, anxiety, suicide ideation, problematic alcohol use, or polysubstance use.\n\nResults\nAmong bisexuals, 19.0 % had multiple outcomes. We did not find variation in raw frequency of multiple outcomes across sociodemographic variables (e.g. gender, age). After adjustment, gender and sexual orientation identity were associated, with transgender women and those identifying as bisexual only more likely to have multiple outcomes. Social equity factors had a strong impact in both crude and adjusted analysis: controlling for other factors, high mental health/substance use burden was associated with greater discrimination (prevalence risk ratio (PRR) = 5.71; 95 % CI: 2.08, 15.63) and lower education (PRR = 2.41; 95 % CI: 1.06, 5.49), while higher income-to-needs ratio was protective (PRR = 0.44; 0.20, 1.00).\n\nConclusions\nMental health and substance use outcomes with high prevalence among bisexuals frequently co-occurred. We find some support for the theory that these multiple outcomes represent a syndemic, defined as co-occurring and mutually reinforcing adverse outcomes driven by social inequity.","URL":"https://www.ncbi.nlm.nih.gov/pmc/articles/PMC4902901/","DOI":"10.1186/s12889-016-3173-z","ISSN":"1471-2458","note":"PMID: 27287188\nPMCID: PMC4902901","shortTitle":"Occurrence of multiple mental health or substance use outcomes among bisexuals","journalAbbreviation":"BMC Public Health","author":[{"family":"Bauer","given":"Greta R."},{"family":"Flanders","given":"Corey"},{"family":"MacLeod","given":"Melissa A."},{"family":"Ross","given":"Lori E."}],"issued":{"date-parts":[["2016",6,10]]},"accessed":{"date-parts":[["2018",7,9]]}}}],"schema":"https://github.com/citation-style-language/schema/raw/master/csl-citation.json"}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(Bauer et al.,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A4ABA87"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Ontario, Canada</w:t>
            </w:r>
          </w:p>
        </w:tc>
        <w:tc>
          <w:tcPr>
            <w:tcW w:w="1777" w:type="dxa"/>
            <w:shd w:val="clear" w:color="auto" w:fill="auto"/>
            <w:noWrap/>
            <w:vAlign w:val="center"/>
            <w:hideMark/>
          </w:tcPr>
          <w:p w14:paraId="6FE272F4"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AD39E45" w14:textId="77777777" w:rsidTr="0047793C">
        <w:trPr>
          <w:trHeight w:val="320"/>
        </w:trPr>
        <w:tc>
          <w:tcPr>
            <w:tcW w:w="0" w:type="auto"/>
            <w:shd w:val="clear" w:color="auto" w:fill="auto"/>
            <w:noWrap/>
            <w:vAlign w:val="center"/>
            <w:hideMark/>
          </w:tcPr>
          <w:p w14:paraId="6BFFC82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{"citationID":"w8yTRbu4","properties":{"formattedCitation":"(Beckman, Shipherd, Simpson, &amp; Lehavot, n.d.)","plainCitation":"(Beckman, Shipherd, Simpson, &amp; Lehavot, n.d.)","noteIndex":0},"citationItems":[{"id":647,"uris":["http://zotero.org/users/1641921/items/S9EWLSIC"],"uri":["http://zotero.org/users/1641921/items/S9EWLSIC"],"itemData":{"id":647,"type":"article-journal","title":"Military Sexual Assault in Transgender Veterans: Results From a Nationwide Survey","container-title":"Journal of Traumatic Stress","page":"181-190","volume":"31","issue":"2","source":"Wiley Online Library","abstract":"There is limited understanding about the frequency of military sexual assault (MSA) in transgender veterans, characteristics associated with MSA, or subsequent mental and behavioral health problems. To address this gap, we used an online national survey of 221 transgender veterans to identify prevalence of MSA and to assess its association with demographic characteristics, past history of sexual victimization, and stigma-related factors. We also evaluated the association between MSA and several mental and behavioral health problems. Overall, 17.2% of transgender veterans experienced MSA, but rates differed significantly between transgender women (15.2%) and transgender men (30.0%). Using adjusted regression models, MSA was associated with adult sexual assault prior to military service, odds ratio (OR) = 4.05, 95% CI [1.62, 10.08], and distal minority stress during military service, OR = 2.98, 95% CI [1.28, 6.91]. With respect to health outcomes, MSA was associated with past-month posttraumatic stress disorder (PTSD) symptom severity, B = 10.18, 95% CI [3.45, 16.91]; current depression symptom severity, B = 3.71, 95% CI [1.11, 6.30]; and past-year drug use, OR = 3.17, 95% CI [1.36, 7.40]. Results highlight the vulnerability of transgender veterans to MSA, and the need for military prevention programs that acknowledge transgender individuals’ heightened risk. Furthermore, clinicians should consider clinical screening for PTSD, depression, and drug use in transgender veterans who have a history of MSA.","DOI":"10.1002/jts.22280","ISSN":"1573-6598","shortTitle":"Military Sexual Assault in Transgender Veterans","language":"en","author":[{"family":"Beckman","given":"Kerry"},{"family":"Shipherd","given":"Jillian"},{"family":"Simpson","given":"Tracy"},{"family":"Lehavot","given":"Keren"}]}}],"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(Beckman, Shipherd, Simpson, &amp; Lehavot,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EAED15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23A2E262"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325287E" w14:textId="77777777" w:rsidTr="0047793C">
        <w:trPr>
          <w:trHeight w:val="320"/>
        </w:trPr>
        <w:tc>
          <w:tcPr>
            <w:tcW w:w="0" w:type="auto"/>
            <w:shd w:val="clear" w:color="auto" w:fill="auto"/>
            <w:noWrap/>
            <w:vAlign w:val="center"/>
            <w:hideMark/>
          </w:tcPr>
          <w:p w14:paraId="636BA0A5"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{"citationID":"lViDFSFb","properties":{"formattedCitation":"(C. G. Beckwith et al., 2018)","plainCitation":"(C. G. Beckwith et al., 2018)","dontUpdate":true,"noteIndex":0},"citationItems":[{"id":629,"uris":["http://zotero.org/users/1641921/items/6WXY5QYK"],"uri":["http://zotero.org/users/1641921/items/6WXY5QYK"],"itemData":{"id":629,"type":"article-journal","title":"Risk behaviors and HIV care continuum outcomes among criminal justice-involved HIV-infected transgender women and cisgender men: Data from the Seek, Test, Treat, and Retain Harmonization Initiative","container-title":"PLoS ONE","volume":"13","issue":"5","source":"PubMed Central","abstract":"Background\nTransgender persons are highly victimized, marginalized, disproportionately experience incarceration, and have alarmingly increased rates of HIV infection compared to cis-gender persons. Few studies have examined the HIV care continuum outcomes among transgender women (TW), particularly TW who are involved with the criminal justice (CJ) system.\n\nMethods\nTo improve our understanding of HIV care continuum outcomes and risk behaviors among HIV-infected TW who are involved with the CJ system, we analyzed data from the National Institute on Drug Abuse-supported Seek, Test, Treat, Retain (STTR) Data Harmonization Initiative. Baseline data were pooled and analyzed from three U.S. STTR studies to examine HIV risk and care continuum indicators among CJ-involved HIV-infected TW compared to cisgender men (CM), matched on age (within 5 years) and study at a ratio of 1:5.\n\nResults\nEighty-eight TW and 440 CM were included in the study. Among matched participants, TW were more likely to report crack and cocaine use compared to CM (40%,16% respectively, p&lt;0.001); both TW and CM reported high rates of condomless sex (58%, 64%, respectively); TW were more likely than CM to have more than one sexual partner (OR = 2.9, 95% CI: 1.6, 5.2; p&lt;0.001) and have engaged in exchange sex (OR = 3.9, 95% CI: 2.3, 6.6; p&lt;0.001). There were no significant differences between TW and CM in the percentage currently taking ART (52%, 49%, respectively), the mean percent adherence to ART (77% for both groups), and the proportion who achieved viral suppression (61%, 58%, respectively).\n\nConclusions\nHIV-infected CJ-involved TW and CM had similar use of ART and viral suppression but TW were more likely than matched CM to engage in exchange sex, have multiple sexual partners, and use crack/cocaine. TW and CM had similarly high rates of condomless sex and use of other drugs. TW require tailored risk reduction interventions, however both CJ-involved TW and CM require focused attention to reduce HIV risk and improve HIV continuum of care outcomes.","URL":"https://www.ncbi.nlm.nih.gov/pmc/articles/PMC5963777/","DOI":"10.1371/journal.pone.0197730","ISSN":"1932-6203","note":"PMID: 29787580\nPMCID: PMC5963777","shortTitle":"Risk behaviors and HIV care continuum outcomes among criminal justice-involved HIV-infected transgender women and cisgender men","journalAbbreviation":"PLoS One","author":[{"family":"Beckwith","given":"Curt G."},{"family":"Kuo","given":"Irene"},{"family":"Fredericksen","given":"Rob J."},{"family":"Brinkley-Rubinstein","given":"Lauren"},{"family":"Cunningham","given":"William E."},{"family":"Springer","given":"Sandra A."},{"family":"Loeliger","given":"Kelsey B."},{"family":"Franks","given":"Julie"},{"family":"Christopoulos","given":"Katerina"},{"family":"Lorvick","given":"Jennifer"},{"family":"Kahana","given":"Shoshana Y."},{"family":"Young","given":"Rebekah"},{"family":"Seal","given":"David W."},{"family":"Zawitz","given":"Chad"},{"family":"Delaney","given":"Joseph A."},{"family":"Crane","given":"Heidi M."},{"family":"Biggs","given":"Mary L."}],"issued":{"date-parts":[["2018",5,22]]},"accessed":{"date-parts":[["2018",6,18]]}}}],"schema":"https://github.com/citation-style-language/schema/raw/master/csl-citation.json"}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(Beckwith et al.,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2FEC324"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729116D0"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5E396D8" w14:textId="77777777" w:rsidTr="0047793C">
        <w:trPr>
          <w:trHeight w:val="320"/>
        </w:trPr>
        <w:tc>
          <w:tcPr>
            <w:tcW w:w="0" w:type="auto"/>
            <w:shd w:val="clear" w:color="auto" w:fill="auto"/>
            <w:noWrap/>
            <w:vAlign w:val="center"/>
            <w:hideMark/>
          </w:tcPr>
          <w:p w14:paraId="038F383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{"citationID":"rKG1VYna","properties":{"formattedCitation":"(C. Beckwith et al., 2017)","plainCitation":"(C. Beckwith et al., 2017)","dontUpdate":true,"noteIndex":0},"citationItems":[{"id":825,"uris":["http://zotero.org/users/1641921/items/UAXSSYT7"],"uri":["http://zotero.org/users/1641921/items/UAXSSYT7"],"itemData":{"id":825,"type":"article-journal","title":"Gender Differences in HIV Care among Criminal Justice-Involved Persons: Baseline Data from the CARE+ Corrections Study","container-title":"PLoS ONE","volume":"12","issue":"1","source":"PubMed Central","abstract":"Background\nHIV-infected individuals recently released from incarceration have suboptimal linkage and engagement in community HIV care. We conducted a study to evaluate an information and communication technology intervention to increase linkage to community care among HIV-infected persons recently involved in the criminal justice (CJ) system. Baseline characteristics including risk behaviors and HIV care indicators are reported and stratified by gender.\n\nMethods\nWe recruited HIV-infected individuals in the District of Columbia jail and persons with a recent history of incarceration through community and street outreach. Participants completed a baseline computer-assisted personal interview regarding HIV care and antiretroviral treatment (ART) adherence, substance use, and sexual behaviors. CD4 and HIV plasma viral load testing were performed at baseline or obtained through medical records. Data were analyzed for the sample overall and stratified by gender.\n\nResults\nOf 110 individuals, 70% were community-enrolled, mean age was 40 (SD = 10.5), 85% were Black, and 58% were male, 24% female, and 18% transgender women. Nearly half (47%) had condomless sex in the three months prior to incarceration. Although drug dependence and hazardous alcohol use were highly prevalent overall, transgender women were more likely to have participated in drug treatment than men and women (90%, 61%, and 50% respectively; p = 0.01). Prior to their most recent incarceration, 80% had an HIV provider and 91% had ever taken ART. Among those, only 51% reported ≥90% ART adherence. Fewer women (67%) had received HIV medications during their last incarceration compared to men (96%) and transgender women (95%; p = 0.001). Although neither was statistically significant, transgender women and men had higher proportions of baseline HIV viral suppression compared to women (80%, 69%, and 48.0% respectively, p&gt;0.05); a higher proportion of women had a CD4 count ≤200 compared to men and transgender women (17%, 8% and 5% respectively; p&gt;0.05).\n\nConclusions\nIn this study, HIV-infected persons with recent incarceration in Washington, DC reported important risk factors and co-morbidities, yet the majority had access to HIV care and ART prior to, during, and after incarceration. Self-reported ART adherence was sub-optimal, and while there were not statistically significant differences, CJ-involved women appeared to be at greatest risk of poor HIV outcomes.\n\nTrial registration\nRegistered on ClinicalTrials.gov on 10/16/2012. Reference number: NCT01721226.","URL":"https://www.ncbi.nlm.nih.gov/pmc/articles/PMC5231337/","DOI":"10.1371/journal.pone.0169078","ISSN":"1932-6203","note":"PMID: 28081178\nPMCID: PMC5231337","shortTitle":"Gender Differences in HIV Care among Criminal Justice-Involved Persons","journalAbbreviation":"PLoS One","author":[{"family":"Beckwith","given":"Curt"},{"family":"Castonguay","given":"Breana Uhrig"},{"family":"Trezza","given":"Claudia"},{"family":"Bazerman","given":"Lauri"},{"family":"Patrick","given":"Rudy"},{"family":"Cates","given":"Alice"},{"family":"Olsen","given":"Halli"},{"family":"Kurth","given":"Ann"},{"family":"Liu","given":"Tao"},{"family":"Peterson","given":"James"},{"family":"Kuo","given":"Irene"}],"issued":{"date-parts":[["2017",1,12]]},"accessed":{"date-parts":[["2018",6,28]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(Beckwith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86CC35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Washington D.C., USA</w:t>
            </w:r>
          </w:p>
        </w:tc>
        <w:tc>
          <w:tcPr>
            <w:tcW w:w="1777" w:type="dxa"/>
            <w:shd w:val="clear" w:color="auto" w:fill="auto"/>
            <w:noWrap/>
            <w:vAlign w:val="center"/>
            <w:hideMark/>
          </w:tcPr>
          <w:p w14:paraId="6F8FACC3"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 (Baseline data)</w:t>
            </w:r>
          </w:p>
        </w:tc>
      </w:tr>
      <w:tr w:rsidR="00791C31" w:rsidRPr="00BB15F4" w14:paraId="2B05E9DE" w14:textId="77777777" w:rsidTr="0047793C">
        <w:trPr>
          <w:trHeight w:val="320"/>
        </w:trPr>
        <w:tc>
          <w:tcPr>
            <w:tcW w:w="0" w:type="auto"/>
            <w:shd w:val="clear" w:color="auto" w:fill="auto"/>
            <w:noWrap/>
            <w:vAlign w:val="center"/>
            <w:hideMark/>
          </w:tcPr>
          <w:p w14:paraId="371ECCC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{"citationID":"udfqmVJ7","properties":{"formattedCitation":"(Benotsch et al., 2013)","plainCitation":"(Benotsch et al., 2013)","noteIndex":0},"citationItems":[{"id":691,"uris":["http://zotero.org/users/1641921/items/RGJMMK34"],"uri":["http://zotero.org/users/1641921/items/RGJMMK34"],"itemData":{"id":691,"type":"article-journal","title":"Non-medical use of prescription drugs, polysubstance use, and mental health in transgender adults","container-title":"Drug and Alcohol Dependence","page":"391-394","volume":"132","issue":"1","source":"ScienceDirect","abstract":"Background\nIn recent years, the non-medical use of prescription drugs (NMUPD) has increased dramatically and has been associated with adverse health outcomes. Prior work has not examined this behavior in large samples of transgender adults.\nMethods\nTransgender adults (N=155) recruited from community venues in the Mid-Atlantic region completed anonymous, self-administered surveys assessing demographic information, NMUPD and other substance use, the non-medical use of hormones, psychosocial factors, and psychiatric symptoms.\nResults\nOverall, 26.5% of participants reported lifetime NMUPD with the most commonly reported medications used non-medically being prescription analgesics (23.9%), anxiolytics (17.4%), stimulants (13.5%), and sedatives (8.4%). Non-medical use of hormones was also frequently reported (30.3%). Participants reporting NMUPD were also more likely to report the use of illicit drugs. NMUPD, but not the non-medical use of hormones, was associated with lower self-esteem, more gender identity-based discrimination, and more self-reported symptoms of anxiety, depression, and somatic distress. Psychiatric symptoms remained statistically associated with NMUPD after controlling for demographic factors and other substance use.\nConclusions\nPrescription drug misuse was relatively common in this sample and was robustly associated with emotional distress. Substance use and mental health interventions for this population may benefit from incorporating the assessment and treatment of NMUPD.","DOI":"10.1016/j.drugalcdep.2013.02.027","ISSN":"0376-8716","journalAbbreviation":"Drug and Alcohol Dependence","author":[{"family":"Benotsch","given":"Eric G."},{"family":"Zimmerman","given":"Rick"},{"family":"Cathers","given":"Laurie"},{"family":"McNulty","given":"Shawn"},{"family":"Pierce","given":"Juan"},{"family":"Heck","given":"Ted"},{"family":"Perrin","given":"Paul B."},{"family":"Snipes","given":"Daniel"}],"issued":{"date-parts":[["2013",9,1]]}}}],"schema":"https://github.com/citation-style-language/schema/raw/master/csl-citation.json"}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(Benotsch et al., 2013)</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3A31FA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Richmond, VA and Washington D.C., USA</w:t>
            </w:r>
          </w:p>
        </w:tc>
        <w:tc>
          <w:tcPr>
            <w:tcW w:w="1777" w:type="dxa"/>
            <w:shd w:val="clear" w:color="auto" w:fill="auto"/>
            <w:noWrap/>
            <w:vAlign w:val="center"/>
            <w:hideMark/>
          </w:tcPr>
          <w:p w14:paraId="1401FAF9"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9AAE7F9" w14:textId="77777777" w:rsidTr="0047793C">
        <w:trPr>
          <w:trHeight w:val="320"/>
        </w:trPr>
        <w:tc>
          <w:tcPr>
            <w:tcW w:w="0" w:type="auto"/>
            <w:shd w:val="clear" w:color="auto" w:fill="auto"/>
            <w:noWrap/>
            <w:vAlign w:val="center"/>
            <w:hideMark/>
          </w:tcPr>
          <w:p w14:paraId="1CE9A119"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{"citationID":"R5rhZzBi","properties":{"formattedCitation":"(Bowers et al., 2011)","plainCitation":"(Bowers et al., 2011)","noteIndex":0},"citationItems":[{"id":1063,"uris":["http://zotero.org/users/1641921/items/Z2BD2X5T"],"uri":["http://zotero.org/users/1641921/items/Z2BD2X5T"],"itemData":{"id":1063,"type":"article-journal","title":"Differences in substance use and sexual partnering between men who have sex with men, men who have sex with men and women and transgender women","container-title":"Culture, Health &amp; Sexuality","page":"629-642","volume":"13","issue":"6","source":"Taylor and Francis+NEJM","abstract":"Men who have sex with men (MSM), men who have sex with men and women (MSM/W) and transgender women (TGW) remain the populations most severely and disproportionately impacted upon by HIV in Los Angeles County. Baseline data from community-based HIV-prevention programmes serving these populations were analysed to explore differences in demographic characteristics, substance use and sexual partnering between the three groups. Despite high HIV prevalence overall (MSM 34.7% versus MSM/W 16.1% versus TGW 21.9%, p &lt; .001), there were striking differences in risk behaviours. Higher rates of homelessness were reported by MSM/W compared to MSM and TGW. Lower rates of education and less substance use were reported by TGW (62.2%), compared to MSM (79.7%) and MSM/W (92.6%). A much higher number of male sexual exchange partners were reported by TGW (MSM 1.04 [SD = 4.8] versus MSM/W 1.54 [SD = 10.3] versus TGW 12.37 [SD = 23.9], p &lt; .001). Findings support the need for HIV-prevention interventions that specifically address the unique risk patterns among each population in order to curb HIV acquisition and transmission.","DOI":"10.1080/13691058.2011.564301","ISSN":"1369-1058","author":[{"family":"Bowers","given":"Jane Rohde"},{"family":"Branson","given":"Catherine M."},{"family":"Fletcher","given":"Jesse"},{"family":"Reback","given":"Cathy J."}],"issued":{"date-parts":[["2011",6,1]]}}}],"schema":"https://github.com/citation-style-language/schema/raw/master/csl-citation.json"}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(Bowers et al., 2011)</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9D5FF71"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Los Angeles, CA, USA</w:t>
            </w:r>
          </w:p>
        </w:tc>
        <w:tc>
          <w:tcPr>
            <w:tcW w:w="1777" w:type="dxa"/>
            <w:shd w:val="clear" w:color="auto" w:fill="auto"/>
            <w:noWrap/>
            <w:vAlign w:val="center"/>
            <w:hideMark/>
          </w:tcPr>
          <w:p w14:paraId="31B57735"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AD5BDF5" w14:textId="77777777" w:rsidTr="0047793C">
        <w:trPr>
          <w:trHeight w:val="320"/>
        </w:trPr>
        <w:tc>
          <w:tcPr>
            <w:tcW w:w="0" w:type="auto"/>
            <w:shd w:val="clear" w:color="auto" w:fill="auto"/>
            <w:noWrap/>
            <w:vAlign w:val="center"/>
            <w:hideMark/>
          </w:tcPr>
          <w:p w14:paraId="4C920C61"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{"citationID":"87iAOdhI","properties":{"formattedCitation":"(Bukowski et al., 2017)","plainCitation":"(Bukowski et al., 2017)","noteIndex":0},"citationItems":[{"id":772,"uris":["http://zotero.org/users/1641921/items/Q4ISNIT3"],"uri":["http://zotero.org/users/1641921/items/Q4ISNIT3"],"itemData":{"id":772,"type":"article-journal","title":"Exploring Rural Disparities in Medical Diagnoses Among Veterans With Transgender-related Diagnoses Utilizing Veterans Health Administration Care","container-title":"Medical Care","page":"S97","volume":"55","source":"journals.lww.com","abstract":"Objectives: Research shows transgender individuals experience pronounced health disparities compared with their nontransgender peers. Yet, there remains insufficient research about health differences within transgender populations. This study seeks to fill this gap by exploring how current urban/rural status is associated with lifetime diagnosis of mood disorder, alcohol dependence disorder, illicit drug abuse disorder, tobacco use, posttraumatic stress disorder, human immunodeficiency virus, and suicidal ideation or attempt among veterans with transgender-related diagnoses.\n        Methods: This study used a retrospective review of The Department of Veterans Affairs (VA) administrative data for transgender patients who received VA care from 1997 through 2014. Transgender patients were defined as individuals that had a lifetime diagnosis of any of 4 International Classification of Diseases-9 diagnosis codes associated with transgender status. Independent multivariable logistic regression models were used to explore associations of rural status with medical conditions.\n        Results: Veterans with transgender-related diagnoses residing in small/isolated rural towns had increased odds of tobacco use disorder (adjusted odds ratio=1.39; 95% confidence intervals, 1.09–1.78) and posttraumatic stress disorder (adjusted odds ratio=1.33; 95% confidence intervals, 1.03–1.71) compared with their urban transgender peers. Urban/rural status was not significantly associated with other medical conditions of interest.\n        Conclusions: This study contributes the first empirical investigations of how place of residence is associated with medical diagnoses among veterans with transgender-related diagnoses. The importance of place as a determinant of health is increasingly clear, but for veterans with transgender-related diagnoses this line of research is currently limited. The addition of self-reported sex identity data within VA electronic health records is one way to advance this line of research.","DOI":"10.1097/MLR.0000000000000745","ISSN":"0025-7079","language":"en-US","author":[{"family":"Bukowski","given":"Leigh A."},{"family":"Blosnich","given":"John"},{"family":"Shipherd","given":"Jillian C."},{"family":"Kauth","given":"Michael R."},{"family":"Brown","given":"George R."},{"family":"Gordon","given":"Adam J."}],"issued":{"date-parts":[["2017",9]]}}}],"schema":"https://github.com/citation-style-language/schema/raw/master/csl-citation.json"}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(Bukowski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9F1C5AC"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6B39288E"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7814EFF" w14:textId="77777777" w:rsidTr="0047793C">
        <w:trPr>
          <w:trHeight w:val="320"/>
        </w:trPr>
        <w:tc>
          <w:tcPr>
            <w:tcW w:w="0" w:type="auto"/>
            <w:shd w:val="clear" w:color="auto" w:fill="auto"/>
            <w:noWrap/>
            <w:vAlign w:val="center"/>
            <w:hideMark/>
          </w:tcPr>
          <w:p w14:paraId="44E528E9"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{"citationID":"czD54XnT","properties":{"formattedCitation":"(Castro et al., 2016)","plainCitation":"(Castro et al., 2016)","noteIndex":0},"citationItems":[{"id":859,"uris":["http://zotero.org/users/1641921/items/9RCLQQP2"],"uri":["http://zotero.org/users/1641921/items/9RCLQQP2"],"itemData":{"id":859,"type":"article-journal","title":"The Men Who Have Sex with Men HIV Care Cascade in Rio de Janeiro, Brazil","container-title":"PLoS ONE","volume":"11","issue":"6","source":"PubMed Central","abstract":"Brazil has a concentrated HIV epidemic and men who have sex with men (MSM) are disproportionately affected. Yet, no data is available on the HIV care cascade for this population. This study aimed to assess the HIV care cascade among MSM newly diagnosed through innovative testing strategies in Rio de Janeiro. Data from 793 MSM and travestites/transgender women (transwomen) tested for HIV at a non-governmental LGBT organization and a mobile testing unit located at a gay friendly venue were analyzed. A 12-month-after-HIV-diagnosis-censored cohort was established using CD4, viral load and combination antiretroviral therapy (cART) longitudinal data from those diagnosed with HIV. A cross-sectional HIV care cascade was built using this data. The relative risks of achieving each cascade-stage were estimated using generalized linear models according to age, self-declared skin-color, education, history of sexually transmitted diseases (STD), drug use and prior HIV testing. From Jan-2013 to Jan-2014, 793 MSM and transwomen were tested, 131 (16.5%) were HIV-infected. As of January 2015, 95 (72.5%) were linked to HIV care, 90 (68.7%) were retained in HIV care, 80 (61.1%) were on cART, and 50 (38.2%) were virally suppressed one year after HIV diagnosis. Being non-white (Relative risk [lower bound; upper bound of 95% confidence interval] = 1.709 [1.145; 2.549]) and having a prior HIV-test (1.954 [1.278; 2.986]) were associated with an HIV-positive diagnosis. A higher linkage (2.603 [1.091; 6.211]) and retention in care (4.510 [1.880; 10.822]) were observed among those who were older than 30 years of age. Using community-based testing strategies, we were able to access a high-risk MSM population and a small sample of transwomen. Despite universal care coverage and the test-and-treat policy adopted in Brazil, the MSM cascade of care indicates that strategies to increase linkage to care and prompt cART initiation targeted to these populations are critically needed. Interventions targeting non-white and young MSM should be prioritized.","URL":"https://www.ncbi.nlm.nih.gov/pmc/articles/PMC4907447/","DOI":"10.1371/journal.pone.0157309","ISSN":"1932-6203","note":"PMID: 27299524\nPMCID: PMC4907447","journalAbbreviation":"PLoS One","author":[{"family":"Castro","given":"Rodolfo"},{"family":"Ribeiro-Alves","given":"Marcelo"},{"family":"Corrêa","given":"Renato Girade"},{"family":"Derrico","given":"Monica"},{"family":"Lemos","given":"Katia"},{"family":"Grangeiro","given":"Jose Roberto"},{"family":"Jesus","given":"Beto","non-dropping-particle":"de"},{"family":"Pires","given":"Denise"},{"family":"Veloso","given":"Valdilea G."},{"family":"Grinsztejn","given":"Beatriz"}],"issued":{"date-parts":[["2016",6,14]]},"accessed":{"date-parts":[["2018",7,9]]}}}],"schema":"https://github.com/citation-style-language/schema/raw/master/csl-citation.json"}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(Castro et al.,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65F425F"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Rio de Janeiro, Brazil</w:t>
            </w:r>
          </w:p>
        </w:tc>
        <w:tc>
          <w:tcPr>
            <w:tcW w:w="1777" w:type="dxa"/>
            <w:shd w:val="clear" w:color="auto" w:fill="auto"/>
            <w:noWrap/>
            <w:vAlign w:val="center"/>
            <w:hideMark/>
          </w:tcPr>
          <w:p w14:paraId="2F81F42E"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DC0EB80" w14:textId="77777777" w:rsidTr="0047793C">
        <w:trPr>
          <w:trHeight w:val="320"/>
        </w:trPr>
        <w:tc>
          <w:tcPr>
            <w:tcW w:w="0" w:type="auto"/>
            <w:shd w:val="clear" w:color="auto" w:fill="auto"/>
            <w:noWrap/>
            <w:vAlign w:val="center"/>
            <w:hideMark/>
          </w:tcPr>
          <w:p w14:paraId="26C04EA7"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{"citationID":"TwS65L7z","properties":{"formattedCitation":"(Chariyalertsak et al., 2011)","plainCitation":"(Chariyalertsak et al., 2011)","noteIndex":0},"citationItems":[{"id":795,"uris":["http://zotero.org/users/1641921/items/LKJRN3IY"],"uri":["http://zotero.org/users/1641921/items/LKJRN3IY"],"itemData":{"id":795,"type":"article-journal","title":"HIV Incidence, Risk Factors, and Motivation for Biomedical Intervention among Gay, Bisexual Men, and Transgender Persons in Northern Thailand","container-title":"PLoS ONE","volume":"6","issue":"9","source":"PubMed Central","abstract":"Background\nHIV prevalence among men who have sex with men (MSM) and transgender (TG) persons is high and increasing in Chiang Mai, northern Thailand.\n\nObjectives\nTo describe demographic, socioeconomic, sexual behavior and interest in future HIV prevention trials among gay and bisexual MSM and TG presenting for HIV testing (VCT) and pre-screening for the iPrEx pre-exposure chemoprophylaxis trail.\n\nMethods\nIn 2008–09, MSM/TG participants attending VCT were interviewed and tested for HIV and STI. Univariate and multivariate regression analyses were done to assess associations with HIV infection.\n\nResults\nA total of 551 MSM clients (56.1% gay, 25.4% TG, and 18.5% bisexual (BS)) were enrolled. The mean age was 23.9 years. HIV prevalence among MSM overall was 12.9% (71/551); 16.5% among gay men, 9.3% among TG, and 6.9% among BS. Consistent use of condom was low, 33.3% in insertive anal sex and 31.9% in receptive anal sex. Interest in participation was high, 86.3% for PrEP, 69.7% for HIV vaccine trials, but 29.9% for circumcision. HIV was independently associated with being gay identified, aOR 2.8, p = 0.037 and with being aged 25–29, aOR 2.7, p = 0.027. Among repeat testers, HIV incidence was 8.2/100 PY, 95% CI, 3.7/100PY to 18.3/100PY.\n\nConclusion\nHIV risks and rates varied by self-reported sexual orientation and gender identity. HIV was associated with sexual practices, age, and being gay-identified. These are populations are in need of novel prevention strategies and willing to participate in prevention research.","URL":"https://www.ncbi.nlm.nih.gov/pmc/articles/PMC3169571/","DOI":"10.1371/journal.pone.0024295","ISSN":"1932-6203","note":"PMID: 21931673\nPMCID: PMC3169571","journalAbbreviation":"PLoS One","author":[{"family":"Chariyalertsak","given":"Suwat"},{"family":"Kosachunhanan","given":"Natthapol"},{"family":"Saokhieo","given":"Pongpun"},{"family":"Songsupa","given":"Radchanok"},{"family":"Wongthanee","given":"Antika"},{"family":"Chariyalertsak","given":"Chonlisa"},{"family":"Visarutratana","given":"Surasing"},{"family":"Beyrer","given":"Chris"}],"issued":{"date-parts":[["2011",9,8]]},"accessed":{"date-parts":[["2018",6,28]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(Chariyalertsak et al., 2011)</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A96111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Chiang Mai, Thailand</w:t>
            </w:r>
          </w:p>
        </w:tc>
        <w:tc>
          <w:tcPr>
            <w:tcW w:w="1777" w:type="dxa"/>
            <w:shd w:val="clear" w:color="auto" w:fill="auto"/>
            <w:noWrap/>
            <w:vAlign w:val="center"/>
            <w:hideMark/>
          </w:tcPr>
          <w:p w14:paraId="2A1B8B6F"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F28B7A0" w14:textId="77777777" w:rsidTr="0047793C">
        <w:trPr>
          <w:trHeight w:val="320"/>
        </w:trPr>
        <w:tc>
          <w:tcPr>
            <w:tcW w:w="0" w:type="auto"/>
            <w:shd w:val="clear" w:color="auto" w:fill="auto"/>
            <w:noWrap/>
            <w:vAlign w:val="center"/>
            <w:hideMark/>
          </w:tcPr>
          <w:p w14:paraId="6D1786F5"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{"citationID":"T5Bawg0S","properties":{"formattedCitation":"(Chemnasiri et al., 2010)","plainCitation":"(Chemnasiri et al., 2010)","noteIndex":0},"citationItems":[{"id":1135,"uris":["http://zotero.org/users/1641921/items/HSNPMUG6"],"uri":["http://zotero.org/users/1641921/items/HSNPMUG6"],"itemData":{"id":1135,"type":"article-journal","title":"Inconsistent Condom Use Among Young Men Who Have Sex With Men, Male Sex Workers, and Transgenders in Thailand","container-title":"AIDS Education and Prevention","page":"100-109","volume":"22","issue":"2","source":"guilfordjournals.com (Atypon)","abstract":"Young men who have sex with men (MSM) are at risk for HIV infection. We investigated inconsistent condom use among 827 sexually active young MSM (15–24 years), enrolled using venue-day-time sampling in Bangkok, Chiang Mai and Phuket, Thailand. Data was collected using palmtop computer-assisted self-interviewing. Of participants, 33.1% were regular MSM, 37.7% were male sex workers (MSWs) and 29.1% were transgenders (TGs). Of MSM, 46.7%, of MSWs, 34.9% and of TGs, 52.3% reported recent inconsistent condom use. In multivariate analysis, receptive anal intercourse (MSM, MSWs), receptive and insertive anal intercourse, living alone and a history of sexual coercion (MSWs), not carrying a condom when interviewed (MSM, TGs), lower education, worrying about HIV infection and a history of sexually transmitted infections (TGs) were significantly and independently associated with inconsistent condom use. Interventions for young MSM are needed and must consider the distinct risk factors of MSM, MSWs, and TGs.","DOI":"10.1521/aeap.2010.22.2.100","ISSN":"0899-9546","journalAbbreviation":"AIDS Education and Prevention","author":[{"family":"Chemnasiri","given":"Tareerat"},{"family":"Netwong","given":"Taweesak"},{"family":"Visarutratana","given":"Surasing"},{"family":"Varangrat","given":"Anchalee"},{"family":"Li","given":"Andrea"},{"family":"Phanuphak","given":"Praphan"},{"family":"Jommaroeng","given":"Rapeepun"},{"family":"Akarasewi","given":"Pasakorn"},{"family":"Griensven","given":"Frits","non-dropping-particle":"van"}],"issued":{"date-parts":[["2010",4,1]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(Chemnasiri et al., 2010)</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AA14FC7"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Bangkok, Chiang Mai, and Phuket, Thailand</w:t>
            </w:r>
          </w:p>
        </w:tc>
        <w:tc>
          <w:tcPr>
            <w:tcW w:w="1777" w:type="dxa"/>
            <w:shd w:val="clear" w:color="auto" w:fill="auto"/>
            <w:noWrap/>
            <w:vAlign w:val="center"/>
            <w:hideMark/>
          </w:tcPr>
          <w:p w14:paraId="597E58FD"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F919128" w14:textId="77777777" w:rsidTr="0047793C">
        <w:trPr>
          <w:trHeight w:val="320"/>
        </w:trPr>
        <w:tc>
          <w:tcPr>
            <w:tcW w:w="0" w:type="auto"/>
            <w:shd w:val="clear" w:color="auto" w:fill="auto"/>
            <w:noWrap/>
            <w:vAlign w:val="center"/>
            <w:hideMark/>
          </w:tcPr>
          <w:p w14:paraId="38196D89"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{"citationID":"cNv9gMdY","properties":{"formattedCitation":"(Day et al., 2017)","plainCitation":"(Day et al., 2017)","noteIndex":0},"citationItems":[{"id":738,"uris":["http://zotero.org/users/1641921/items/3Q6CXYKD"],"uri":["http://zotero.org/users/1641921/items/3Q6CXYKD"],"itemData":{"id":738,"type":"article-journal","title":"Transgender Youth Substance Use Disparities: Results From a Population-Based Sample","container-title":"Journal of Adolescent Health","page":"729-735","volume":"61","issue":"6","source":"ScienceDirect","abstract":"Purpose\nThe purpose of this study was to examine rates of substance use between transgender and nontransgender youth using a representative population-based sample and to examine mediating risk factors.\nMethods\nA statewide cross-sectional sample of California middle and high schools collected between 2013 and 2015. This representative sample of students in California included 335 transgender and 31,737 nontransgender youth. Using multivariate linear and logistic regression, we assessed differences between transgender and nontransgender youth in substance use behaviors related to alcohol, cigarette, marijuana, other illicit drugs, polysubstance use, and heavy episodic drinking. Substance use was assessed with lifetime use, age of onset, and past 30-day use for alcohol, cigarettes, and marijuana. Past 30-day use was also assessed for other illicit drugs and polysubstance use. Models were adjusted for demographics and risk factors including victimization, depressive symptoms, and perceived risk of substance use.\nResults\nThe prevalence of substance use was 2.5–4 times higher for transgender youth compared with their nontransgender peers (depending on the substance). Transgender youth were also at greater risk for early age of onset and recent substance use than nontransgender youth. In addition, psychosocial risk factors related to victimization, depressive symptoms, and perceived risk of substance use partially mediated the relationship between gender identity and substance use.\nConclusions\nUsing data from the first representative study of youth to include a measure of gender identity, we show that transgender youth are at heightened risk for substance use compared with nontransgender peers. Future research is needed to identify the structural and psychosocial mechanisms that drive these disparities.","DOI":"10.1016/j.jadohealth.2017.06.024","ISSN":"1054-139X","shortTitle":"Transgender Youth Substance Use Disparities","journalAbbreviation":"Journal of Adolescent Health","author":[{"family":"Day","given":"Jack K."},{"family":"Fish","given":"Jessica N."},{"family":"Perez-Brumer","given":"Amaya"},{"family":"Hatzenbuehler","given":"Mark L."},{"family":"Russell","given":"Stephen T."}],"issued":{"date-parts":[["2017",12,1]]}}}],"schema":"https://github.com/citation-style-language/schema/raw/master/csl-citation.json"}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(Day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28BF6A3"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California, USA</w:t>
            </w:r>
          </w:p>
        </w:tc>
        <w:tc>
          <w:tcPr>
            <w:tcW w:w="1777" w:type="dxa"/>
            <w:shd w:val="clear" w:color="auto" w:fill="auto"/>
            <w:noWrap/>
            <w:vAlign w:val="center"/>
            <w:hideMark/>
          </w:tcPr>
          <w:p w14:paraId="0E81AB34"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6EDD794B" w14:textId="77777777" w:rsidTr="0047793C">
        <w:trPr>
          <w:trHeight w:val="320"/>
        </w:trPr>
        <w:tc>
          <w:tcPr>
            <w:tcW w:w="0" w:type="auto"/>
            <w:shd w:val="clear" w:color="auto" w:fill="auto"/>
            <w:noWrap/>
            <w:vAlign w:val="center"/>
            <w:hideMark/>
          </w:tcPr>
          <w:p w14:paraId="2E7A65E7"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{"citationID":"H2L1T320","properties":{"formattedCitation":"(Demant, Hides, White, &amp; Kavanagh, 2018)","plainCitation":"(Demant, Hides, White, &amp; Kavanagh, 2018)","noteIndex":0},"citationItems":[{"id":620,"uris":["http://zotero.org/users/1641921/items/LDM27QFA"],"uri":["http://zotero.org/users/1641921/items/LDM27QFA"],"itemData":{"id":620,"type":"article-journal","title":"Effects of participation in and connectedness to the LGBT community on substance use involvement of sexual minority young people","container-title":"Addictive Behaviors","page":"167-174","volume":"81","source":"ScienceDirect","abstract":"Introduction\nResearch shows disproportionate levels of substance use among sexual minority young people. A range of reasons for these disparities have been suggested, including connectedness to and participation in the LGBT community. Little is known about how these constructs are related to substance use involvement in sexual minority (sub)groups or how these relationships are affected by other factors.\nMethods\n1266 young sexual minority Australians completed a cross-sectional online survey. Multiple regressions were conducted to assess associations between connectedness to and participation in the LGBT community on substance use involvement, before and after controlling for other factors such as substance use motives, psychological distress, wellbeing, resilience, minority stress, and age.\nResults/conclusion\nMost participants identified as homosexual (57%, n=726) and male (54%, n=683). In the overall sample, participation in and connectedness the LGBT community were significantly associated with increased substance use involvement before (F(2,1263)=35.930, p≤0.001, R2=0.052) and after controlling for other variables (F(8,1095)=33.538, p≤0.001, R2=0.191), with meaningfully higher effect sizes for participation than for connectedness. After controlling for other variables, connectedness only remained significant for homosexuals. Effect sizes for participation were higher for females than males, and bisexuals than homosexuals. However, participation in the LGBT Community was not associated with substance use in participants identifying with a non-binary gender identity. In conclusion, substance use involvement was associated with participation in the LGBT community, but connectedness to the LGBT community only had a weak association with substance use involvement in the homosexual subgroup.","DOI":"10.1016/j.addbeh.2018.01.028","ISSN":"0306-4603","journalAbbreviation":"Addictive Behaviors","author":[{"family":"Demant","given":"Daniel"},{"family":"Hides","given":"Leanne"},{"family":"White","given":"Katherine M."},{"family":"Kavanagh","given":"David J."}],"issued":{"date-parts":[["2018",6,1]]}}}],"schema":"https://github.com/citation-style-language/schema/raw/master/csl-citation.json"}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(Demant, Hides, White, &amp; Kavanagh,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8A41581"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Australia (nationwide)</w:t>
            </w:r>
          </w:p>
        </w:tc>
        <w:tc>
          <w:tcPr>
            <w:tcW w:w="1777" w:type="dxa"/>
            <w:shd w:val="clear" w:color="auto" w:fill="auto"/>
            <w:noWrap/>
            <w:vAlign w:val="center"/>
            <w:hideMark/>
          </w:tcPr>
          <w:p w14:paraId="39D9AD63"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8342563" w14:textId="77777777" w:rsidTr="0047793C">
        <w:trPr>
          <w:trHeight w:val="320"/>
        </w:trPr>
        <w:tc>
          <w:tcPr>
            <w:tcW w:w="0" w:type="auto"/>
            <w:shd w:val="clear" w:color="auto" w:fill="auto"/>
            <w:noWrap/>
            <w:vAlign w:val="center"/>
            <w:hideMark/>
          </w:tcPr>
          <w:p w14:paraId="41831347"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{"citationID":"5c2CBv4B","properties":{"formattedCitation":"(Dias, Gama, Fuertes, Mend\\uc0\\u227{}o, &amp; Barros, 2015)","plainCitation":"(Dias, Gama, Fuertes, Mendão, &amp; Barros, 2015)","noteIndex":0},"citationItems":[{"id":904,"uris":["http://zotero.org/users/1641921/items/ZZSS7EAJ"],"uri":["http://zotero.org/users/1641921/items/ZZSS7EAJ"],"itemData":{"id":904,"type":"article-journal","title":"Risk-taking behaviours and HIV infection among sex workers in Portugal: results from a cross-sectional survey","container-title":"Sex Transm Infect","page":"346-352","volume":"91","issue":"5","source":"sti.bmj.com","abstract":"Objectives Sex workers (SW) are key populations at an increased risk of HIV infection. This study aimed to characterise risk-taking behaviours and assess HIV prevalence among SW in Portugal.\nMethods A cross-sectional survey was conducted with 1040 SW using a participatory research approach. SW were recruited in sex-work locations and community-based organisation offices. Data were collected through a questionnaire with trained interviewers. An HIV rapid test was performed in 213 respondents.\nResults Reported HIV prevalence was 8%: 17.6% of man-to-woman transgenders, 7.4% of women and 5% of men. Of SW reportedly living with HIV, 52.2% reported ever injecting drug use. Inconsistent condom use with clients in the last month was higher among male SW (26.5%) and with non-paying partners in the last year was higher among women (71.3%). Among reported HIV-positive SW, the proportions of inconsistent condom use were high. In multivariate regression analysis, reported HIV infection remained significantly higher among transgenders (OR 6.4; 95% CI 1.7 to 24.3), those older (OR 5.1; 95% CI 1.3 to 21.1), working outdoors (OR 5.4; 95% CI 1.9 to 15.6), having ever used psychoactive substances (OR 4.1; 95% CI 2.2 to 7.7) and earning ≤€1000 per month (OR 2.6; 95% CI 1.2 to 5.9). Of those who had an HIV rapid test, 8.9% were reactive; 73.7% were unaware of their seropositivity.\nConclusions The HIV infection burden in SW is high. Efforts to promote HIV testing must be sustained in order to reduce undiagnosed infection. The diverse risk profiles of SW must be addressed in targeted HIV interventions. Prevention interventions should be systematically implemented within most-at-risk subgroups of SW.","DOI":"10.1136/sextrans-2014-051697","ISSN":"1368-4973, 1472-3263","note":"PMID: 25512671","shortTitle":"Risk-taking behaviours and HIV infection among sex workers in Portugal","journalAbbreviation":"Sex Transm Infect","language":"en","author":[{"family":"Dias","given":"Sónia"},{"family":"Gama","given":"Ana"},{"family":"Fuertes","given":"Ricardo"},{"family":"Mendão","given":"Luís"},{"family":"Barros","given":"Henrique"}],"issued":{"date-parts":[["2015",8,1]]}}}],"schema":"https://github.com/citation-style-language/schema/raw/master/csl-citation.json"} </w:instrText>
            </w:r>
            <w:r>
              <w:rPr>
                <w:rFonts w:ascii="Times New Roman" w:eastAsia="Times New Roman" w:hAnsi="Times New Roman" w:cs="Times New Roman"/>
                <w:color w:val="000000"/>
              </w:rPr>
              <w:fldChar w:fldCharType="separate"/>
            </w:r>
            <w:r w:rsidRPr="00F1697A">
              <w:rPr>
                <w:rFonts w:ascii="Times New Roman" w:eastAsia="Times New Roman" w:hAnsi="Times New Roman" w:cs="Times New Roman"/>
                <w:color w:val="000000"/>
              </w:rPr>
              <w:t>(Dias, Gama, Fuertes, Mendão, &amp; Barros,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5C876D52"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Great Lisbon, Great Porto, and Coimbra, Portugal</w:t>
            </w:r>
          </w:p>
        </w:tc>
        <w:tc>
          <w:tcPr>
            <w:tcW w:w="1777" w:type="dxa"/>
            <w:shd w:val="clear" w:color="auto" w:fill="auto"/>
            <w:noWrap/>
            <w:vAlign w:val="center"/>
            <w:hideMark/>
          </w:tcPr>
          <w:p w14:paraId="5279DD85"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C636DDA" w14:textId="77777777" w:rsidTr="0047793C">
        <w:trPr>
          <w:trHeight w:val="320"/>
        </w:trPr>
        <w:tc>
          <w:tcPr>
            <w:tcW w:w="0" w:type="auto"/>
            <w:shd w:val="clear" w:color="auto" w:fill="auto"/>
            <w:noWrap/>
            <w:vAlign w:val="center"/>
            <w:hideMark/>
          </w:tcPr>
          <w:p w14:paraId="738B1A48"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{"citationID":"MLwPnYbY","properties":{"formattedCitation":"(Dowshen et al., 2015)","plainCitation":"(Dowshen et al., 2015)","noteIndex":0},"citationItems":[{"id":1161,"uris":["http://zotero.org/users/1641921/items/W9P3RLIJ"],"uri":["http://zotero.org/users/1641921/items/W9P3RLIJ"],"itemData":{"id":1161,"type":"article-journal","title":"Behavioral and Health Outcomes for HIV+ Young Transgender Women Linked To and Engaged in Medical Care","container-title":"LGBT Health","page":"162-167","volume":"3","issue":"2","source":"liebertpub.com (Atypon)","abstract":"We describe health and psychosocial outcomes of HIV+ young transgender women (YTW) engaged in care across the United States. When compared to other behaviorally infected youth (BIY), YTW reported higher rates of unemployment (25% vs. 19%), limited educational achievement (42% vs 13%), and suboptimal ART adherence (51% vs. 30%). There was no difference in likelihood of having a detectable viral load (38% vs. 39%) between groups. However, particular isolating psychosocial factors (unstable housing, depression, and lack of social support for attending appointments) increased predicted probability of viral detection to a greater extent among YTW that may have important health implications for this marginalized youth population.","DOI":"10.1089/lgbt.2014.0062","ISSN":"2325-8292","journalAbbreviation":"LGBT Health","author":[{"family":"Dowshen","given":"Nadia"},{"family":"Matone","given":"Meredith"},{"family":"Luan","given":"Xianqun"},{"family":"Lee","given":"Susan"},{"family":"Belzer","given":"Marvin"},{"family":"Fernandez","given":"Maria Isabel"},{"family":"Rubin","given":"David"}],"issued":{"date-parts":[["2015",3,11]]}}}],"schema":"https://github.com/citation-style-language/schema/raw/master/csl-citation.json"}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(Dowshen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A7C3BC3"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 + Puerto Rico)</w:t>
            </w:r>
          </w:p>
        </w:tc>
        <w:tc>
          <w:tcPr>
            <w:tcW w:w="1777" w:type="dxa"/>
            <w:shd w:val="clear" w:color="auto" w:fill="auto"/>
            <w:noWrap/>
            <w:vAlign w:val="center"/>
            <w:hideMark/>
          </w:tcPr>
          <w:p w14:paraId="4B0D6834"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6E8BEEE6" w14:textId="77777777" w:rsidTr="0047793C">
        <w:trPr>
          <w:trHeight w:val="320"/>
        </w:trPr>
        <w:tc>
          <w:tcPr>
            <w:tcW w:w="0" w:type="auto"/>
            <w:shd w:val="clear" w:color="auto" w:fill="auto"/>
            <w:noWrap/>
            <w:vAlign w:val="center"/>
            <w:hideMark/>
          </w:tcPr>
          <w:p w14:paraId="6D7A31A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{"citationID":"UDlu8o8Q","properties":{"formattedCitation":"(Dragon, Guerino, Ewald, &amp; Laffan, 2017)","plainCitation":"(Dragon, Guerino, Ewald, &amp; Laffan, 2017)","noteIndex":0},"citationItems":[{"id":743,"uris":["http://zotero.org/users/1641921/items/A6SSWW8E"],"uri":["http://zotero.org/users/1641921/items/A6SSWW8E"],"itemData":{"id":743,"type":"article-journal","title":"Transgender Medicare Beneficiaries and Chronic Conditions: Exploring Fee-for-Service Claims Data","container-title":"LGBT Health","page":"404-411","volume":"4","issue":"6","source":"PubMed Central","abstract":"Purpose: Data on the health and well-being of the transgender population are limited. However, using claims data we can identify transgender Medicare beneficiaries (TMBs) with high confidence. We seek to describe the TMB population and provide comparisons of chronic disease burden between TMBs and cisgender Medicare beneficiaries (CMBs), thus laying a foundation for national level TMB health disparity research., Methods: Using a previously validated claims algorithm based on ICD-9-CM codes relating to transsexualism and gender identity disorder, we identified a cohort of TMBs using Medicare Fee-for-Service (FFS) claims data. We then describe the demographic characteristics and chronic disease burden of TMBs (N = 7454) and CMBs (N = 39,136,229)., Results: Compared to CMBs, a greater observed proportion of TMBs are young (under age 65) and Black, although these differences vary by entitlement. Regardless of entitlement, TMBs have more chronic conditions than CMBs, and more TMBs have been diagnosed with asthma, autism spectrum disorder, chronic obstructive pulmonary disease, depression, hepatitis, HIV, schizophrenia, and substance use disorders. TMBs also have higher observed rates of potentially disabling mental health and neurological/chronic pain conditions, as well as obesity and other liver conditions (nonhepatitis), compared to CMBs., Conclusion: This is the first systematic look at chronic disease burden in the transgender population using Medicare FFS claims data. We found that TMBs experience multiple chronic conditions at higher rates than CMBs, regardless of Medicare entitlement. TMBs under age 65 show an already heavy chronic disease burden which will only be exacerbated with age.","DOI":"10.1089/lgbt.2016.0208","ISSN":"2325-8292","note":"PMID: 29125908\nPMCID: PMC5731542","shortTitle":"Transgender Medicare Beneficiaries and Chronic Conditions","journalAbbreviation":"LGBT Health","author":[{"family":"Dragon","given":"Christina N."},{"family":"Guerino","given":"Paul"},{"family":"Ewald","given":"Erin"},{"family":"Laffan","given":"Alison M."}],"issued":{"date-parts":[["2017",12,1]]}}}],"schema":"https://github.com/citation-style-language/schema/raw/master/csl-citation.json"}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(Dragon, Guerino, Ewald, &amp; Laffan,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3D02F10"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64AA264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A0ACEE3" w14:textId="77777777" w:rsidTr="0047793C">
        <w:trPr>
          <w:trHeight w:val="320"/>
        </w:trPr>
        <w:tc>
          <w:tcPr>
            <w:tcW w:w="0" w:type="auto"/>
            <w:shd w:val="clear" w:color="auto" w:fill="auto"/>
            <w:noWrap/>
            <w:vAlign w:val="center"/>
            <w:hideMark/>
          </w:tcPr>
          <w:p w14:paraId="0958DDB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{"citationID":"gu3I4B14","properties":{"formattedCitation":"(Emmanuel, Salim, Akhtar, Arshad, &amp; Reza, 2013)","plainCitation":"(Emmanuel, Salim, Akhtar, Arshad, &amp; Reza, 2013)","noteIndex":0},"citationItems":[{"id":956,"uris":["http://zotero.org/users/1641921/items/38AIRYEB"],"uri":["http://zotero.org/users/1641921/items/38AIRYEB"],"itemData":{"id":956,"type":"article-journal","title":"Second-generation surveillance for HIV/AIDS in Pakistan: results from the 4th round of Integrated Behavior and Biological Survey 2011–2012","container-title":"Sexually Transmitted Infections","page":"iii23-iii28","volume":"89","issue":"Suppl 3","source":"PubMed Central","abstract":"Objectives\nIn an effort to fully analyse and understand the HIV situation and its epidemiology in Pakistan, a bilateral collaboration between the National AIDS Control Program and the Canadian International Development Agency resulted in the establishment of an effective second-generation surveillance (SGS) system for HIV/AIDS between 2004 and 2012 in accordance with the published guidelines. This paper presents findings from the 4th round of SGS.\n\nMethods\nA mapping exercise was initially conducted for size estimations of the key vulnerable populations: people who inject drugs (PWIDs), male sex workers (MSWs), hijra sex workers (HSWs), and female sex workers (FSWs), followed by an Integrated Behavioral and Biological Surveillance in 20 selected cities across Pakistan.\n\nResults\nThe estimated sizes of the four key populations mapped in the 20 cities were 89 178 FSWs, 46 351 PWIDs, 23 317 HSWs and 19 119 MSWs. The HIV sero-prevalence among PWIDs was the highest among all key populations surveyed at 37.8% (CI 37.3 to 38.3) nationally, followed by a prevalence of 7.2% (CI 6.8 to 7.5) among HSWs, 3.1% (CI 2.8 to 3.4) among MSWs and 0.8% (CI 0.4 to 1.0) for FSWs. Various key risk behaviours, that is, sharing of syringes by PWIDs and inconsistent use of condoms by sex workers, were documented.\n\nConclusions\nPakistan's HIV epidemic that once was characterised primarily by transmission among PWIDs is now increasingly characterised by significant sexual transmission, and all types of sex workers (male, hijra and female) exhibit epidemiological proportions of infection. There is a need to develop concrete strategic plans for each vulnerable subpopulation, initially focusing prevention resources on those with a higher risk or vulnerability.","DOI":"10.1136/sextrans-2013-051161","ISSN":"1368-4973","note":"PMID: 23912818\nPMCID: PMC3841725","shortTitle":"Second-generation surveillance for HIV/AIDS in Pakistan","journalAbbreviation":"Sex Transm Infect","author":[{"family":"Emmanuel","given":"Faran"},{"family":"Salim","given":"Momina"},{"family":"Akhtar","given":"Naeem"},{"family":"Arshad","given":"Salwa"},{"family":"Reza","given":"Tahira Ezra"}],"issued":{"date-parts":[["2013",11]]}}}],"schema":"https://github.com/citation-style-language/schema/raw/master/csl-citation.json"}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(Emmanuel, Salim, Akhtar, Arshad, &amp; Reza, 2013)</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13ED8E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Pakistan (20 cities across Punjab (9), Sind (7), Khyber Pakhtunkhwa (2), Baluchistan (2))</w:t>
            </w:r>
          </w:p>
        </w:tc>
        <w:tc>
          <w:tcPr>
            <w:tcW w:w="1777" w:type="dxa"/>
            <w:shd w:val="clear" w:color="auto" w:fill="auto"/>
            <w:noWrap/>
            <w:vAlign w:val="center"/>
            <w:hideMark/>
          </w:tcPr>
          <w:p w14:paraId="5313CF76"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E94BEEE" w14:textId="77777777" w:rsidTr="0047793C">
        <w:trPr>
          <w:trHeight w:val="320"/>
        </w:trPr>
        <w:tc>
          <w:tcPr>
            <w:tcW w:w="0" w:type="auto"/>
            <w:shd w:val="clear" w:color="auto" w:fill="auto"/>
            <w:noWrap/>
            <w:vAlign w:val="center"/>
            <w:hideMark/>
          </w:tcPr>
          <w:p w14:paraId="4BAFBF51"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{"citationID":"jrv8Hco5","properties":{"formattedCitation":"(Flentje et al., 2014)","plainCitation":"(Flentje et al., 2014)","noteIndex":0},"citationItems":[{"id":947,"uris":["http://zotero.org/users/1641921/items/A7U554UP"],"uri":["http://zotero.org/users/1641921/items/A7U554UP"],"itemData":{"id":947,"type":"article-journal","title":"Characteristics of Transgender Individuals Entering Substance Abuse Treatment","container-title":"Addictive behaviors","page":"969-975","volume":"39","issue":"5","source":"PubMed Central","abstract":"Little is known about the needs or characteristics of transgender individuals in substance abuse treatment settings. Transgender (n=199) and non-transgender (cisgender, n=13440) individuals were compared on psychosocial factors related to treatment, health risk behaviors, medical and mental health status and utilization, and substance use behaviors within a database that documented individuals entering substance abuse treatment in San Francisco, CA from 2007–2009 using logistic and linear regression analyses (run separately by identified gender). Transgender men (assigned birth sex of female) differed from cisgender men across many psychosocial factors, including having more recent employment, less legal system involvement, greater incidence of living with a substance abuser, and greater family conflict, while transgender women (assigned birth sex of male) were less likely to have minor children than cisgender women. Transgender women reported greater needle use and HIV testing rates were greater among transgender women. Transgender men and women reported higher rates of physical health problems, mental health diagnoses, and psychiatric medications but there were no differences in service utilization. There were no differences in substance use behaviors except that transgender women were more likely to endorse primary methamphetamine use. Transgender individuals evidence unique strengths and challenges that could inform targeted services in substance abuse treatment.","DOI":"10.1016/j.addbeh.2014.01.011","ISSN":"0306-4603","note":"PMID: 24561017\nPMCID: PMC4130569","journalAbbreviation":"Addict Behav","author":[{"family":"Flentje","given":"Annesa"},{"family":"Heck","given":"Nicholas C."},{"family":"Sorensen","given":"James L."}],"issued":{"date-parts":[["2014",5]]}}}],"schema":"https://github.com/citation-style-language/schema/raw/master/csl-citation.json"}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(Flentje et al.,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04B7300"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San Francisco, CA, USA</w:t>
            </w:r>
          </w:p>
        </w:tc>
        <w:tc>
          <w:tcPr>
            <w:tcW w:w="1777" w:type="dxa"/>
            <w:shd w:val="clear" w:color="auto" w:fill="auto"/>
            <w:noWrap/>
            <w:vAlign w:val="center"/>
            <w:hideMark/>
          </w:tcPr>
          <w:p w14:paraId="5987820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7013560" w14:textId="77777777" w:rsidTr="0047793C">
        <w:trPr>
          <w:trHeight w:val="320"/>
        </w:trPr>
        <w:tc>
          <w:tcPr>
            <w:tcW w:w="0" w:type="auto"/>
            <w:shd w:val="clear" w:color="auto" w:fill="auto"/>
            <w:noWrap/>
            <w:vAlign w:val="center"/>
            <w:hideMark/>
          </w:tcPr>
          <w:p w14:paraId="6B6D8F9E"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{"citationID":"mvrqQslv","properties":{"formattedCitation":"(Flentje, Leon, Carrico, Zheng, &amp; Dilley, 2016)","plainCitation":"(Flentje, Leon, Carrico, Zheng, &amp; Dilley, 2016)","noteIndex":0},"citationItems":[{"id":842,"uris":["http://zotero.org/users/1641921/items/L3LSBDQV"],"uri":["http://zotero.org/users/1641921/items/L3LSBDQV"],"itemData":{"id":842,"type":"article-journal","title":"Mental and Physical Health among Homeless Sexual and Gender Minorities in a Major Urban US City","container-title":"Journal of Urban Health : Bulletin of the New York Academy of Medicine","page":"997-1009","volume":"93","issue":"6","source":"PubMed Central","abstract":"Sexual and gender minorities have been shown to have greater rates of mental health, substance use disorders, and specific types of health problems compared to heterosexuals. Among the homeless population in several US urban areas, sexual and gender minorities are overrepresented but few studies have examined the mental and physical health status of homeless sexual and gender minorities, with studies on homeless gender minorities being particularly hard to find. Using survey data obtained from the city and county of San Francisco (2015 Homeless Survey), this study examined differences in causes of homelessness, physical and mental health problems, and domestic violence among homeless sexual and gender minorities and their heterosexual and cisgender (i.e., non-transgender) counterparts, respectively. Lesbians and bisexual women, and gay and bisexual men did not differ from their cisgender heterosexual counterparts. Cisgender men who identified as queer or “other” in response to sexual orientation questions had higher rates of psychiatric problems and posttraumatic stress disorder, while cisgender women who identified as queer or “other” had higher rates of psychiatric problems and drug and alcohol use. Transgender men who were homeless were found to be particularly at risk for physical health problems, mental health problems, and domestic violence or abuse. Transgender women were more likely to report posttraumatic stress disorder. This study suggests that transgender men and cisgender sexual minority men and women who identify as queer or “other” are groups among the homeless that may benefit from increased outreach and services.","DOI":"10.1007/s11524-016-0084-3","ISSN":"1099-3460","note":"PMID: 27699581\nPMCID: PMC5126021","journalAbbreviation":"J Urban Health","author":[{"family":"Flentje","given":"Annesa"},{"family":"Leon","given":"Armando"},{"family":"Carrico","given":"Adam"},{"family":"Zheng","given":"Debbie"},{"family":"Dilley","given":"James"}],"issued":{"date-parts":[["2016",12]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(Flentje, Leon, Carrico, Zheng, &amp; Dilley,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652B947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San Francisco, CA, USA</w:t>
            </w:r>
          </w:p>
        </w:tc>
        <w:tc>
          <w:tcPr>
            <w:tcW w:w="1777" w:type="dxa"/>
            <w:shd w:val="clear" w:color="auto" w:fill="auto"/>
            <w:noWrap/>
            <w:vAlign w:val="center"/>
            <w:hideMark/>
          </w:tcPr>
          <w:p w14:paraId="53EB5AA4"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CD9812C" w14:textId="77777777" w:rsidTr="0047793C">
        <w:trPr>
          <w:trHeight w:val="320"/>
        </w:trPr>
        <w:tc>
          <w:tcPr>
            <w:tcW w:w="0" w:type="auto"/>
            <w:shd w:val="clear" w:color="auto" w:fill="auto"/>
            <w:noWrap/>
            <w:vAlign w:val="center"/>
            <w:hideMark/>
          </w:tcPr>
          <w:p w14:paraId="546957A6"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fldChar w:fldCharType="begin"/>
            </w:r>
            <w:r>
              <w:rPr>
                <w:rFonts w:ascii="Times New Roman" w:eastAsia="Times New Roman" w:hAnsi="Times New Roman" w:cs="Times New Roman"/>
                <w:color w:val="000000"/>
              </w:rPr>
              <w:instrText xml:space="preserve"> ADDIN ZOTERO_ITEM CSL_CITATION {"citationID":"1xyKp8JV","properties":{"formattedCitation":"(Gamarel et al., 2016)","plainCitation":"(Gamarel et al., 2016)","noteIndex":0},"citationItems":[{"id":837,"uris":["http://zotero.org/users/1641921/items/JKCMQTFE"],"uri":["http://zotero.org/users/1641921/items/JKCMQTFE"],"itemData":{"id":837,"type":"article-journal","title":"Prevalence and correlates of substance use among youth living with HIV in clinical settings","container-title":"Drug and alcohol dependence","page":"11-18","volume":"169","source":"PubMed Central","abstract":"Objectives\nThe purpose of this study was to better understand the prevalence and correlates of substance use behaviors among HIV-infected adolescents in HIV care settings.\n\nMethods\nA cross-sectional sample of 2216 youth living with HIV (YLWH; ages 12-26) was recruited through the Adolescent Trials Network for HIV Interventions. Participants completed a one-time survey on sociodemographic factors, substance use and health behaviors. We used logistic regression models to understand the correlates of substance use outcomes.\n\nResults\nOverall, weekly or more frequent tobacco use was reported by 32.9% of participants, 27.5% marijuana use, and 21.3% alcohol use; and 22.5% reported any other illicit drug use. In multivariable models, young MSM had higher odds of reporting each substance use behavior, and transgender women had increased odds of marijuana and other illicit drug use. Criminal justice involvement, unstable housing, condomless sex, and suboptimal antiretroviral therapy was associated with increased risk of substance use behaviors.\n\nConclusions\nStudy findings highlight the need for regular screening for substance use in HIV care settings in order to improve access to and delivery of culturally competent substance use prevention and treatment services.","DOI":"10.1016/j.drugalcdep.2016.10.002","ISSN":"0376-8716","note":"PMID: 27750182\nPMCID: PMC5140709","journalAbbreviation":"Drug Alcohol Depend","author":[{"family":"Gamarel","given":"Kristi E."},{"family":"Brown","given":"Larry"},{"family":"Kahler","given":"Christopher W."},{"family":"Fernandez","given":"M. Isabel"},{"family":"Bruce","given":"Douglas"},{"family":"Nichols","given":"Sharon"}],"issued":{"date-parts":[["2016",12,1]]}}}],"schema":"https://github.com/citation-style-language/schema/raw/master/csl-citation.json"}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(Gamarel et al.,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685468D9"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(20 cities across diverse urban areas including Boston, Baltimore, Chicago, Denver, Ft. Lauderdale, Houston, LA, Miami, Memphis, New Orleans, NYC, SF, Tampa, Washington DC, San Juan)</w:t>
            </w:r>
          </w:p>
        </w:tc>
        <w:tc>
          <w:tcPr>
            <w:tcW w:w="1777" w:type="dxa"/>
            <w:shd w:val="clear" w:color="auto" w:fill="auto"/>
            <w:noWrap/>
            <w:vAlign w:val="center"/>
            <w:hideMark/>
          </w:tcPr>
          <w:p w14:paraId="09473C1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BC7D17C" w14:textId="77777777" w:rsidTr="0047793C">
        <w:trPr>
          <w:trHeight w:val="320"/>
        </w:trPr>
        <w:tc>
          <w:tcPr>
            <w:tcW w:w="0" w:type="auto"/>
            <w:shd w:val="clear" w:color="auto" w:fill="auto"/>
            <w:noWrap/>
            <w:vAlign w:val="center"/>
            <w:hideMark/>
          </w:tcPr>
          <w:p w14:paraId="0F3D32A7"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{"citationID":"wHOLTMCj","properties":{"formattedCitation":"(G\\uc0\\u243{}mez-Gil et al., 2009)","plainCitation":"(Gómez-Gil et al., 2009)","noteIndex":0},"citationItems":[{"id":939,"uris":["http://zotero.org/users/1641921/items/DTEE3IQ2"],"uri":["http://zotero.org/users/1641921/items/DTEE3IQ2"],"itemData":{"id":939,"type":"article-journal","title":"Sociodemographic, Clinical, and Psychiatric Characteristics of Transsexuals from Spain","container-title":"Archives of Sexual Behavior","page":"378-392","volume":"38","issue":"3","source":"link.springer.com","abstract":"The aim of this study was to examine the characteristics of transsexuals from Spain. A total of 252 consecutive applicants for sex reassignment were evaluated using a standardized semistructured clinical interview and the Mini International Neuropsychiatric Interview (Spanish Version 5.0.0) to record demographic, clinical, and psychiatric data. Transsexualism was diagnosed in 230 patients, with a male to female (MF)/female to male (FM) ratio of 2.2:1. Transsexual patients frequently had low employment status, lived with their parents, and mainly had a sexual orientation toward same-sex partners. The most frequent psychiatric diagnoses were adjustment disorder and social phobia in both groups, and alcohol and substance-related disorders in the MF group. MF transsexuals were older than FM transexuals when requesting sex reassignment, but did not differ in age when starting hormonal therapy (often on their own); fewer MFs were in employment requiring high educational qualification, more were non-Spanish natives, and more had previous and current histories of alcohol and substance abuse or dependence. The basic characteristics of transsexuals from Spain were similar to those of other European countries, except for the higher proportion of patients living with their parents and the higher proportion of MFs who reported same-sex sexual orientation compared with previous studies.","DOI":"10.1007/s10508-007-9307-8","ISSN":"0004-0002, 1573-2800","journalAbbreviation":"Arch Sex Behav","language":"en","author":[{"family":"Gómez-Gil","given":"Esther"},{"family":"Trilla","given":"Antoni"},{"family":"Salamero","given":"Manel"},{"family":"Godás","given":"Teresa"},{"family":"Valdés","given":"Manuel"}],"issued":{"date-parts":[["2009",6,1]]}}}],"schema":"https://github.com/citation-style-language/schema/raw/master/csl-citation.json"} </w:instrText>
            </w:r>
            <w:r>
              <w:rPr>
                <w:rFonts w:ascii="Times New Roman" w:eastAsia="Times New Roman" w:hAnsi="Times New Roman" w:cs="Times New Roman"/>
                <w:color w:val="000000"/>
              </w:rPr>
              <w:fldChar w:fldCharType="separate"/>
            </w:r>
            <w:r w:rsidRPr="00217F52">
              <w:rPr>
                <w:rFonts w:ascii="Times New Roman" w:eastAsia="Times New Roman" w:hAnsi="Times New Roman" w:cs="Times New Roman"/>
                <w:color w:val="000000"/>
              </w:rPr>
              <w:t>(Gómez-Gil et al., 2009)</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9CCF6F4"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Catalonia, Spain (Barcelona)</w:t>
            </w:r>
          </w:p>
        </w:tc>
        <w:tc>
          <w:tcPr>
            <w:tcW w:w="1777" w:type="dxa"/>
            <w:shd w:val="clear" w:color="auto" w:fill="auto"/>
            <w:noWrap/>
            <w:vAlign w:val="center"/>
            <w:hideMark/>
          </w:tcPr>
          <w:p w14:paraId="072AB0A8"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AC4C6A0" w14:textId="77777777" w:rsidTr="0047793C">
        <w:trPr>
          <w:trHeight w:val="320"/>
        </w:trPr>
        <w:tc>
          <w:tcPr>
            <w:tcW w:w="0" w:type="auto"/>
            <w:shd w:val="clear" w:color="auto" w:fill="auto"/>
            <w:noWrap/>
            <w:vAlign w:val="center"/>
            <w:hideMark/>
          </w:tcPr>
          <w:p w14:paraId="0BBC3B38"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{"citationID":"QQUVRxS8","properties":{"formattedCitation":"(Gonzalez et al., 2017)","plainCitation":"(Gonzalez et al., 2017)","noteIndex":0},"citationItems":[{"id":779,"uris":["http://zotero.org/users/1641921/items/BSEY22PG"],"uri":["http://zotero.org/users/1641921/items/BSEY22PG"],"itemData":{"id":779,"type":"article-journal","title":"Demographic Characteristics, Components of Sexuality and Gender, and Minority Stress and Their Associations to Excessive Alcohol, Cannabis, and Illicit (Noncannabis) Drug Use Among a Large Sample of Transgender People in the United States","container-title":"The Journal of Primary Prevention","page":"419-445","volume":"38","issue":"4","source":"link.springer.com","abstract":"The current study examined demographics, sexual orientation, gender characteristics, and gender minority stress and their association to excessive alcohol, cannabis, and illicit (noncannabis) drug use among 1210 transgender adults living in the United States. The authors conducted a secondary analysis of data that included 680 transgender women (M age = 32.63, SD age = 12.29) and 530 transgender men (M age = 26.14, SD age = 7.42). A modified version of the Risk Behavioral Assessment quantified participants’ alcohol, cannabis, and illicit drug use in the past 3 months. Overall, 21.5% of participants reported excessive alcohol use; no significant differences were found on the rates of excessive alcohol use between transgender women and men. Cannabis use among our sample was 24.4%; trangender men reported significantly higher rates of cannabis use compared to transgender women. Illicit drug (noncannabis) use among our sample was 11.6%; transgender men also reported significantly higher rates of illicit drug use compared to transgender women. Multivariate analyses suggested that gender dysphoria was significantly associated with: excessive alcohol use for transgender women, cannabis use among both transgender women and men, and illicit (noncannabis) drug use among transgender women. A nonheterosexual orientation was associated with increased odds of cannabis use among transgender women and men; a nonheterosexual orientation was associated with greater odds of illicit substance use among transgender men but not among transgender women. Gender minority stressors were independently associated with excessive alcohol use among transgender men and cannabis use among transgender women. The authors suggest that minority stress may only partially account for substance use among transgender people. Consequently, the authors suggest that in addition to minority stress, other biopsychosocial mechanisms should continue to be examined to identify pathways that may lead to the development of effective substance use prevention efforts and treatment programs.","DOI":"10.1007/s10935-017-0469-4","ISSN":"0278-095X, 1573-6547","journalAbbreviation":"J Primary Prevent","language":"en","author":[{"family":"Gonzalez","given":"Cesar A."},{"family":"Gallego","given":"Joseph D."},{"family":"Bockting","given":"Walter O."}],"issued":{"date-parts":[["2017",8,1]]}}}],"schema":"https://github.com/citation-style-language/schema/raw/master/csl-citation.json"}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(Gonzalez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F389D8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49FFF0C6"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4D2AB72" w14:textId="77777777" w:rsidTr="0047793C">
        <w:trPr>
          <w:trHeight w:val="320"/>
        </w:trPr>
        <w:tc>
          <w:tcPr>
            <w:tcW w:w="0" w:type="auto"/>
            <w:shd w:val="clear" w:color="auto" w:fill="auto"/>
            <w:noWrap/>
            <w:vAlign w:val="center"/>
            <w:hideMark/>
          </w:tcPr>
          <w:p w14:paraId="6A04DB23"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{"citationID":"NSa1MBXs","properties":{"formattedCitation":"(Guzman-Parra et al., 2014)","plainCitation":"(Guzman-Parra et al., 2014)","noteIndex":0},"citationItems":[{"id":1019,"uris":["http://zotero.org/users/1641921/items/XXW9KAB5"],"uri":["http://zotero.org/users/1641921/items/XXW9KAB5"],"itemData":{"id":1019,"type":"article-journal","title":"Substance Use and Social Anxiety in Transsexual Individuals","container-title":"Journal of Dual Diagnosis","page":"162-167","volume":"10","issue":"3","source":"Taylor and Francis+NEJM","abstract":"Objective: This study examined social anxiety and use of cannabis and cocaine among transsexuals.Methods: A total of 379 transsexuals seeking treatment or consultation participated in this study, providing data on sociodemographics, substance use, and anxiety. Analyses were based on (a) lifetime but not current use versus never used and (b) current use only versus no current use (lifetime only or never used).Results: Lifetime only cannabis users (n = 72, 19%) and lifetime only cocaine users (n = 36, 9.8%) were older, had more victimization, and received more mental health treatment that those who never used. Current cannabis users (n = 47, 12.4%) had higher scores on fear of negative evaluation and social avoidance than those not currently using (p &lt;.01). Multivariate analysis showed that social avoidance and fear of negative evaluation were associated with current cannabis use (p &lt;.05), but not cocaine. Further, being single was associated with current cannabis use, after controlling for social avoidance and fear of negative evaluation (p &lt;.05).Conclusions: Transsexuals’ levels of anxiety and cannabis/cocaine use are comparable to those in the general population. Cannabis may be used to control anxiety and can have detrimental clinical implications for transsexuals.","DOI":"10.1080/15504263.2014.930658","ISSN":"1550-4263","note":"PMID: 25392291","author":[{"family":"Guzman-Parra","given":"Jose"},{"family":"Paulino-Matos","given":"Pedro"},{"family":"Diego-Otero","given":"Yolanda","dropping-particle":"de"},{"family":"Perez-Costillas","given":"Lucia"},{"family":"Villena-Jimena","given":"Amelia"},{"family":"Garcia-Encinas","given":"Maria A."},{"family":"Bergero-Miguel","given":"Trinidad"}],"issued":{"date-parts":[["2014",7,3]]}}}],"schema":"https://github.com/citation-style-language/schema/raw/master/csl-citation.json"}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(Guzman-Parra et al.,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5757C70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Malaga, Spain</w:t>
            </w:r>
          </w:p>
        </w:tc>
        <w:tc>
          <w:tcPr>
            <w:tcW w:w="1777" w:type="dxa"/>
            <w:shd w:val="clear" w:color="auto" w:fill="auto"/>
            <w:noWrap/>
            <w:vAlign w:val="center"/>
            <w:hideMark/>
          </w:tcPr>
          <w:p w14:paraId="5D7B0DF0"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E5705FD" w14:textId="77777777" w:rsidTr="0047793C">
        <w:trPr>
          <w:trHeight w:val="320"/>
        </w:trPr>
        <w:tc>
          <w:tcPr>
            <w:tcW w:w="0" w:type="auto"/>
            <w:shd w:val="clear" w:color="auto" w:fill="auto"/>
            <w:noWrap/>
            <w:vAlign w:val="center"/>
            <w:hideMark/>
          </w:tcPr>
          <w:p w14:paraId="31080689"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{"citationID":"aYTCgrJZ","properties":{"formattedCitation":"(Heylens et al., 2014)","plainCitation":"(Heylens et al., 2014)","noteIndex":0},"citationItems":[{"id":1132,"uris":["http://zotero.org/users/1641921/items/JBMMYBE2"],"uri":["http://zotero.org/users/1641921/items/JBMMYBE2"],"itemData":{"id":1132,"type":"article-journal","title":"Psychiatric characteristics in transsexual individuals: multicentre study in four European countries","container-title":"The British Journal of Psychiatry","page":"151-156","volume":"204","issue":"2","source":"Cambridge Core","abstract":"Background\nResearch into the relationship between gender identity disorder and\npsychiatric problems has shown contradictory results.\n\n\nAims\nTo investigate psychiatric problems in adults fulfilling DSM-IVTR\ncriteria for a diagnosis of gender identity disorder.\n\n\nMethod\nData were collected within the European Network for the Investigation of\nGender Incongruence using the Mini International Neuropsychiatric\nInterview – Plus and the Structured Clinical Interview for DSM-IV Axis II\nDisorders (n = 305).\n\n\nResults\nIn 38% of the individuals with gender identity disorder a current\nDSM-IV-TR Axis I diagnosis was found, mainly affective disorders and\nanxiety disorders. Furthermore, almost 70% had a current and lifetime\ndiagnosis. All four countries showed a similar prevalence, except for\naffective and anxiety disorders, and no difference was found between\nindividuals with early-onset and late-onset disorder. An Axis II\ndiagnosis was found in 15% of all individuals with gender identity\ndisorder, which is comparable to the general population.\n\n\nConclusions\nPeople with gender identity disorder show more psychiatric problems than\nthe general population; mostly affective and anxiety problems are\nfound.","DOI":"10.1192/bjp.bp.112.121954","ISSN":"0007-1250, 1472-1465","shortTitle":"Psychiatric characteristics in transsexual individuals","language":"en","author":[{"family":"Heylens","given":"Gunter"},{"family":"Elaut","given":"Els"},{"family":"Kreukels","given":"Baudewijntje P. C."},{"family":"Paap","given":"Muirne C. S."},{"family":"Cerwenka","given":"Susanne"},{"family":"Richter-Appelt","given":"Hertha"},{"family":"Cohen-Kettenis","given":"Peggy T."},{"family":"Haraldsen","given":"Ira R."},{"family":"Cuypere","given":"Griet De"}],"issued":{"date-parts":[["2014",2]]}}}],"schema":"https://github.com/citation-style-language/schema/raw/master/csl-citation.json"}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(Heylens et al.,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BEF929C"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Amsterdam, Netherlands; Ghe</w:t>
            </w:r>
            <w:r>
              <w:rPr>
                <w:rFonts w:ascii="Times New Roman" w:eastAsia="Times New Roman" w:hAnsi="Times New Roman" w:cs="Times New Roman"/>
                <w:color w:val="000000"/>
              </w:rPr>
              <w:t xml:space="preserve">nt, Belgium; Hamburg, Germany; </w:t>
            </w:r>
            <w:r w:rsidRPr="00BB15F4">
              <w:rPr>
                <w:rFonts w:ascii="Times New Roman" w:eastAsia="Times New Roman" w:hAnsi="Times New Roman" w:cs="Times New Roman"/>
                <w:color w:val="000000"/>
              </w:rPr>
              <w:t>Oslo, Norway</w:t>
            </w:r>
          </w:p>
        </w:tc>
        <w:tc>
          <w:tcPr>
            <w:tcW w:w="1777" w:type="dxa"/>
            <w:shd w:val="clear" w:color="auto" w:fill="auto"/>
            <w:noWrap/>
            <w:vAlign w:val="center"/>
            <w:hideMark/>
          </w:tcPr>
          <w:p w14:paraId="50D8202C"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230D4A9" w14:textId="77777777" w:rsidTr="0047793C">
        <w:trPr>
          <w:trHeight w:val="320"/>
        </w:trPr>
        <w:tc>
          <w:tcPr>
            <w:tcW w:w="0" w:type="auto"/>
            <w:shd w:val="clear" w:color="auto" w:fill="auto"/>
            <w:noWrap/>
            <w:vAlign w:val="center"/>
            <w:hideMark/>
          </w:tcPr>
          <w:p w14:paraId="3B8D71C2"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{"citationID":"mJsE7NYq","properties":{"formattedCitation":"(HORVATH, IANTAFFI, SWINBURNE-ROMINE, &amp; BOCKTING, 2014)","plainCitation":"(HORVATH, IANTAFFI, SWINBURNE-ROMINE, &amp; BOCKTING, 2014)","noteIndex":0},"citationItems":[{"id":1022,"uris":["http://zotero.org/users/1641921/items/95J89SSJ"],"uri":["http://zotero.org/users/1641921/items/95J89SSJ"],"itemData":{"id":1022,"type":"article-journal","title":"A Comparison of Mental Health, Substance Use, and Sexual Risk Behaviors Between Rural and Non-Rural Transgender Persons","container-title":"Journal of homosexuality","page":"1117-1130","volume":"61","issue":"8","source":"PubMed Central","abstract":"The aim of this study was to compare the mental health, substance use, and sexual risk behaviors of rural and non-rural transgender persons. Online banner advertisements were used to recruit 1,229 self-identified rural and non-rural transgender adults (18+ years) residing in the United States. Primary findings include significant differences in mental health between rural and non-rural transmen; relatively low levels of binge drinking across groups, although high levels of marijuana use; and high levels of unprotected sex among transwomen. The results confirm that mental and physical health services for transgender persons residing in rural areas are urgently needed.","DOI":"10.1080/00918369.2014.872502","ISSN":"0091-8369","note":"PMID: 24380580\nPMCID: PMC4301267","journalAbbreviation":"J Homosex","author":[{"family":"HORVATH","given":"KEITH J."},{"family":"IANTAFFI","given":"ALEX"},{"family":"SWINBURNE-ROMINE","given":"REBECCA"},{"family":"BOCKTING","given":"WALTER"}],"issued":{"date-parts":[["2014"]]}}}],"schema":"https://github.com/citation-style-language/schema/raw/master/csl-citation.json"}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(Horvath, Iantaffi, Swinburne-Romine, &amp; Bockting,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C51F7D1"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2F9CECAF"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FDC2E12" w14:textId="77777777" w:rsidTr="0047793C">
        <w:trPr>
          <w:trHeight w:val="320"/>
        </w:trPr>
        <w:tc>
          <w:tcPr>
            <w:tcW w:w="0" w:type="auto"/>
            <w:shd w:val="clear" w:color="auto" w:fill="auto"/>
            <w:noWrap/>
            <w:vAlign w:val="center"/>
            <w:hideMark/>
          </w:tcPr>
          <w:p w14:paraId="165B1E21"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{"citationID":"wYDpXyB1","properties":{"formattedCitation":"(Kelly et al., n.d.)","plainCitation":"(Kelly et al., n.d.)","noteIndex":0},"citationItems":[{"id":911,"uris":["http://zotero.org/users/1641921/items/5H98D9VR"],"uri":["http://zotero.org/users/1641921/items/5H98D9VR"],"itemData":{"id":911,"type":"article-journal","title":"Substance use by same sex attracted young people: Prevalence, perceptions and homophobia","container-title":"Drug and Alcohol Review","page":"358-365","volume":"34","issue":"4","source":"Wiley Online Library","abstract":"Introduction and Aims Research highlights that lesbian, gay, bisexual and transgender (LGBT) people use alcohol and drugs (AOD) more than heterosexual people; however, the incidence of AOD use by LGBT youth is less understood. The purpose of the current study was to ascertain AOD prevalence rates for LGBT youth compared with the Australian youth population; perceptions of AOD use within the LGBT community; and the impact of homophobia on AOD use. Design and Methods The study surveyed a cross-sectional sample of LGBT youth (13–24 years) (n = 161) who attended a LGBT festival in Brisbane, Australia, in 2012. The Alcohol Use Disorders Identification Test-Consumption, Fagerström Test for Nicotine Dependence and Drug Check Assessment Tool were utilised to examine patterns of AOD use, with items developed to explore perceptions of AOD use and homophobia. Results AOD use was common among the LGBT sample, with higher prevalence rates compared with the general Australian youth population (2010 National Drug Strategy Household Survey). AOD use by under 18-year-olds, and gender diverse youth was markedly higher. The majority misperceived AOD use to be the same in the LGBT and heterosexual communities. Those who believed homophobia impacted on AOD use were significantly more likely to use AOD. Discussion and Conclusions The higher prevalence of AOD use strongly suggests the need for AOD agencies to better respond to LGBT youth by not only screening sexuality and gender identity but also exploring young people's perceptions of AOD use in the LGBT community and their experiences of homophobia in order to provide effective AOD clinical treatment. [Kelly J, Davis C, Schlesinger C. Substance use by same sex attracted young people: Prevalence, perceptions and homophobia. Drug Alcohol Rev 2015;34:358–365]","DOI":"10.1111/dar.12158","ISSN":"1465-3362","shortTitle":"Substance use by same sex attracted young people","language":"en","author":[{"family":"Kelly","given":"John"},{"family":"Davis","given":"Cassandra"},{"family":"Schlesinger","given":"Carla"}]}}],"schema":"https://github.com/citation-style-language/schema/raw/master/csl-citation.json"}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(Kelly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09F9D72"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Brisbane, Australia</w:t>
            </w:r>
          </w:p>
        </w:tc>
        <w:tc>
          <w:tcPr>
            <w:tcW w:w="1777" w:type="dxa"/>
            <w:shd w:val="clear" w:color="auto" w:fill="auto"/>
            <w:noWrap/>
            <w:vAlign w:val="center"/>
            <w:hideMark/>
          </w:tcPr>
          <w:p w14:paraId="466806DD"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8FF7BF0" w14:textId="77777777" w:rsidTr="0047793C">
        <w:trPr>
          <w:trHeight w:val="320"/>
        </w:trPr>
        <w:tc>
          <w:tcPr>
            <w:tcW w:w="0" w:type="auto"/>
            <w:shd w:val="clear" w:color="auto" w:fill="auto"/>
            <w:noWrap/>
            <w:vAlign w:val="center"/>
            <w:hideMark/>
          </w:tcPr>
          <w:p w14:paraId="5CE01D96"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{"citationID":"j9PZf0oA","properties":{"formattedCitation":"(Keuroghlian et al., 2015)","plainCitation":"(Keuroghlian et al., 2015)","noteIndex":0},"citationItems":[{"id":701,"uris":["http://zotero.org/users/1641921/items/B8BFDMTE"],"uri":["http://zotero.org/users/1641921/items/B8BFDMTE"],"itemData":{"id":701,"type":"article-journal","title":"Substance Use and Treatment of Substance Use Disorders in a Community Sample of Transgender Adults","container-title":"Drug and alcohol dependence","page":"139-146","volume":"152","source":"PubMed Central","abstract":"Background\nTransgender people have elevated substance use prevalence compared with the U.S. general population, however no studies have comprehensively examined the relationship of psychosocial risk factors to substance use and substance use disorder (SUD) treatment among both male-to-female (MTF) and female-to-male (FTM) transgender adults.\n\nMethods\nSecondary data analysis of a 2013 community-based survey of transgender adults in Massachusetts (N=452) was conducted. Adjusted multivariable logistic regression models were fit to examine the relationship of four risk factor domains with SUD treatment history and recent substance use: (1) demographics; (2) gender-related characteristics; (3) mental health; (4) socio-structural factors. Adjusted Odds Ratios (aOR) and 95% Confidence Intervals (95% CI) were estimated.\n\nResults\nTen percent of the sample reported lifetime SUD treatment. Factors associated with significant increase in odds of lifetime SUD treatment alongside recent substance use (all p&lt;0.05) were: (1) older age (aOR=1.02; 95% CI=1.01–1.04), higher educational attainment (aOR=3.59; 95% CI=2.35–5.50), low income (aOR=0.58; 95% CI=0.39–0.86); (2) MTF identity (aOR=3.03; 95% CI=1.95–4.67), gender-affirming medical care (aOR=1.99; 95% CI=1.32–3.00); (3) intimate partner violence (aOR=1.68; 95% CI=1.13–2.49), posttraumatic stress disorder (aOR = 2.56; 95% CI=1.69–3.88), depression (aOR=2.30; 95% CI=1.58–3.35), mental health treatment (aOR=1.65; 95% CI=1.11–2.45); (4) discrimination (aOR=1.90; 95% CI=1.22–2.95), unstable housing (aOR=1.80; 95% CI=1.21–2.67), and sex work (aOR=2.48; 95% CI=1.24–4.95).\n\nConclusions\nSubstance use and SUD treatment among transgender adults are associated with demographic, gender-related, mental health, and socio-structural risk factors. Studies are warranted that identify SUD treatment barriers, and integrate SUD treatment with psychosocial and structural interventions for a diverse spectrum of transgender adults.","DOI":"10.1016/j.drugalcdep.2015.04.008","ISSN":"0376-8716","note":"PMID: 25953644\nPMCID: PMC4458188","journalAbbreviation":"Drug Alcohol Depend","author":[{"family":"Keuroghlian","given":"Alex S."},{"family":"Reisner","given":"Sari L."},{"family":"White","given":"Jaclyn M."},{"family":"Weiss","given":"Roger D."}],"issued":{"date-parts":[["2015",7,1]]}}}],"schema":"https://github.com/citation-style-language/schema/raw/master/csl-citation.json"}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(Keuroghlian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CDBF469"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Massachusetts, USA</w:t>
            </w:r>
          </w:p>
        </w:tc>
        <w:tc>
          <w:tcPr>
            <w:tcW w:w="1777" w:type="dxa"/>
            <w:shd w:val="clear" w:color="auto" w:fill="auto"/>
            <w:noWrap/>
            <w:vAlign w:val="center"/>
            <w:hideMark/>
          </w:tcPr>
          <w:p w14:paraId="3D3C2FB8"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6F40E544" w14:textId="77777777" w:rsidTr="0047793C">
        <w:trPr>
          <w:trHeight w:val="320"/>
        </w:trPr>
        <w:tc>
          <w:tcPr>
            <w:tcW w:w="0" w:type="auto"/>
            <w:shd w:val="clear" w:color="auto" w:fill="auto"/>
            <w:noWrap/>
            <w:vAlign w:val="center"/>
            <w:hideMark/>
          </w:tcPr>
          <w:p w14:paraId="0C4274B7"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{"citationID":"eKiG3VhF","properties":{"formattedCitation":"(Klein &amp; Golub, 2016)","plainCitation":"(Klein &amp; Golub, 2016)","noteIndex":0},"citationItems":[{"id":865,"uris":["http://zotero.org/users/1641921/items/QWEK78DU"],"uri":["http://zotero.org/users/1641921/items/QWEK78DU"],"itemData":{"id":865,"type":"article-journal","title":"Family Rejection as a Predictor of Suicide Attempts and Substance Misuse Among Transgender and Gender Nonconforming Adults","container-title":"LGBT Health","page":"193-199","volume":"3","issue":"3","source":"liebertpub.com (Atypon)","abstract":"Purpose: We examined associations between family rejection and risk of suicide attempts and substance misuse among a national sample of transgender and gender nonconforming adults.Methods: Data were drawn from the National Transgender Discrimination Survey (N = 6456). This secondary analysis was restricted to 3458 individuals who self-identified as transgender or gender nonconforming and provided complete data on study variables. We used multivariable logistic regression to examine health risks by level of reported family rejection (low/moderate/high), controlling for relevant sociodemographic characteristics.Results: Overall, 42.3% of the sample reported a suicide attempt and 26.3% reported misusing drugs or alcohol to cope with transgender-related discrimination. After controlling for age, race/ethnicity, sex assigned at birth, binary gender identity, income, education, and employment status, family rejection was associated with increased odds of both behaviors. Odds increased significantly with increasing levels of family rejection.Conclusions: Family rejection related to gender identity is an understudied interpersonal stressor that may negatively affect health outcomes for transgender and gender nonconforming individuals. A better understanding of the role of close relationships in both risk and resilience for transgender individuals is critical in the development of effective public health interventions for this community.","DOI":"10.1089/lgbt.2015.0111","ISSN":"2325-8292","journalAbbreviation":"LGBT Health","author":[{"family":"Klein","given":"Augustus"},{"family":"Golub","given":"Sarit A."}],"issued":{"date-parts":[["2016",4,5]]}}}],"schema":"https://github.com/citation-style-language/schema/raw/master/csl-citation.json"}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(Klein &amp; Golub,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6C8451B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 + Puerto Rico, Guam, and US Virgin Islands)</w:t>
            </w:r>
          </w:p>
        </w:tc>
        <w:tc>
          <w:tcPr>
            <w:tcW w:w="1777" w:type="dxa"/>
            <w:shd w:val="clear" w:color="auto" w:fill="auto"/>
            <w:noWrap/>
            <w:vAlign w:val="center"/>
            <w:hideMark/>
          </w:tcPr>
          <w:p w14:paraId="2B40C7E2"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6F65A1D" w14:textId="77777777" w:rsidTr="0047793C">
        <w:trPr>
          <w:trHeight w:val="320"/>
        </w:trPr>
        <w:tc>
          <w:tcPr>
            <w:tcW w:w="0" w:type="auto"/>
            <w:shd w:val="clear" w:color="auto" w:fill="auto"/>
            <w:noWrap/>
            <w:vAlign w:val="center"/>
            <w:hideMark/>
          </w:tcPr>
          <w:p w14:paraId="27A85C70"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{"citationID":"YGebf4nY","properties":{"formattedCitation":"(Livingston et al., 2015)","plainCitation":"(Livingston et al., 2015)","noteIndex":0},"citationItems":[{"id":964,"uris":["http://zotero.org/users/1641921/items/5ZQJ7BR8"],"uri":["http://zotero.org/users/1641921/items/5ZQJ7BR8"],"itemData":{"id":964,"type":"article-journal","title":"The Role of Personality in Predicting Drug and Alcohol Use Among Sexual Minorities","container-title":"Psychology of addictive behaviors : journal of the Society of Psychologists in Addictive Behaviors","page":"414-419","volume":"29","issue":"2","source":"PubMed Central","abstract":"Objectives\nResearch consistently demonstrates that sexual minority status is associated with increased risk of problematic substance use. Existing literature in this area has focused on group-specific minority stress factors (e.g., victimization and internalized heterosexism). However, no known research has tested the incremental validity of personality traits as predictors of substance use beyond identified group-specific risk factors.\n\nMethods\nA sample of 704 sexual minority adults were recruited nationally from LGBTQQ community organizations and social networking websites and asked to complete an online survey containing measures of personality, sexual minority stress, and substance use.\n\nResults\nHierarchical regression models were constructed to test the incremental predictive validity of Five-Factor personality traits over and above known sexual minority risk factors. Consistent with hypotheses, extraversion and conscientiousness were associated with drug and alcohol use after accounting for minority stress factors, and all factors except agreeableness were associated with substance use at the bivariate level of analysis.\n\nConclusion\nFuture research should seek to better understand the role of normal personality structures and processes conferring risk for substance use among sexual minorities.","DOI":"10.1037/adb0000034","ISSN":"0893-164X","note":"PMID: 25347022\nPMCID: PMC4411203","journalAbbreviation":"Psychol Addict Behav","author":[{"family":"Livingston","given":"Nicholas A."},{"family":"Oost","given":"Kathryn M."},{"family":"Heck","given":"Nicholas C."},{"family":"Cochran","given":"Bryan N."}],"issued":{"date-parts":[["2015",6]]}}}],"schema":"https://github.com/citation-style-language/schema/raw/master/csl-citation.json"}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(Livingston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0EEFC8C"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6B5B41C0"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ADC8DCA" w14:textId="77777777" w:rsidTr="0047793C">
        <w:trPr>
          <w:trHeight w:val="320"/>
        </w:trPr>
        <w:tc>
          <w:tcPr>
            <w:tcW w:w="0" w:type="auto"/>
            <w:shd w:val="clear" w:color="auto" w:fill="auto"/>
            <w:noWrap/>
            <w:vAlign w:val="center"/>
            <w:hideMark/>
          </w:tcPr>
          <w:p w14:paraId="53EBD730"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{"citationID":"4YtV2pkL","properties":{"formattedCitation":"(Messman &amp; Leslie, 2018)","plainCitation":"(Messman &amp; Leslie, 2018)","noteIndex":0},"citationItems":[{"id":639,"uris":["http://zotero.org/users/1641921/items/JJE9Q2MA"],"uri":["http://zotero.org/users/1641921/items/JJE9Q2MA"],"itemData":{"id":639,"type":"article-journal","title":"Transgender College Students: Academic Resilience and Striving to Cope in the Face of Marginalized Health","container-title":"Journal of American College Health","page":"00-00","volume":"0","issue":"ja","source":"Taylor and Francis+NEJM","abstract":"Objective: To examine health behavior and outcome disparities between transgender, female, and male participants in a national sample of US college students. Participants and Method Summary: Analyses utilized secondary data from 32,964 undergraduate and graduate students responding to the Fall 2013 American College Health Association–National College Health Assessment; 65.8% were female, 0.4% were transgender, 67.9% were white, and 90.4% were heterosexual. Results: Transgender students reported more mental health diagnoses, trauma, and suicidality; experienced more violence and less safety, reported more sex partners and sexually transmitted infections (STIs); higher rates of illicit and non-prescription substance use and binge drinking use while engaging in less harm reduction behavior; and reported more barriers to academic success. Conclusions: There is an established need for college clinicians and health educators to reduce these disparate outcomes once students arrive on campus through professional training and culturally competent campus prevention and intervention efforts to promote health equity.","DOI":"10.1080/07448481.2018.1465060","ISSN":"0744-8481","note":"PMID: 29672234","shortTitle":"Transgender College Students","author":[{"family":"Messman","given":"Jenna B."},{"family":"Leslie","given":"Leigh A."}],"issued":{"date-parts":[["2018",4,19]]}}}],"schema":"https://github.com/citation-style-language/schema/raw/master/csl-citation.json"}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(Messman &amp; Leslie,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9AB1F50"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54DCEF7E"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CFCA6D0" w14:textId="77777777" w:rsidTr="0047793C">
        <w:trPr>
          <w:trHeight w:val="320"/>
        </w:trPr>
        <w:tc>
          <w:tcPr>
            <w:tcW w:w="0" w:type="auto"/>
            <w:shd w:val="clear" w:color="auto" w:fill="auto"/>
            <w:noWrap/>
            <w:vAlign w:val="center"/>
            <w:hideMark/>
          </w:tcPr>
          <w:p w14:paraId="3A385021"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{"citationID":"iu7OkPEq","properties":{"formattedCitation":"(Montgomery, Szymkowiak, &amp; Culhane, 2017)","plainCitation":"(Montgomery, Szymkowiak, &amp; Culhane, 2017)","noteIndex":0},"citationItems":[{"id":831,"uris":["http://zotero.org/users/1641921/items/V4BFNTXJ"],"uri":["http://zotero.org/users/1641921/items/V4BFNTXJ"],"itemData":{"id":831,"type":"article-journal","title":"Gender Differences in Factors Associated with Unsheltered Status and Increased Risk of Premature Mortality among Individuals Experiencing Homelessness","container-title":"Women's Health Issues","page":"256-263","volume":"27","issue":"3","source":"ScienceDirect","abstract":"Background\nAmong individuals experiencing homelessness, unsheltered status is associated with poor health and access to care and an increased risk for premature death. Insufficient research has explored gender differences in these outcomes; the objective of this study was to address this gap in the research.\nMethods\nThis study used survey data collected during the 100,000 Homes Campaign. Chi-square tests identified differences in the characteristics of women, men, and transgender individuals. Generalized linear mixed models fit with demographic, homelessness, mental/behavioral health, institutional, and income characteristics were run separately for women and men to assess correlates of unsheltered status and increased risk of premature mortality.\nResults\nMen reported more frequently experiencing unsheltered homelessness while women and transgender participants more frequently met the criteria for risk of premature mortality. Women reported less frequently than men a history of or current substance use, but it significantly increased their likelihood of unsheltered homelessness; reports of mental health issues were rarer among men but significantly increased their odds of unsheltered homelessness. The experience of a violent attack while homeless was most strongly related to increased risk of premature mortality for both women and men.\nConclusions\nInterventions to reduce unsheltered homelessness among men should be particularly sensitive to mental health issues while for women there may need to be increased attention to substance use. A focus on experience of trauma and the provision of trauma-informed care is essential to address the increased risk of premature mortality among both men and women experiencing homelessness.","DOI":"10.1016/j.whi.2017.03.014","ISSN":"1049-3867","journalAbbreviation":"Women's Health Issues","author":[{"family":"Montgomery","given":"Ann Elizabeth"},{"family":"Szymkowiak","given":"Dorota"},{"family":"Culhane","given":"Dennis"}],"issued":{"date-parts":[["2017",5,1]]}}}],"schema":"https://github.com/citation-style-language/schema/raw/master/csl-citation.json"}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(Montgomery, Szymkowiak, &amp; Culhane,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D66E259"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0F063A70"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04F27748" w14:textId="77777777" w:rsidTr="0047793C">
        <w:trPr>
          <w:trHeight w:val="320"/>
        </w:trPr>
        <w:tc>
          <w:tcPr>
            <w:tcW w:w="0" w:type="auto"/>
            <w:shd w:val="clear" w:color="auto" w:fill="auto"/>
            <w:noWrap/>
            <w:vAlign w:val="center"/>
            <w:hideMark/>
          </w:tcPr>
          <w:p w14:paraId="03986863"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{"citationID":"yqOSaqea","properties":{"formattedCitation":"(Pedro &amp; Shim-Pelayo, 2018)","plainCitation":"(Pedro &amp; Shim-Pelayo, 2018)","noteIndex":0},"citationItems":[{"id":611,"uris":["http://zotero.org/users/1641921/items/Y5ZBGG83"],"uri":["http://zotero.org/users/1641921/items/Y5ZBGG83"],"itemData":{"id":611,"type":"article-journal","title":"Prevalence of Substance Use among Lesbian, Gay, Bisexual, and Transgender Youth in Military Families: Findings from the California Healthy Kids Survey","container-title":"Substance Use &amp; Misuse","page":"1372-1376","volume":"53","issue":"8","source":"Taylor and Francis+NEJM","abstract":"Background: In addition to the challenges associated with military life, lesbian, gay, bisexual, and transgender (LGBT) youth in military families may face stressors associated with having a stigmatized sexual orientation and/or gender identity or expression, placing them at risk of substance use. To the authors' knowledge, this is the first study exploring substance use outcomes among LGBT youth in military families. Objectives: This study assessed the role of military connection, LGB identity, and transgender identity on lifetime and past 30-day substance use. Methods: This study is a secondary data analysis of the 2013–2015 California Healthy Kids Survey (CHKS). The study's participants (n = 634,978) were students attending middle and high schools in nearly all school districts in California. The study outcomes were lifetime and past 30-day cigarette, alcohol, tobacco, and marijuana use. Chi-square tests of associations (including cross-tabulations) and multivariate logistic regressions were conducted to address the study aims. Results: Multivariate logistic regression results indicated that military connection, LGB identity, and transgender identity were significantly associated with an increased odd of lifetime and past 30-day substance use. Compared to military non-transgender youth, military transgender youth had an increased likelihood of past 30-day cigarette use and past 30-day alcohol use. In addition, military LGB youth were 3.62 times as likely as military non-LGB youth to report past 30-day cigarette use. Conclusions/Importance: This study provides researchers with knowledge about the behavioral health of LGBT youth in military families, a vulnerable subgroup within the military-connected youth population, thus informing substance use prevention programs.","DOI":"10.1080/10826084.2017.1409241","ISSN":"1082-6084","note":"PMID: 29303404","shortTitle":"Prevalence of Substance Use among Lesbian, Gay, Bisexual, and Transgender Youth in Military Families","author":[{"family":"Pedro","given":"Kris Tunac De"},{"family":"Shim-Pelayo","given":"Holly"}],"issued":{"date-parts":[["2018",7,3]]}}}],"schema":"https://github.com/citation-style-language/schema/raw/master/csl-citation.json"}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(Pedro &amp; Shim-Pelayo,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8E943F5"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California, USA</w:t>
            </w:r>
          </w:p>
        </w:tc>
        <w:tc>
          <w:tcPr>
            <w:tcW w:w="1777" w:type="dxa"/>
            <w:shd w:val="clear" w:color="auto" w:fill="auto"/>
            <w:noWrap/>
            <w:vAlign w:val="center"/>
            <w:hideMark/>
          </w:tcPr>
          <w:p w14:paraId="77E0C500"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13200AE" w14:textId="77777777" w:rsidTr="0047793C">
        <w:trPr>
          <w:trHeight w:val="351"/>
        </w:trPr>
        <w:tc>
          <w:tcPr>
            <w:tcW w:w="0" w:type="auto"/>
            <w:shd w:val="clear" w:color="auto" w:fill="auto"/>
            <w:noWrap/>
            <w:vAlign w:val="center"/>
            <w:hideMark/>
          </w:tcPr>
          <w:p w14:paraId="64D6B662"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{"citationID":"lfZLrC3c","properties":{"formattedCitation":"(Pedro et al., n.d.)","plainCitation":"(Pedro et al., n.d.)","dontUpdate":true,"noteIndex":0},"citationItems":[{"id":792,"uris":["http://zotero.org/users/1641921/items/HFGER392"],"uri":["http://zotero.org/users/1641921/items/HFGER392"],"itemData":{"id":792,"type":"article-journal","title":"Substance Use Among Transgender Students in California Public Middle and High Schools","container-title":"Journal of School Health","page":"303-309","volume":"87","issue":"5","source":"Wiley Online Library","abstract":"BACKGROUND Transgender adolescents face tremendous social stress in families and schools, which often leads to behavioral health disparities. This study assessed whether rates of substance use were higher among transgender adolescents when compared to nontransgender adolescents. METHODS This study is a secondary data analysis of the 2013-2015 California Healthy Kids Survey (CHKS) that examines whether rates of substance use are higher among transgender youth when compared to nontransgender youth. Participants included 4778 transgender and 630,200 nontransgender students in middle and high schools in nearly all school districts in California. The study outcomes were lifetime, recent, and in-school use of cigarettes, tobacco, alcohol, marijuana, cocaine, and ecstasy as well as nonmedical use of prescription painkillers, diet pills, Ritalin or Adderall, and cold medicine. RESULTS Transgender students were about 2-1/2 times more likely as nontransgender students to use cocaine/methamphetamine in their lifetime (odds ratio [OR] = 2.53; 95% confidence interval [CI] = 2.18-2.95) and about 2.8 times as likely to report past 30-day inhalant use (OR = 2.80; 95% CI = 2.41-3.26). Transgender students were more than twice as likely to report past 30-day prescription pain medication use (OR = 2.19; 95% CI = 1.90-2.53) and more than 3 times as likely to use cigarettes in school (OR = 3.37; 95% CI = 2.84-3.99). CONCLUSIONS The study's findings indicate a need for community- and school-based interventions that reduce substance use among transgender youth.","DOI":"10.1111/josh.12499","ISSN":"1746-1561","language":"en","author":[{"family":"Pedro","given":"Kris Tunac De"},{"family":"Gilreath","given":"Tamika D."},{"family":"Jackson","given":"Christopher"},{"family":"Esqueda","given":"Monica Christina"}]}}],"schema":"https://github.com/citation-style-language/schema/raw/master/csl-citation.json"}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(Pedro et al.,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C1FB468"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California, USA</w:t>
            </w:r>
          </w:p>
        </w:tc>
        <w:tc>
          <w:tcPr>
            <w:tcW w:w="1777" w:type="dxa"/>
            <w:shd w:val="clear" w:color="auto" w:fill="auto"/>
            <w:noWrap/>
            <w:vAlign w:val="center"/>
            <w:hideMark/>
          </w:tcPr>
          <w:p w14:paraId="0758B55A"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7F776E4" w14:textId="77777777" w:rsidTr="0047793C">
        <w:trPr>
          <w:trHeight w:val="320"/>
        </w:trPr>
        <w:tc>
          <w:tcPr>
            <w:tcW w:w="0" w:type="auto"/>
            <w:shd w:val="clear" w:color="auto" w:fill="auto"/>
            <w:noWrap/>
            <w:vAlign w:val="center"/>
            <w:hideMark/>
          </w:tcPr>
          <w:p w14:paraId="2650FBE3"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{"citationID":"xu4hWOFn","properties":{"formattedCitation":"(Poteat et al., 2016)","plainCitation":"(Poteat et al., 2016)","noteIndex":0},"citationItems":[{"id":851,"uris":["http://zotero.org/users/1641921/items/USBAKQYK"],"uri":["http://zotero.org/users/1641921/items/USBAKQYK"],"itemData":{"id":851,"type":"article-journal","title":"The conflation of gender and sex: Gaps and opportunities in HIV data among transgender women and MSM","container-title":"Global public health","page":"835-848","volume":"11","issue":"7-8","source":"PubMed Central","abstract":"Historically, HIV studies have conflated men who have sex with men (MSM) with transgender (trans) women, explicitly excluded trans individuals, or included sample sizes of trans people that are too small to reach meaningful conclusions. Despite the heavy burden of HIV among trans women, conflation of this population with MSM has limited the information available on the social and behavioural factors that increase HIV vulnerability among trans women and how these factors may differ from MSM. Using data sets from quantitative studies among MSM (n = 645) and trans women (n = 89), as well as qualitative in-depth interviews with 30 trans women in Baltimore, we explore what these data tell us about similarities and differences in HIV vulnerability between the two groups and where they leave gaps in our understanding. We conclude with implications for data collection and intervention development.","DOI":"10.1080/17441692.2015.1134615","ISSN":"1744-1692","note":"PMID: 26785751\nPMCID: PMC4957661","shortTitle":"The conflation of gender and sex","journalAbbreviation":"Glob Public Health","author":[{"family":"Poteat","given":"Tonia"},{"family":"German","given":"Danielle"},{"family":"Flynn","given":"Colin"}],"issued":{"date-parts":[["2016"]]}}}],"schema":"https://github.com/citation-style-language/schema/raw/master/csl-citation.json"}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(Poteat et al.,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BDC03D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Baltimore, Maryland, USA</w:t>
            </w:r>
          </w:p>
        </w:tc>
        <w:tc>
          <w:tcPr>
            <w:tcW w:w="1777" w:type="dxa"/>
            <w:shd w:val="clear" w:color="auto" w:fill="auto"/>
            <w:noWrap/>
            <w:vAlign w:val="center"/>
            <w:hideMark/>
          </w:tcPr>
          <w:p w14:paraId="128D0B4E"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C720146" w14:textId="77777777" w:rsidTr="0047793C">
        <w:trPr>
          <w:trHeight w:val="320"/>
        </w:trPr>
        <w:tc>
          <w:tcPr>
            <w:tcW w:w="0" w:type="auto"/>
            <w:shd w:val="clear" w:color="auto" w:fill="auto"/>
            <w:noWrap/>
            <w:vAlign w:val="center"/>
            <w:hideMark/>
          </w:tcPr>
          <w:p w14:paraId="7B98F492"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{"citationID":"VCuw5XkH","properties":{"formattedCitation":"(Reisner et al., 2013)","plainCitation":"(Reisner et al., 2013)","noteIndex":0},"citationItems":[{"id":1006,"uris":["http://zotero.org/users/1641921/items/FLV729DJ"],"uri":["http://zotero.org/users/1641921/items/FLV729DJ"],"itemData":{"id":1006,"type":"article-journal","title":"Comparing In-Person and Online Survey Respondents in the U.S. National Transgender Discrimination Survey: Implications for Transgender Health Research","container-title":"LGBT Health","page":"98-106","volume":"1","issue":"2","source":"liebertpub.com (Atypon)","abstract":"Purpose: In the absence of probability sample studies of transgender people, new methods are needed to yield study samples that reflect the demographic diversity of the transgender population.Methods: The National Transgender Discrimination Survey is a large, convenience sample of 6,456 transgender adults between the ages of 18 and 89. We examined characteristics of purposively sampled respondents who, in 2008, completed a one-time survey either in-person (435 respondents) or online (6,021respondents). Missing data were multiply imputed, and multivariable logistic regression models were used to test for differences in sociodemographic and health indicators by data collection method.Results: A higher proportion of in-person respondents were young, male-to-female, people of color, publicly insured, with lower incomes and lower educational attainment than online respondents (all p&lt;0.05). In-person respondents also were more likely than online respondents to be current daily smokers, to endorse substance use to cope with mistreatment, and to self-report as HIV-positive (all p&lt;0.05).Conclusion: Findings indicate that online and in-person data collection methods reach transgender respondents with vastly different health and life experiences. To achieve a more diverse sample of transgender adults, then, requires diverse recruitment settings and survey modalities.","DOI":"10.1089/lgbt.2013.0018","ISSN":"2325-8292","shortTitle":"Comparing In-Person and Online Survey Respondents in the U.S. National Transgender Discrimination Survey","journalAbbreviation":"LGBT Health","author":[{"family":"Reisner","given":"Sari L."},{"family":"Conron","given":"Kerith"},{"family":"Scout","given":"Nfn"},{"family":"Mimiaga","given":"Matthew J."},{"family":"Haneuse","given":"Sebastien"},{"family":"Austin","given":"S. Bryn"}],"issued":{"date-parts":[["2013",11,14]]}}}],"schema":"https://github.com/citation-style-language/schema/raw/master/csl-citation.json"}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(Reisner et al., 2013)</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35EB8CE3"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2888A015"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FF63DF6" w14:textId="77777777" w:rsidTr="0047793C">
        <w:trPr>
          <w:trHeight w:val="320"/>
        </w:trPr>
        <w:tc>
          <w:tcPr>
            <w:tcW w:w="0" w:type="auto"/>
            <w:shd w:val="clear" w:color="auto" w:fill="auto"/>
            <w:noWrap/>
            <w:vAlign w:val="center"/>
            <w:hideMark/>
          </w:tcPr>
          <w:p w14:paraId="5CA7A462"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{"citationID":"zlUiR9wP","properties":{"formattedCitation":"(Reisner, White, et al., 2014)","plainCitation":"(Reisner, White, et al., 2014)","noteIndex":0},"citationItems":[{"id":926,"uris":["http://zotero.org/users/1641921/items/AZSU3Y7M"],"uri":["http://zotero.org/users/1641921/items/AZSU3Y7M"],"itemData":{"id":926,"type":"article-journal","title":"Transgender Health Disparities: Comparing Full Cohort and Nested Matched-Pair Study Designs in a Community Health Center","container-title":"LGBT health","page":"177-184","volume":"1","issue":"3","source":"PubMed Central","abstract":"Purpose\nU.S. health surveillance systems infrequently include measures to identify transgender respondents or monitor the health of this underserved and marginalized population.\n\nMethods\nFrom 2001–2002, transgender and non-transgender adults were sampled at a Massachusetts clinic. Health differences were formatively examined by transgender identity using a cross-sectional, clinic-based sample (n=2,653); and a nested matched-pair subsample (n=155).\n\nResults\nBoth designs produced virtually identical findings: (1) the prevalence of HIV, substance abuse, and smoking did not differ significantly for transgender and non-transgender patients; (2) transgender patients were more likely to endorse a lifetime suicide attempt and ideation compared to non-transgender patients (p&lt;0.05); (3) transgender patients disproportionately reported social stressors (violence, discrimination, childhood abuse) relative to non-transgender patients (p&lt;0.05).\n\nConclusion\nFindings suggest that a nested design may provide an effective methodology for using clinical data to study transgender health, and underscore the need for routine collection of gender identity in clinical settings.","DOI":"10.1089/lgbt.2014.0009","ISSN":"2325-8292","note":"PMID: 25379511\nPMCID: PMC4219512","shortTitle":"Transgender Health Disparities","journalAbbreviation":"LGBT Health","author":[{"family":"Reisner","given":"Sari L."},{"family":"White","given":"Jaclyn M."},{"family":"Bradford","given":"Judith B."},{"family":"Mimiaga","given":"Matthew J."}],"issued":{"date-parts":[["2014",9,1]]}}}],"schema":"https://github.com/citation-style-language/schema/raw/master/csl-citation.json"}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(Reisner, White, et al.,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65A2828"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Boston, Massachusetts, USA</w:t>
            </w:r>
          </w:p>
        </w:tc>
        <w:tc>
          <w:tcPr>
            <w:tcW w:w="1777" w:type="dxa"/>
            <w:shd w:val="clear" w:color="auto" w:fill="auto"/>
            <w:noWrap/>
            <w:vAlign w:val="center"/>
            <w:hideMark/>
          </w:tcPr>
          <w:p w14:paraId="6BC3573A"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3AD80E5E" w14:textId="77777777" w:rsidTr="0047793C">
        <w:trPr>
          <w:trHeight w:val="320"/>
        </w:trPr>
        <w:tc>
          <w:tcPr>
            <w:tcW w:w="0" w:type="auto"/>
            <w:shd w:val="clear" w:color="auto" w:fill="auto"/>
            <w:noWrap/>
            <w:vAlign w:val="center"/>
            <w:hideMark/>
          </w:tcPr>
          <w:p w14:paraId="64B3E3CD"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{"citationID":"CBvZ3Nau","properties":{"formattedCitation":"(Reisner, Gamarel, et al., 2014)","plainCitation":"(Reisner, Gamarel, et al., 2014)","noteIndex":0},"citationItems":[{"id":1016,"uris":["http://zotero.org/users/1641921/items/ECSRTQFX"],"uri":["http://zotero.org/users/1641921/items/ECSRTQFX"],"itemData":{"id":1016,"type":"article-journal","title":"Dyadic effects of gender minority stressors in substance use behaviors among transgender women and their non-transgender male partners","container-title":"Psychology of sexual orientation and gender diversity","page":"63-71","volume":"1","issue":"1","source":"PubMed Central","abstract":"Background\nDespite evidence that interpersonal processes shape health behaviors, research concerning the dyadic effects of gender minority stressors on substance use behaviors of transgender people is scarce. The objective of this study was to use dyadic analysis to examine whether transgender discrimination was associated with substance use among transgender women and their male partners.\n\nMethods\nTransgender women and their male partners (N=191 couples; N=382 individuals) completed questionnaires. Participants’ mean age was 37.1; 79.1% were racial/ethnic minority; 61.3% earned &lt;$500 per-month. The mean relationship duration was 37.9 months. Actor-Partner Interdependence Models were used to examine the associations between transgender-related discrimination and past 30-day non-marijuana illicit drug use adjusting for age, relationship length, financial hardship, and depressive distress among partners in these dyads.\n\nResults\nIllicit drug use was reported by 31.4% of transgender women and 25.1% of their male partners. Perceived transgender discrimination was independently associated with increased odds of illicit drug use for transgender women (actor effect) but not for their male partners. Financial hardship statistically predicted drug use for both partners (actor effects). There were no partner effects for financial hardship on drug use. Overall, 34.5% of dyads had discrepant substance use. Discrimination scores of male partners differentiated dyads who reported discrepant substance use.\n\nDiscussion\nGender minority stressors are critical to understanding substance use among transgender women and their male partners. Integrating socioeconomic status into gender minority stress frameworks is essential. Results have implications for substance use prevention and treatment, including the need to incorporate gender minority stressors into interventions.","DOI":"10.1037/0000013","ISSN":"2329-0382","note":"PMID: 25642440\nPMCID: PMC4311402","journalAbbreviation":"Psychol Sex Orientat Gend Divers","author":[{"family":"Reisner","given":"Sari L."},{"family":"Gamarel","given":"Kristi E."},{"family":"Nemoto","given":"Tooru"},{"family":"Operario","given":"Don"}],"issued":{"date-parts":[["2014",3]]}}}],"schema":"https://github.com/citation-style-language/schema/raw/master/csl-citation.json"}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(Reisner, Gamarel, et al., 2014)</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64371CB7"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San Francisco/Bay Area, California, USA</w:t>
            </w:r>
          </w:p>
        </w:tc>
        <w:tc>
          <w:tcPr>
            <w:tcW w:w="1777" w:type="dxa"/>
            <w:shd w:val="clear" w:color="auto" w:fill="auto"/>
            <w:noWrap/>
            <w:vAlign w:val="center"/>
            <w:hideMark/>
          </w:tcPr>
          <w:p w14:paraId="3155923D"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9525910" w14:textId="77777777" w:rsidTr="0047793C">
        <w:trPr>
          <w:trHeight w:val="320"/>
        </w:trPr>
        <w:tc>
          <w:tcPr>
            <w:tcW w:w="0" w:type="auto"/>
            <w:shd w:val="clear" w:color="auto" w:fill="auto"/>
            <w:noWrap/>
            <w:vAlign w:val="center"/>
            <w:hideMark/>
          </w:tcPr>
          <w:p w14:paraId="0DAC0EAF"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{"citationID":"QpIXqZIz","properties":{"formattedCitation":"(Reisner, Pardo, et al., 2015)","plainCitation":"(Reisner, Pardo, et al., 2015)","noteIndex":0},"citationItems":[{"id":889,"uris":["http://zotero.org/users/1641921/items/FVLEQCF6"],"uri":["http://zotero.org/users/1641921/items/FVLEQCF6"],"itemData":{"id":889,"type":"article-journal","title":"Substance Use to Cope with Stigma in Healthcare Among U.S. Female-to-Male Trans Masculine Adults","container-title":"LGBT Health","page":"324-332","volume":"2","issue":"4","source":"PubMed Central","abstract":"Purpose: Enacted and anticipated stigma exist within healthcare settings for transgender people, but research has yet to examine the effects of these forms of stigma on the substance use behaviors of female-to-male (FTM) trans masculine people., Methods: Data were analyzed from the cross-sectional U.S. National Transgender Discrimination Survey, a convenience sample of transgender adults purposively sampled in 2008. Trans masculine respondents (n=2,578) were identified using a two-step method: Step 1, Assigned birth sex; Step 2, Current gender identity. A gender minority stress model of substance use was tested to examine the relation of enacted and anticipated stigma with substance use to cope with mistreatment., Results: Overall, 14.1% of the sample reported having been refused care by a provider (enacted stigma), 32.8% reported delaying needed medical care when sick/injured, and 39.1% delayed routine preventive care (anticipated stigma). Having been refused care was significantly associated with avoidance of healthcare, including delaying needed medical care when sick/injured and delaying routine preventive medical care. Substance use to cope with mistreatment was self-reported by 27.6% of the sample. Enacted stigma by providers was associated with self-reported substance use to cope. Delays in both needed and preventive care (anticipated stigma) were highly associated with substance use, and attenuated the effect of enacted stigma., Conclusion: Gender minority-related stressors, particularly enacted and anticipated stigma in healthcare, should be integrated into substance use and abuse prevention and intervention efforts with this underserved population.","DOI":"10.1089/lgbt.2015.0001","ISSN":"2325-8292","note":"PMID: 26788773\nPMCID: PMC4808281","journalAbbreviation":"LGBT Health","author":[{"family":"Reisner","given":"Sari L."},{"family":"Pardo","given":"Seth T."},{"family":"Gamarel","given":"Kristi E."},{"family":"Hughto","given":"Jaclyn M. White"},{"family":"Pardee","given":"Dana J."},{"family":"Keo-Meier","given":"Colton L."}],"issued":{"date-parts":[["2015",12,1]]}}}],"schema":"https://github.com/citation-style-language/schema/raw/master/csl-citation.json"}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(Reisner, Pardo,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CBBFD95"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72FC04D5"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585D90F" w14:textId="77777777" w:rsidTr="0047793C">
        <w:trPr>
          <w:trHeight w:val="320"/>
        </w:trPr>
        <w:tc>
          <w:tcPr>
            <w:tcW w:w="0" w:type="auto"/>
            <w:shd w:val="clear" w:color="auto" w:fill="auto"/>
            <w:noWrap/>
            <w:vAlign w:val="center"/>
            <w:hideMark/>
          </w:tcPr>
          <w:p w14:paraId="772F940D"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{"citationID":"MK7Wu9V9","properties":{"formattedCitation":"(Reisner, Greytak, et al., 2015)","plainCitation":"(Reisner, Greytak, et al., 2015)","noteIndex":0},"citationItems":[{"id":980,"uris":["http://zotero.org/users/1641921/items/VAMWXSUC"],"uri":["http://zotero.org/users/1641921/items/VAMWXSUC"],"itemData":{"id":980,"type":"article-journal","title":"Gender Minority Social Stress in Adolescence: Disparities in Adolescent Bullying and Substance Use by Gender Identity","container-title":"Journal of sex research","page":"243-256","volume":"52","issue":"3","source":"PubMed Central","abstract":"Bullying and substance use represent serious public health issues facing adolescents in the U.S. Few large-sample national studies have examined differences in these indicators by gender identity. The Teen Health and Technology Study (N=5,542) sampled adolescents 13–18 years-old online. Weighted multivariable logistic regression models investigated disparities in substance use and tested a gender minority social stress hypothesis, comparing gender minority youth (i.e., who are transgender/gender nonconforming and have a gender different from their sex assigned at birth) and cisgender (i.e., whose gender identity or expression matches one’s sex assigned at birth). Overall, 11.5% of youth self-identified as gender minority. Gender minority youth had increased odds of past-12 month alcohol use, marijuana use, and non-marijuana illicit drug use. Gender minority youth disproportionately experienced bullying and harassment in the past 12 months, and this victimization was associated with increased odds of all substance use indicators. Bullying mediated the elevated odds of substance use for gender minority youth compared to cisgender adolescents. Findings support the use of gender minority stress perspectives in designing early interventions aimed at addressing the negative health sequelae of bullying and harassment.","DOI":"10.1080/00224499.2014.886321","ISSN":"0022-4499","note":"PMID: 24742006\nPMCID: PMC4201643","shortTitle":"Gender Minority Social Stress in Adolescence","journalAbbreviation":"J Sex Res","author":[{"family":"Reisner","given":"Sari L."},{"family":"Greytak","given":"Emily A."},{"family":"Parsons","given":"Jeffrey T."},{"family":"Ybarra","given":"Michele"}],"issued":{"date-parts":[["2015"]]}}}],"schema":"https://github.com/citation-style-language/schema/raw/master/csl-citation.json"}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(Reisner, Greytak, et al., 2015)</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774F9D5F"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44554005"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126DDE8" w14:textId="77777777" w:rsidTr="0047793C">
        <w:trPr>
          <w:trHeight w:val="320"/>
        </w:trPr>
        <w:tc>
          <w:tcPr>
            <w:tcW w:w="0" w:type="auto"/>
            <w:shd w:val="clear" w:color="auto" w:fill="auto"/>
            <w:noWrap/>
            <w:vAlign w:val="center"/>
            <w:hideMark/>
          </w:tcPr>
          <w:p w14:paraId="4AE4D4BD"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{"citationID":"q8ekS11a","properties":{"formattedCitation":"(Ryan, Russell, Huebner, Diaz, &amp; Sanchez, n.d.)","plainCitation":"(Ryan, Russell, Huebner, Diaz, &amp; Sanchez, n.d.)","noteIndex":0},"citationItems":[{"id":1069,"uris":["http://zotero.org/users/1641921/items/UTWCJWM2"],"uri":["http://zotero.org/users/1641921/items/UTWCJWM2"],"itemData":{"id":1069,"type":"article-journal","title":"Family Acceptance in Adolescence and the Health of LGBT Young Adults","container-title":"Journal of Child and Adolescent Psychiatric Nursing","page":"205-213","volume":"23","issue":"4","source":"Wiley Online Library","abstract":"ISSUE: The role of family acceptance as a protective factor for lesbian, gay, bisexual, and transgender (LGBT) adolescents and young adults has not been established. METHODS: A quantitative measure with items derived from prior qualitative work retrospectively assessed family accepting behaviors in response to LGBT adolescents' sexual orientation and gender expression and their relationship to mental health, substance abuse, and sexual risk in young adults (N= 245). FINDINGS: Family acceptance predicts greater self-esteem, social support, and general health status; it also protects against depression, substance abuse, and suicidal ideation and behaviors. CONCLUSIONS: Family acceptance of LGBT adolescents is associated with positive young adult mental and physical health. Interventions that promote parental and caregiver acceptance of LGBT adolescents are needed to reduce health disparities.","DOI":"10.1111/j.1744-6171.2010.00246.x","ISSN":"1744-6171","language":"en","author":[{"family":"Ryan","given":"Caitlin"},{"family":"Russell","given":"Stephen T."},{"family":"Huebner","given":"David"},{"family":"Diaz","given":"Rafael"},{"family":"Sanchez","given":"Jorge"}]}}],"schema":"https://github.com/citation-style-language/schema/raw/master/csl-citation.json"}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(Ryan, Russell, Huebner, Diaz, &amp; Sanchez, 2010)</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7C22AA8"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San Francisco/Bay Area, California, USA</w:t>
            </w:r>
          </w:p>
        </w:tc>
        <w:tc>
          <w:tcPr>
            <w:tcW w:w="1777" w:type="dxa"/>
            <w:shd w:val="clear" w:color="auto" w:fill="auto"/>
            <w:noWrap/>
            <w:vAlign w:val="center"/>
            <w:hideMark/>
          </w:tcPr>
          <w:p w14:paraId="7EEB3A41"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AB148A5" w14:textId="77777777" w:rsidTr="0047793C">
        <w:trPr>
          <w:trHeight w:val="320"/>
        </w:trPr>
        <w:tc>
          <w:tcPr>
            <w:tcW w:w="0" w:type="auto"/>
            <w:shd w:val="clear" w:color="auto" w:fill="auto"/>
            <w:noWrap/>
            <w:vAlign w:val="center"/>
            <w:hideMark/>
          </w:tcPr>
          <w:p w14:paraId="6B1BBE5B"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{"citationID":"RmiUTMF6","properties":{"formattedCitation":"(Sanchez, Finlayson, Murrill, Guilin, &amp; Dean, 2010)","plainCitation":"(Sanchez, Finlayson, Murrill, Guilin, &amp; Dean, 2010)","noteIndex":0},"citationItems":[{"id":718,"uris":["http://zotero.org/users/1641921/items/Y3F66TLR"],"uri":["http://zotero.org/users/1641921/items/Y3F66TLR"],"itemData":{"id":718,"type":"article-journal","title":"Risk Behaviors and Psychosocial Stressors in the New York City House Ball Community: A Comparison of Men and Transgender Women Who Have Sex with Men","container-title":"AIDS and Behavior","page":"351-358","volume":"14","issue":"2","source":"link.springer.com","abstract":"The New York City House Ball community consists of social networks of racial/ethnic minority gay, lesbian or bisexual men and women, and transgender persons. HIV seroprevalence and interview data were obtained from a sample of community members to identify statistical differences in HIV prevalence, risk behavior, and psychosocial stressors between men who have sex with men (MSM) and transgender women. Of 301 MSM and 60 transgender women, 20% were HIV-infected and 73% were unaware of their infection, but rates did not differ by gender. Risk behavior and stressors were common in both groups, but transgender women were more likely to report exchange sex, stigmatization, and stressful life events. High rates of risk behavior and HIV in this special community warrant relevant HIV testing and prevention services. Transgender women in the community may be at even greater risk for HIV infection due to behaviors compounded by substantial psychosocial stressors.","DOI":"10.1007/s10461-009-9610-6","ISSN":"1090-7165, 1573-3254","shortTitle":"Risk Behaviors and Psychosocial Stressors in the New York City House Ball Community","journalAbbreviation":"AIDS Behav","language":"en","author":[{"family":"Sanchez","given":"Travis"},{"family":"Finlayson","given":"Teresa"},{"family":"Murrill","given":"Christopher"},{"family":"Guilin","given":"Vincent"},{"family":"Dean","given":"Laura"}],"issued":{"date-parts":[["2010",4,1]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(Sanchez, Finlayson, Murrill, Guilin, &amp; Dean, 2010)</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262A84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t>New York City</w:t>
            </w:r>
            <w:r w:rsidRPr="00BB15F4">
              <w:rPr>
                <w:rFonts w:ascii="Times New Roman" w:eastAsia="Times New Roman" w:hAnsi="Times New Roman" w:cs="Times New Roman"/>
                <w:color w:val="000000"/>
              </w:rPr>
              <w:t>, New York, USA</w:t>
            </w:r>
          </w:p>
        </w:tc>
        <w:tc>
          <w:tcPr>
            <w:tcW w:w="1777" w:type="dxa"/>
            <w:shd w:val="clear" w:color="auto" w:fill="auto"/>
            <w:noWrap/>
            <w:vAlign w:val="center"/>
            <w:hideMark/>
          </w:tcPr>
          <w:p w14:paraId="3DDEE2D8"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589C398" w14:textId="77777777" w:rsidTr="0047793C">
        <w:trPr>
          <w:trHeight w:val="320"/>
        </w:trPr>
        <w:tc>
          <w:tcPr>
            <w:tcW w:w="0" w:type="auto"/>
            <w:shd w:val="clear" w:color="auto" w:fill="auto"/>
            <w:noWrap/>
            <w:vAlign w:val="center"/>
            <w:hideMark/>
          </w:tcPr>
          <w:p w14:paraId="6E3CA30D"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{"citationID":"4V2N7DZq","properties":{"formattedCitation":"(Scheim et al., 2017)","plainCitation":"(Scheim et al., 2017)","noteIndex":0},"citationItems":[{"id":721,"uris":["http://zotero.org/users/1641921/items/Q26LSPLB"],"uri":["http://zotero.org/users/1641921/items/Q26LSPLB"],"itemData":{"id":721,"type":"article-journal","title":"Drug use among transgender people in Ontario, Canada: Disparities and associations with social exclusion","container-title":"Addictive Behaviors","page":"151-158","volume":"72","source":"ScienceDirect","abstract":"Introduction\nWe identified the prevalence and correlates of past-year illicit drug use among transgender people in Ontario, Canada, and disparities with the age-standardized non-transgender population.\nMethods\nData on transgender persons aged 16+ (n=406) were obtained from Trans PULSE, a respondent-driven sampling (RDS) survey (2009–2010). Overall and sex-specific estimates of past-year drug use (cocaine and amphetamines, based on data availability) in the reference population were obtained from Ontario residents aged 16+ (n=39, 980) in the Canadian Community Health Survey (2009–2010), and standardized to the overall and gender-specific transgender age distributions. For regression analyses with Trans PULSE data, past-year drug use included drug types associated with high risk of physical, psychological, and social harm to the user, and RDS-II weights were applied to frequencies and prevalence ratios (PR) derived from blockwise logistic regression models.\nResults\nAn estimated 12.3% (95% CI: 7.7, 17.0) of transgender Ontarians had used at least one of the specified drugs in the past year, with no significant difference by gender identity. Transgender Ontarians were more likely to use both cocaine (standardized prevalence difference; SPD=6.8%; 95% CI=1.6, 10.9) and amphetamines (SPD=SPD=1.3%, 95% CI=0.2, 3.1) as compared to the age-standardized non-transgender population. History of transphobic assault, homelessness or underhousing, and sex work were associated with greater drug use among transgender persons.\nConclusions\nThe prevalence of cocaine and amphetamine use among transgender people in Ontario, Canada was higher than in the age-standardized reference population. Social exclusion predicted within-group variation in drug use among transgender persons.","DOI":"10.1016/j.addbeh.2017.03.022","ISSN":"0306-4603","shortTitle":"Drug use among transgender people in Ontario, Canada","journalAbbreviation":"Addictive Behaviors","author":[{"family":"Scheim","given":"Ayden I."},{"family":"Bauer","given":"Greta R."},{"family":"Shokoohi","given":"Mostafa"}],"issued":{"date-parts":[["2017",9,1]]}}}],"schema":"https://github.com/citation-style-language/schema/raw/master/csl-citation.json"}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(Scheim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27482402"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Ontario, Canada</w:t>
            </w:r>
          </w:p>
        </w:tc>
        <w:tc>
          <w:tcPr>
            <w:tcW w:w="1777" w:type="dxa"/>
            <w:shd w:val="clear" w:color="auto" w:fill="auto"/>
            <w:noWrap/>
            <w:vAlign w:val="center"/>
            <w:hideMark/>
          </w:tcPr>
          <w:p w14:paraId="159A24FD"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CA96430" w14:textId="77777777" w:rsidTr="0047793C">
        <w:trPr>
          <w:trHeight w:val="320"/>
        </w:trPr>
        <w:tc>
          <w:tcPr>
            <w:tcW w:w="0" w:type="auto"/>
            <w:shd w:val="clear" w:color="auto" w:fill="auto"/>
            <w:noWrap/>
            <w:vAlign w:val="center"/>
            <w:hideMark/>
          </w:tcPr>
          <w:p w14:paraId="21217536"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{"citationID":"0PHJ4N1i","properties":{"formattedCitation":"(Smalley, Warren, &amp; Barefoot, 2016)","plainCitation":"(Smalley, Warren, &amp; Barefoot, 2016)","noteIndex":0},"citationItems":[{"id":1098,"uris":["http://zotero.org/users/1641921/items/R3F2VUVC"],"uri":["http://zotero.org/users/1641921/items/R3F2VUVC"],"itemData":{"id":1098,"type":"article-journal","title":"Differences in health risk behaviors across understudied LGBT subgroups","container-title":"Health Psychology","page":"103-114","volume":"35","issue":"2","source":"ProQuest","abstract":"Objective: The purpose of the current study was to conduct a large-scale, geographically diverse comparison of health risk behaviors between a broad range of sexual orientation and gender identity groups to more fully understand the health risks of subgroups within the LGBT community. Method: A total of 3,279 individuals self-identifying as LGBT (e.g., lesbian, gay, bisexual, pansexual, transgender, genderqueer, and/or another gender or sexual minority) were recruited from across the United States through 2 sequentially implemented online recruitment methods. Participants completed a demographic assessment and the Health Risk Questionnaire (assessing diet and exercise, substance use and smoking, motor vehicle risks, sexual behaviors, violence, and medical risk-taking). Results: Significant differences were found across genders for 18 of the 28 health risk behaviors investigated and across sexual orientations for 23 behaviors. Major differences emerged particularly with relation to diet and exercise behaviors, as well as sexual risk-taking, substance use, and medical risk-taking. Groups with notably elevated health risk behaviors included transgender women (diet and exercise behaviors), cisgender men (alcohol-related risk-taking), bisexual participants (substance use), and both transgender men and pansexual participants (self-harm). Differences between transgender participants and genderqueer or nonbinary participants were stark, indicating that these frequently combined groups have distinct health risk profiles. Conclusions: Results suggest that there are extensive and largely variable levels of engagement in health risk behaviors within the LGBT community. In addition, gender and sexual orientation subcategories that are traditionally collapsed into 1 category (i.e., transgender and bisexual) evidenced strikingly different risks when examined independently. Recommendations for future research and LGBT health promotion efforts are discussed. (PsycINFO Database Record (c) 2016 APA, all rights reserved) (Source: journal abstract)","DOI":"http://dx.doi.org/10.1037/hea0000231","ISSN":"0278-6133","language":"English","author":[{"family":"Smalley","given":"K. Bryant"},{"family":"Warren","given":"Jacob C."},{"family":"Barefoot","given":"K. Nikki"}],"issued":{"date-parts":[["2016",2]]}}}],"schema":"https://github.com/citation-style-language/schema/raw/master/csl-citation.json"}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(Smalley, Warren, &amp; Barefoot, 2016)</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1B9A6E0A"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(nationwide)</w:t>
            </w:r>
          </w:p>
        </w:tc>
        <w:tc>
          <w:tcPr>
            <w:tcW w:w="1777" w:type="dxa"/>
            <w:shd w:val="clear" w:color="auto" w:fill="auto"/>
            <w:noWrap/>
            <w:vAlign w:val="center"/>
            <w:hideMark/>
          </w:tcPr>
          <w:p w14:paraId="0E7C2BCF"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FE7FC8F" w14:textId="77777777" w:rsidTr="0047793C">
        <w:trPr>
          <w:trHeight w:val="320"/>
        </w:trPr>
        <w:tc>
          <w:tcPr>
            <w:tcW w:w="0" w:type="auto"/>
            <w:shd w:val="clear" w:color="auto" w:fill="auto"/>
            <w:noWrap/>
            <w:vAlign w:val="center"/>
            <w:hideMark/>
          </w:tcPr>
          <w:p w14:paraId="197563ED"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fldChar w:fldCharType="begin"/>
            </w:r>
            <w:r>
              <w:rPr>
                <w:rFonts w:ascii="Times New Roman" w:eastAsia="Times New Roman" w:hAnsi="Times New Roman" w:cs="Times New Roman"/>
                <w:color w:val="000000"/>
              </w:rPr>
              <w:instrText xml:space="preserve"> ADDIN ZOTERO_ITEM CSL_CITATION {"citationID":"jQKGmx4Y","properties":{"formattedCitation":"(Smith et al., 2017)","plainCitation":"(Smith et al., 2017)","noteIndex":0},"citationItems":[{"id":777,"uris":["http://zotero.org/users/1641921/items/TEYZZW7R"],"uri":["http://zotero.org/users/1641921/items/TEYZZW7R"],"itemData":{"id":777,"type":"article-journal","title":"Impact of Sexual Violence Across the Lifespan on HIV Risk Behaviors Among Transgender Women and Cisgender People Living With HIV","container-title":"JAIDS Journal of Acquired Immune Deficiency Syndromes","page":"408","volume":"75","issue":"4","source":"journals.lww.com","abstract":"Background: To examine sexual violence across the lifespan among transgender and cisgender people living with HIV and its associations with recent risk behaviors.\n        Setting: Seven community-based sites serving priority populations disproportionately affected by HIV in the United States, including major metropolitan areas in the West and East Coast, as well as the suburban Mid-Atlantic and rural Southeastern regions.\n        Methods: From 2013 to 2016, baseline survey data were collected from participants (N = 583) of a multisite community-based HIV linkage to/retention in care study conducted at 7 sites across the United States. Adjusted mixed-effects logistic regression models with random effect for site-assessed associations of sexual violence and gender identity with risk outcomes including condomless sex, sex trade involvement, and substance use–related harms.\n        Results: One-third of participants reported a history of sexual violence; transgender [adjusted odds ratio (AOR) = 5.1, 95% confidence interval (CI): 2.6 to 10.1] and cisgender women (AOR = 3.8, 95% CI: 2.3 to 6.4) were more likely than cisgender men to experience sexual violence. Sexual violence was associated with experiencing drug-related harms (AOR = 2.6, 95% CI: 1.2 to 5.5). Transgender women were more likely than cisgender men to have sold sex (AOR = 9.3, 95% CI: 1.7 to 50.0).\n        Conclusions: A history of sexual violence is common among transgender and cisgender women PLWH, and it increases risk for drug-related harms. Transgender women are also more likely to report selling sex.","DOI":"10.1097/QAI.0000000000001423","ISSN":"1525-4135","language":"en-US","author":[{"family":"Smith","given":"Laramie R."},{"family":"Yore","given":"Jennifer"},{"family":"Triplett","given":"Daniel P."},{"family":"Urada","given":"Lianne"},{"family":"Nemoto","given":"Tooru"},{"family":"Raj","given":"Anita"},{"family":"Team","given":"Kaiser Permanente Community-Based HIV Test and Treat Study"}],"issued":{"date-parts":[["2017",8,1]]}}}],"schema":"https://github.com/citation-style-language/schema/raw/master/csl-citation.json"}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(Smith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7873072"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USA (7 major metropolitan areas on the West and East coast and suburban areas in the Mid-Atlantic and rural Southeastern regions)</w:t>
            </w:r>
          </w:p>
        </w:tc>
        <w:tc>
          <w:tcPr>
            <w:tcW w:w="1777" w:type="dxa"/>
            <w:shd w:val="clear" w:color="auto" w:fill="auto"/>
            <w:noWrap/>
            <w:vAlign w:val="center"/>
            <w:hideMark/>
          </w:tcPr>
          <w:p w14:paraId="285A6BD8"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943C889" w14:textId="77777777" w:rsidTr="0047793C">
        <w:trPr>
          <w:trHeight w:val="320"/>
        </w:trPr>
        <w:tc>
          <w:tcPr>
            <w:tcW w:w="0" w:type="auto"/>
            <w:shd w:val="clear" w:color="auto" w:fill="auto"/>
            <w:noWrap/>
            <w:vAlign w:val="center"/>
            <w:hideMark/>
          </w:tcPr>
          <w:p w14:paraId="71D0D18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{"citationID":"bEGod6Xe","properties":{"formattedCitation":"(Testa et al., 2012)","plainCitation":"(Testa et al., 2012)","noteIndex":0},"citationItems":[{"id":724,"uris":["http://zotero.org/users/1641921/items/RITSK85Y"],"uri":["http://zotero.org/users/1641921/items/RITSK85Y"],"itemData":{"id":724,"type":"article-journal","title":"Effects of violence on transgender people","container-title":"Professional Psychology: Research and Practice","page":"452-459","volume":"43","issue":"5","source":"ProQuest","abstract":"While recent research on transgender populations has demonstrated high rates of experiencing violence, there has been little research attention to the mental health implications of these experiences. This study utilized data collected from the Virginia Transgender Health Initiative Survey (THIS) of transgender people (individuals who described their gender identity as different from their sex assigned at birth) collected from 2005–2006. Current study analyses were limited to two subgroups: trans women (n = 179) and trans men (n = 92). We hypothesized that, as in the general population, exposure to physical and sexual violence would be related to suicidal ideation, suicide attempts, and substance abuse. Both trans women and trans men in this sample were at high risk for physical and sexual violence, as well as suicidal ideation and suicide attempt. Logistic regression analyses indicated that among both trans women and trans men, those who had endured physical and/or sexual violence were significantly more likely than those who had not had such experiences to report a history of suicide attempt and multiple suicide attempts. In addition, among trans men, history of physical and sexual violence were each related to alcohol abuse. Among trans women, history of sexual violence was related to alcohol abuse and illicit substance use. Patterns of violence against transgender people were identified and are discussed, including frequent gender-related motivation for violence, low prevalence of reporting violence to police, and variety of perpetrators of violence. Clinical implications and recommendations are provided. (PsycINFO Database Record (c) 2016 APA, all rights reserved) (Source: journal abstract)","DOI":"http://dx.doi.org/10.1037/a0029604","ISSN":"0735-7028","language":"English","author":[{"family":"Testa","given":"Rylan J."},{"family":"Sciacca","given":"Laura M."},{"family":"Wang","given":"Florence"},{"family":"Hendricks","given":"Michael L."},{"family":"Goldblum","given":"Peter"},{"family":"Bradford","given":"Judith"},{"family":"Bongar","given":"Bruce"}],"issued":{"date-parts":[["2012",10]]}}}],"schema":"https://github.com/citation-style-language/schema/raw/master/csl-citation.json"}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(Testa et al., 2012)</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730381EE"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Virginia, USA</w:t>
            </w:r>
          </w:p>
        </w:tc>
        <w:tc>
          <w:tcPr>
            <w:tcW w:w="1777" w:type="dxa"/>
            <w:shd w:val="clear" w:color="auto" w:fill="auto"/>
            <w:noWrap/>
            <w:vAlign w:val="center"/>
            <w:hideMark/>
          </w:tcPr>
          <w:p w14:paraId="689C8FC1"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1B3776A8" w14:textId="77777777" w:rsidTr="0047793C">
        <w:trPr>
          <w:trHeight w:val="320"/>
        </w:trPr>
        <w:tc>
          <w:tcPr>
            <w:tcW w:w="0" w:type="auto"/>
            <w:shd w:val="clear" w:color="auto" w:fill="auto"/>
            <w:noWrap/>
            <w:vAlign w:val="center"/>
            <w:hideMark/>
          </w:tcPr>
          <w:p w14:paraId="18711F6A"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{"citationID":"dLUNw6vX","properties":{"formattedCitation":"(Toibaro et al., 2009)","plainCitation":"(Toibaro et al., 2009)","noteIndex":0},"citationItems":[{"id":1140,"uris":["http://zotero.org/users/1641921/items/4EQWTYMW"],"uri":["http://zotero.org/users/1641921/items/4EQWTYMW"],"itemData":{"id":1140,"type":"article-journal","title":"Sexually transmitted infections among transgender individuals and other sexual identities","container-title":"Medicina (Buenos Aires)","page":"327-330","volume":"69","issue":"3","source":"SciELO","ISSN":"0025-7680","author":[{"family":"Toibaro","given":"Javier J."},{"family":"Ebensrtejin","given":"Juan F."},{"family":"Parlante","given":"Ángel"},{"family":"Burgoa","given":"Patricia"},{"family":"Freyre","given":"Alejandro"},{"family":"Romero","given":"Marcela"},{"family":"Losso","given":"Marcelo H."}],"issued":{"date-parts":[["2009",6]]}}}],"schema":"https://github.com/citation-style-language/schema/raw/master/csl-citation.json"}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(Toibaro et al., 2009)</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46CEF1B6"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Buenos Aires, Argentina</w:t>
            </w:r>
          </w:p>
        </w:tc>
        <w:tc>
          <w:tcPr>
            <w:tcW w:w="1777" w:type="dxa"/>
            <w:shd w:val="clear" w:color="auto" w:fill="auto"/>
            <w:noWrap/>
            <w:vAlign w:val="center"/>
            <w:hideMark/>
          </w:tcPr>
          <w:p w14:paraId="0C1BA28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59FEABD3" w14:textId="77777777" w:rsidTr="0047793C">
        <w:trPr>
          <w:trHeight w:val="320"/>
        </w:trPr>
        <w:tc>
          <w:tcPr>
            <w:tcW w:w="0" w:type="auto"/>
            <w:shd w:val="clear" w:color="auto" w:fill="auto"/>
            <w:noWrap/>
            <w:vAlign w:val="center"/>
            <w:hideMark/>
          </w:tcPr>
          <w:p w14:paraId="39CFBB70"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{"citationID":"tUO4qBvU","properties":{"formattedCitation":"(Vries, Doreleijers, Steensma, &amp; Cohen\\uc0\\u8208{}Kettenis, n.d.)","plainCitation":"(Vries, Doreleijers, Steensma, &amp; Cohen</w:instrText>
            </w:r>
            <w:r>
              <w:rPr>
                <w:rFonts w:ascii="Calibri" w:eastAsia="Calibri" w:hAnsi="Calibri" w:cs="Calibri"/>
                <w:color w:val="000000"/>
              </w:rPr>
              <w:instrText>‐</w:instrText>
            </w:r>
            <w:r>
              <w:rPr>
                <w:rFonts w:ascii="Times New Roman" w:eastAsia="Times New Roman" w:hAnsi="Times New Roman" w:cs="Times New Roman"/>
                <w:color w:val="000000"/>
              </w:rPr>
              <w:instrText>Kettenis, n.d.)","noteIndex":0},"citationItems":[{"id":1129,"uris":["http://zotero.org/users/1641921/items/6UWE2863"],"uri":["http://zotero.org/users/1641921/items/6UWE2863"],"itemData":{"id":1129,"type":"article-journal","title":"Psychiatric comorbidity in gender dysphoric adolescents","container-title":"Journal of Child Psychology and Psychiatry","page":"1195-1202","volume":"52","issue":"11","source":"Wiley Online Library","abstract":"Background: This study examined psychiatric comorbidity in adolescents with a gender identity disorder (GID). We focused on its relation to gender, type of GID diagnosis and eligibility for medical interventions (puberty suppression and cross-sex hormones). Methods: To ascertain DSM-IV diagnoses, the Diagnostic Interview Schedule for Children (DISC) was administered to parents of 105 gender dysphoric adolescents. Results: 67.6% had no concurrent psychiatric disorder. Anxiety disorders occurred in 21%, mood disorders in 12.4% and disruptive disorders in 11.4% of the adolescents. Compared with natal females (n = 52), natal males (n = 53) suffered more often from two or more comorbid diagnoses (22.6% vs. 7.7%, p = .03), mood disorders (20.8% vs. 3.8%, p = .008) and social anxiety disorder (15.1% vs. 3.8%, p = .049). Adolescents with GID considered to be ‘delayed eligible’ for medical treatment were older [15.6 years (SD = 1.6) vs. 14.1 years (SD = 2.2), p = .001], their intelligence was lower [91.6 (SD = 12.4) vs. 99.1 (SD = 12.8), p = .011] and a lower percentage was living with both parents (23% vs. 64%, p &lt; .001). Although the two groups did not differ in the prevalence of psychiatric comorbidity, the respective odds ratios (‘delayed eligible’ adolescents vs. ‘immediately eligible’ adolescents) were &gt;1.0 for all psychiatric diagnoses except specific phobia. Conclusions: Despite the suffering resulting from the incongruence between experienced and assigned gender at the start of puberty, the majority of gender dysphoric adolescents do not have co-occurring psychiatric problems. Delayed eligibility for medical interventions is associated with psychiatric comorbidity although other factors are of importance as well.","DOI":"10.1111/j.1469-7610.2011.02426.x","ISSN":"1469-7610","language":"en","author":[{"family":"Vries","given":"Annelou L. C.","dropping-particle":"de"},{"family":"Doreleijers","given":"Theo A. H."},{"family":"Steensma","given":"Thomas D."},{"family":"Cohen</w:instrText>
            </w:r>
            <w:r>
              <w:rPr>
                <w:rFonts w:ascii="Calibri" w:eastAsia="Calibri" w:hAnsi="Calibri" w:cs="Calibri"/>
                <w:color w:val="000000"/>
              </w:rPr>
              <w:instrText>‐</w:instrText>
            </w:r>
            <w:r>
              <w:rPr>
                <w:rFonts w:ascii="Times New Roman" w:eastAsia="Times New Roman" w:hAnsi="Times New Roman" w:cs="Times New Roman"/>
                <w:color w:val="000000"/>
              </w:rPr>
              <w:instrText xml:space="preserve">Kettenis","given":"Peggy T."}]}}],"schema":"https://github.com/citation-style-language/schema/raw/master/csl-citation.json"} </w:instrText>
            </w:r>
            <w:r>
              <w:rPr>
                <w:rFonts w:ascii="Times New Roman" w:eastAsia="Times New Roman" w:hAnsi="Times New Roman" w:cs="Times New Roman"/>
                <w:color w:val="000000"/>
              </w:rPr>
              <w:fldChar w:fldCharType="separate"/>
            </w:r>
            <w:r w:rsidRPr="00FC2FCF">
              <w:rPr>
                <w:rFonts w:ascii="Times New Roman" w:eastAsia="Times New Roman" w:hAnsi="Times New Roman" w:cs="Times New Roman"/>
                <w:color w:val="000000"/>
              </w:rPr>
              <w:t>(Vries, Doreleijers, Steensma, &amp; Cohen</w:t>
            </w:r>
            <w:r w:rsidRPr="00FC2FCF">
              <w:rPr>
                <w:rFonts w:ascii="Calibri" w:eastAsia="Calibri" w:hAnsi="Calibri" w:cs="Calibri"/>
                <w:color w:val="000000"/>
              </w:rPr>
              <w:t>‐</w:t>
            </w:r>
            <w:r>
              <w:rPr>
                <w:rFonts w:ascii="Times New Roman" w:eastAsia="Times New Roman" w:hAnsi="Times New Roman" w:cs="Times New Roman"/>
                <w:color w:val="000000"/>
              </w:rPr>
              <w:t>Kettenis, 2011</w:t>
            </w:r>
            <w:r w:rsidRPr="00FC2FCF">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71567833"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Amsterdam, Netherlands</w:t>
            </w:r>
          </w:p>
        </w:tc>
        <w:tc>
          <w:tcPr>
            <w:tcW w:w="1777" w:type="dxa"/>
            <w:shd w:val="clear" w:color="auto" w:fill="auto"/>
            <w:noWrap/>
            <w:vAlign w:val="center"/>
            <w:hideMark/>
          </w:tcPr>
          <w:p w14:paraId="1D4E256E"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41423A39" w14:textId="77777777" w:rsidTr="0047793C">
        <w:trPr>
          <w:trHeight w:val="320"/>
        </w:trPr>
        <w:tc>
          <w:tcPr>
            <w:tcW w:w="0" w:type="auto"/>
            <w:shd w:val="clear" w:color="auto" w:fill="auto"/>
            <w:noWrap/>
            <w:vAlign w:val="center"/>
            <w:hideMark/>
          </w:tcPr>
          <w:p w14:paraId="1A12A6B4"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{"citationID":"5Kz3ocFc","properties":{"formattedCitation":"(Wilkerson, Lawler, Romijnders, Armstead, &amp; Bauldry, 2018)","plainCitation":"(Wilkerson, Lawler, Romijnders, Armstead, &amp; Bauldry, 2018)","noteIndex":0},"citationItems":[{"id":645,"uris":["http://zotero.org/users/1641921/items/VMX9ULXM"],"uri":["http://zotero.org/users/1641921/items/VMX9ULXM"],"itemData":{"id":645,"type":"article-journal","title":"Exploratory Analyses of Risk Behaviors Among GLBT Youth Attending a Drop-In Center","container-title":"Health Education &amp; Behavior","page":"217-228","volume":"45","issue":"2","source":"SAGE Journals","abstract":"This exploratory study examines measures of one drop-in center’s efforts to improve health outcomes of gay, lesbian, bisexual, and transgender (GLBT) youth by facilitating out-group secondary social ties. Hatch Youth, located in Houston, Texas, aims to increase self-esteem and decrease negative health outcomes by encouraging GLBT youth to be part of Houston’s greater GLBT community. Survey data (N = 614) collected between October 2003 and April 2013 were entered into logistic regression models. Attending Hatch Youth for 6 or more months was associated with having a social group outside of school (adjusted odds ratio [aOR] = 2.07; 95% confidence interval [CI] = [1.33, 3.20]), being out to that social group (aOR = 2.34; 95% CI = [1.35, 4.03]), and interacting with the GLBT community outside of Hatch Youth (aOR = 2.33; 95% CI = [1.50, 3.54]), when referenced against youth attending less than 1 month. Having a good family relationship in the last 90 days (aOR = 2.48; 95% CI = [1.67, 3.70]) and having a social group outside of school (aOR = 2.57; 95% CI = [1.67, 3.97]) were associated with higher self-esteem. Higher self-esteem was associated with practicing safe sex (aOR = 1.86; 95% CI = [1.25, 2.75]) and not using street drugs (aOR = 0.45; 95% CI = [0.24, 0.83]). Interacting with the GLBT community outside of Hatch Youth was associated with practicing safe sex (aOR = 1.64; 95% CI = [1.12, 2.42]). Drop-in centers can strengthen secondary social ties among youth. Because questions remain about how drop-in centers can assist youth aging out of their programs to find other supportive secondary social ties, additional studies examining similar drop-in centers are needed.","DOI":"10.1177/1090198117715668","ISSN":"1090-1981","journalAbbreviation":"Health Educ Behav","language":"en","author":[{"family":"Wilkerson","given":"J. Michael"},{"family":"Lawler","given":"Sylvia M."},{"family":"Romijnders","given":"Kim A."},{"family":"Armstead","given":"Amber B."},{"family":"Bauldry","given":"Jessica"}],"issued":{"date-parts":[["2018",4,1]]}}}],"schema":"https://github.com/citation-style-language/schema/raw/master/csl-citation.json"}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(Wilkerson, Lawler, Romijnders, Armstead, &amp; Bauldry, 2018)</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58921431"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Houston, Texas, USA</w:t>
            </w:r>
          </w:p>
        </w:tc>
        <w:tc>
          <w:tcPr>
            <w:tcW w:w="1777" w:type="dxa"/>
            <w:shd w:val="clear" w:color="auto" w:fill="auto"/>
            <w:noWrap/>
            <w:vAlign w:val="center"/>
            <w:hideMark/>
          </w:tcPr>
          <w:p w14:paraId="771D7C9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2FF0EC56" w14:textId="77777777" w:rsidTr="0047793C">
        <w:trPr>
          <w:trHeight w:val="320"/>
        </w:trPr>
        <w:tc>
          <w:tcPr>
            <w:tcW w:w="0" w:type="auto"/>
            <w:shd w:val="clear" w:color="auto" w:fill="auto"/>
            <w:noWrap/>
            <w:vAlign w:val="center"/>
            <w:hideMark/>
          </w:tcPr>
          <w:p w14:paraId="24C0768C" w14:textId="77777777" w:rsidR="00791C31" w:rsidRPr="00BB15F4" w:rsidRDefault="00791C31" w:rsidP="0047793C">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{"citationID":"YbjDXpzl","properties":{"formattedCitation":"(Zhao et al., 2017)","plainCitation":"(Zhao et al., 2017)","noteIndex":0},"citationItems":[{"id":822,"uris":["http://zotero.org/users/1641921/items/YR3RFE7J"],"uri":["http://zotero.org/users/1641921/items/YR3RFE7J"],"itemData":{"id":822,"type":"article-journal","title":"Recreational Drug Use among Chinese MSM and Transgender Individuals: Results from a National Online Cross-Sectional Study","container-title":"PLoS ONE","volume":"12","issue":"1","source":"PubMed Central","abstract":"Background\nRecreational drug use has increased considerably among Chinese men who have sex with men (MSM). The phenomenon has the potentially to increase HIV transmission among Chinese MSM. The aims of this study were: 1) to investigate the prevalence of recreational drug use among Chinese MSM, and 2) to explore the correlation between gay smartphone based sex-seeking applications (gay apps), HIV/STIs testing, group sex, commercial sex, sexual roles and poppers use among Chinese MSM.\n\nMethods\nMSM who were born biologically male, were at least 16 years of age and had engaged in anal sex with a man at least once were recruited through a nation-wide online survey in 2014. Information regarding socio-demographics, risk behaviors, recreational drug use, HIV and other STIs testing history and gay app use were collected. Univariate and multivariate analysis were used to determine factors associated with recreational drug use among Chinese MSM.\n\nResults\nAmong 1424 participating MSM, 1100 (77.3%) reported ever using recreational drugs in their lifetime. In the last 12 months, 303 (21.3%) used poppers, 34 (2.4%) used crystal meth and 15 (1.0%) used ecstasy. The mean age of respondents was 25.6±6.8 years, 72.9% identified as gay, 41.3% were students, and 83.8% had never been married. Multiple logistic regression models revealed that compared with non-popper users, popper users were more likely to have been tested for HIV (adjusted OR (aOR) = 1.50, 95% CI: 1.15–1.96) and other STIs (aOR = 1.65, 95% CI: 1.26–2.17). In addition, popper users were more likely to engage in group sex (aOR = 2.63, 95% CI:1.80–3.86), commercial sex (aOR = 1.86, 95% CI:1.13–3.06) and used gay mobile apps to seek sexual partners (aOR = 2.10, 95% CI:1.58–2.80).\n\nConclusion\nChinese MSM has a high rate of recreational drug use, including poppers. Public health programs serving MSM may consider integrating intervention programs to decrease recreational drug use related harms.","URL":"https://www.ncbi.nlm.nih.gov/pmc/articles/PMC5249205/","DOI":"10.1371/journal.pone.0170024","ISSN":"1932-6203","note":"PMID: 28107391\nPMCID: PMC5249205","shortTitle":"Recreational Drug Use among Chinese MSM and Transgender Individuals","journalAbbreviation":"PLoS One","author":[{"family":"Zhao","given":"Peizhen"},{"family":"Tang","given":"Songyuan"},{"family":"Wang","given":"Cheng"},{"family":"Zhang","given":"Ye"},{"family":"Best","given":"John"},{"family":"Tangthanasup","given":"Thitikarn May"},{"family":"Huang","given":"Shujie"},{"family":"Yang","given":"Bin"},{"family":"Wei","given":"Chongyi"},{"family":"Tucker","given":"Joseph D."},{"family":"Tang","given":"Weiming"}],"issued":{"date-parts":[["2017",1,20]]},"accessed":{"date-parts":[["2018",6,28]]}}}],"schema":"https://github.com/citation-style-language/schema/raw/master/csl-citation.json"}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(Zhao et al., 2017)</w:t>
            </w:r>
            <w:r>
              <w:rPr>
                <w:rFonts w:ascii="Times New Roman" w:eastAsia="Times New Roman" w:hAnsi="Times New Roman" w:cs="Times New Roman"/>
                <w:color w:val="000000"/>
              </w:rPr>
              <w:fldChar w:fldCharType="end"/>
            </w:r>
          </w:p>
        </w:tc>
        <w:tc>
          <w:tcPr>
            <w:tcW w:w="4929" w:type="dxa"/>
            <w:shd w:val="clear" w:color="auto" w:fill="auto"/>
            <w:noWrap/>
            <w:vAlign w:val="center"/>
            <w:hideMark/>
          </w:tcPr>
          <w:p w14:paraId="0690AA89" w14:textId="77777777" w:rsidR="00791C31" w:rsidRPr="00BB15F4" w:rsidRDefault="00791C31" w:rsidP="0047793C">
            <w:pPr>
              <w:rPr>
                <w:rFonts w:ascii="Times New Roman" w:eastAsia="Times New Roman" w:hAnsi="Times New Roman" w:cs="Times New Roman"/>
                <w:color w:val="000000"/>
              </w:rPr>
            </w:pPr>
            <w:r w:rsidRPr="00BB15F4">
              <w:rPr>
                <w:rFonts w:ascii="Times New Roman" w:eastAsia="Times New Roman" w:hAnsi="Times New Roman" w:cs="Times New Roman"/>
                <w:color w:val="000000"/>
              </w:rPr>
              <w:t>China (nationwide)</w:t>
            </w:r>
          </w:p>
        </w:tc>
        <w:tc>
          <w:tcPr>
            <w:tcW w:w="1777" w:type="dxa"/>
            <w:shd w:val="clear" w:color="auto" w:fill="auto"/>
            <w:noWrap/>
            <w:vAlign w:val="center"/>
            <w:hideMark/>
          </w:tcPr>
          <w:p w14:paraId="76EAFCCB" w14:textId="77777777" w:rsidR="00791C31" w:rsidRPr="00BB15F4" w:rsidRDefault="00791C31" w:rsidP="0047793C">
            <w:pPr>
              <w:jc w:val="center"/>
              <w:rPr>
                <w:rFonts w:ascii="Times New Roman" w:eastAsia="Times New Roman" w:hAnsi="Times New Roman" w:cs="Times New Roman"/>
                <w:color w:val="000000"/>
              </w:rPr>
            </w:pPr>
            <w:r w:rsidRPr="00BB15F4">
              <w:rPr>
                <w:rFonts w:ascii="Times New Roman" w:eastAsia="Times New Roman" w:hAnsi="Times New Roman" w:cs="Times New Roman"/>
                <w:color w:val="000000"/>
              </w:rPr>
              <w:t>Cross-sectional</w:t>
            </w:r>
          </w:p>
        </w:tc>
      </w:tr>
      <w:tr w:rsidR="00791C31" w:rsidRPr="00BB15F4" w14:paraId="744F1AE3" w14:textId="77777777" w:rsidTr="0047793C">
        <w:trPr>
          <w:trHeight w:val="320"/>
        </w:trPr>
        <w:tc>
          <w:tcPr>
            <w:tcW w:w="0" w:type="auto"/>
            <w:tcBorders>
              <w:bottom w:val="single" w:sz="18" w:space="0" w:color="auto"/>
            </w:tcBorders>
            <w:shd w:val="clear" w:color="auto" w:fill="auto"/>
            <w:noWrap/>
            <w:vAlign w:val="center"/>
          </w:tcPr>
          <w:p w14:paraId="48A76AFF" w14:textId="77777777" w:rsidR="00791C31" w:rsidRDefault="00791C31" w:rsidP="0047793C">
            <w:pPr>
              <w:rPr>
                <w:rFonts w:ascii="Times New Roman" w:eastAsia="Times New Roman" w:hAnsi="Times New Roman" w:cs="Times New Roman"/>
                <w:color w:val="000000"/>
              </w:rPr>
            </w:pPr>
          </w:p>
        </w:tc>
        <w:tc>
          <w:tcPr>
            <w:tcW w:w="4929" w:type="dxa"/>
            <w:tcBorders>
              <w:bottom w:val="single" w:sz="18" w:space="0" w:color="auto"/>
            </w:tcBorders>
            <w:shd w:val="clear" w:color="auto" w:fill="auto"/>
            <w:noWrap/>
            <w:vAlign w:val="center"/>
          </w:tcPr>
          <w:p w14:paraId="59C0849D" w14:textId="77777777" w:rsidR="00791C31" w:rsidRPr="00BB15F4" w:rsidRDefault="00791C31" w:rsidP="0047793C">
            <w:pPr>
              <w:rPr>
                <w:rFonts w:ascii="Times New Roman" w:eastAsia="Times New Roman" w:hAnsi="Times New Roman" w:cs="Times New Roman"/>
                <w:color w:val="000000"/>
              </w:rPr>
            </w:pPr>
          </w:p>
        </w:tc>
        <w:tc>
          <w:tcPr>
            <w:tcW w:w="1777" w:type="dxa"/>
            <w:tcBorders>
              <w:bottom w:val="single" w:sz="18" w:space="0" w:color="auto"/>
            </w:tcBorders>
            <w:shd w:val="clear" w:color="auto" w:fill="auto"/>
            <w:noWrap/>
            <w:vAlign w:val="center"/>
          </w:tcPr>
          <w:p w14:paraId="49AC5BEB" w14:textId="77777777" w:rsidR="00791C31" w:rsidRPr="00BB15F4" w:rsidRDefault="00791C31" w:rsidP="0047793C">
            <w:pPr>
              <w:jc w:val="center"/>
              <w:rPr>
                <w:rFonts w:ascii="Times New Roman" w:eastAsia="Times New Roman" w:hAnsi="Times New Roman" w:cs="Times New Roman"/>
                <w:color w:val="000000"/>
              </w:rPr>
            </w:pPr>
          </w:p>
        </w:tc>
      </w:tr>
    </w:tbl>
    <w:p w14:paraId="19C77279" w14:textId="77777777" w:rsidR="00791C31" w:rsidRDefault="00791C31" w:rsidP="00791C31">
      <w:pPr>
        <w:spacing w:line="480" w:lineRule="auto"/>
        <w:rPr>
          <w:rFonts w:ascii="Times New Roman" w:hAnsi="Times New Roman" w:cs="Times New Roman"/>
        </w:rPr>
      </w:pPr>
    </w:p>
    <w:p w14:paraId="137F571D" w14:textId="77777777" w:rsidR="00791C31" w:rsidRPr="00F12600" w:rsidRDefault="00791C31" w:rsidP="00791C31">
      <w:pPr>
        <w:spacing w:line="480" w:lineRule="auto"/>
        <w:rPr>
          <w:rFonts w:ascii="Times New Roman" w:hAnsi="Times New Roman" w:cs="Times New Roman"/>
        </w:rPr>
      </w:pPr>
    </w:p>
    <w:p w14:paraId="472C8D9C" w14:textId="77777777" w:rsidR="00755780" w:rsidRDefault="00755780"/>
    <w:sectPr w:rsidR="00755780" w:rsidSect="00791C31">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830D8" w14:textId="77777777" w:rsidR="00000000" w:rsidRDefault="00000000" w:rsidP="00B10C7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A699EB" w14:textId="77777777" w:rsidR="00000000" w:rsidRDefault="00000000" w:rsidP="0013798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29B0B" w14:textId="77777777" w:rsidR="00000000" w:rsidRDefault="00000000" w:rsidP="00B10C7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2D5F4" w14:textId="77777777" w:rsidR="00000000" w:rsidRDefault="00000000" w:rsidP="0013798D">
    <w:pPr>
      <w:pStyle w:val="Header"/>
      <w:ind w:right="360"/>
    </w:pPr>
    <w:r>
      <w:rPr>
        <w:rFonts w:ascii="Times New Roman" w:hAnsi="Times New Roman" w:cs="Times New Roman"/>
      </w:rPr>
      <w:t>SUBSTANCE USE RESEARCH WITH GENDER MINORITIES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31"/>
    <w:rsid w:val="00331A6B"/>
    <w:rsid w:val="00755780"/>
    <w:rsid w:val="00791C31"/>
    <w:rsid w:val="00857596"/>
    <w:rsid w:val="00A83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61F5"/>
  <w15:chartTrackingRefBased/>
  <w15:docId w15:val="{986B5C5A-6EC2-4743-84FB-6A9E75D3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31"/>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791C3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1C3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1C3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1C31"/>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91C31"/>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91C31"/>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91C31"/>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91C31"/>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91C31"/>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C31"/>
    <w:rPr>
      <w:rFonts w:eastAsiaTheme="majorEastAsia" w:cstheme="majorBidi"/>
      <w:color w:val="272727" w:themeColor="text1" w:themeTint="D8"/>
    </w:rPr>
  </w:style>
  <w:style w:type="paragraph" w:styleId="Title">
    <w:name w:val="Title"/>
    <w:basedOn w:val="Normal"/>
    <w:next w:val="Normal"/>
    <w:link w:val="TitleChar"/>
    <w:uiPriority w:val="10"/>
    <w:qFormat/>
    <w:rsid w:val="00791C3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1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C3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1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C31"/>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91C31"/>
    <w:rPr>
      <w:i/>
      <w:iCs/>
      <w:color w:val="404040" w:themeColor="text1" w:themeTint="BF"/>
    </w:rPr>
  </w:style>
  <w:style w:type="paragraph" w:styleId="ListParagraph">
    <w:name w:val="List Paragraph"/>
    <w:basedOn w:val="Normal"/>
    <w:uiPriority w:val="34"/>
    <w:qFormat/>
    <w:rsid w:val="00791C31"/>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791C31"/>
    <w:rPr>
      <w:i/>
      <w:iCs/>
      <w:color w:val="0F4761" w:themeColor="accent1" w:themeShade="BF"/>
    </w:rPr>
  </w:style>
  <w:style w:type="paragraph" w:styleId="IntenseQuote">
    <w:name w:val="Intense Quote"/>
    <w:basedOn w:val="Normal"/>
    <w:next w:val="Normal"/>
    <w:link w:val="IntenseQuoteChar"/>
    <w:uiPriority w:val="30"/>
    <w:qFormat/>
    <w:rsid w:val="00791C3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91C31"/>
    <w:rPr>
      <w:i/>
      <w:iCs/>
      <w:color w:val="0F4761" w:themeColor="accent1" w:themeShade="BF"/>
    </w:rPr>
  </w:style>
  <w:style w:type="character" w:styleId="IntenseReference">
    <w:name w:val="Intense Reference"/>
    <w:basedOn w:val="DefaultParagraphFont"/>
    <w:uiPriority w:val="32"/>
    <w:qFormat/>
    <w:rsid w:val="00791C31"/>
    <w:rPr>
      <w:b/>
      <w:bCs/>
      <w:smallCaps/>
      <w:color w:val="0F4761" w:themeColor="accent1" w:themeShade="BF"/>
      <w:spacing w:val="5"/>
    </w:rPr>
  </w:style>
  <w:style w:type="paragraph" w:styleId="Header">
    <w:name w:val="header"/>
    <w:basedOn w:val="Normal"/>
    <w:link w:val="HeaderChar"/>
    <w:uiPriority w:val="99"/>
    <w:unhideWhenUsed/>
    <w:rsid w:val="00791C31"/>
    <w:pPr>
      <w:tabs>
        <w:tab w:val="center" w:pos="4680"/>
        <w:tab w:val="right" w:pos="9360"/>
      </w:tabs>
    </w:pPr>
  </w:style>
  <w:style w:type="character" w:customStyle="1" w:styleId="HeaderChar">
    <w:name w:val="Header Char"/>
    <w:basedOn w:val="DefaultParagraphFont"/>
    <w:link w:val="Header"/>
    <w:uiPriority w:val="99"/>
    <w:rsid w:val="00791C31"/>
    <w:rPr>
      <w:rFonts w:eastAsiaTheme="minorEastAsia"/>
      <w:kern w:val="0"/>
      <w:sz w:val="24"/>
      <w:szCs w:val="24"/>
      <w14:ligatures w14:val="none"/>
    </w:rPr>
  </w:style>
  <w:style w:type="character" w:styleId="PageNumber">
    <w:name w:val="page number"/>
    <w:basedOn w:val="DefaultParagraphFont"/>
    <w:uiPriority w:val="99"/>
    <w:semiHidden/>
    <w:unhideWhenUsed/>
    <w:rsid w:val="00791C31"/>
  </w:style>
  <w:style w:type="character" w:styleId="LineNumber">
    <w:name w:val="line number"/>
    <w:basedOn w:val="DefaultParagraphFont"/>
    <w:uiPriority w:val="99"/>
    <w:semiHidden/>
    <w:unhideWhenUsed/>
    <w:rsid w:val="00791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21567</Words>
  <Characters>122936</Characters>
  <Application>Microsoft Office Word</Application>
  <DocSecurity>0</DocSecurity>
  <Lines>1024</Lines>
  <Paragraphs>288</Paragraphs>
  <ScaleCrop>false</ScaleCrop>
  <Company>Springer Nature</Company>
  <LinksUpToDate>false</LinksUpToDate>
  <CharactersWithSpaces>144215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2024-09-10T05:26:00Z</dcterms:created>
  <dcterms:modified xsi:type="dcterms:W3CDTF">2024-09-10T05:27:00Z</dcterms:modified>
</cp:coreProperties>
</file>