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31369" w14:textId="76136DA7" w:rsidR="00347A6C" w:rsidRPr="00B61BC1" w:rsidRDefault="00347A6C" w:rsidP="00C442D8">
      <w:pPr>
        <w:spacing w:line="480" w:lineRule="auto"/>
        <w:rPr>
          <w:b/>
          <w:bCs/>
          <w:lang w:val="en-CA"/>
        </w:rPr>
      </w:pPr>
      <w:r w:rsidRPr="00B61BC1">
        <w:rPr>
          <w:b/>
          <w:bCs/>
          <w:lang w:val="en-CA"/>
        </w:rPr>
        <w:t xml:space="preserve">Supplementary Methods </w:t>
      </w:r>
    </w:p>
    <w:p w14:paraId="5ADA47B1" w14:textId="77777777" w:rsidR="00347A6C" w:rsidRPr="003E67F6" w:rsidRDefault="00347A6C" w:rsidP="00C442D8">
      <w:pPr>
        <w:pStyle w:val="BodyText"/>
        <w:spacing w:line="480" w:lineRule="auto"/>
        <w:contextualSpacing/>
        <w:rPr>
          <w:b/>
          <w:bCs/>
          <w:color w:val="000000" w:themeColor="text1"/>
          <w:lang w:val="en-CA"/>
        </w:rPr>
      </w:pPr>
      <w:r w:rsidRPr="003E67F6">
        <w:rPr>
          <w:b/>
          <w:bCs/>
          <w:color w:val="000000" w:themeColor="text1"/>
          <w:lang w:val="en-CA"/>
        </w:rPr>
        <w:t>Genome sequencing and variant annotation</w:t>
      </w:r>
    </w:p>
    <w:p w14:paraId="61EBDE19" w14:textId="6968D46E" w:rsidR="00347A6C" w:rsidRDefault="00347A6C" w:rsidP="00C442D8">
      <w:pPr>
        <w:pStyle w:val="BodyText"/>
        <w:spacing w:line="480" w:lineRule="auto"/>
        <w:contextualSpacing/>
        <w:rPr>
          <w:color w:val="000000" w:themeColor="text1"/>
          <w:lang w:val="en-CA"/>
        </w:rPr>
      </w:pPr>
      <w:r w:rsidRPr="003E67F6">
        <w:rPr>
          <w:color w:val="000000" w:themeColor="text1"/>
          <w:lang w:val="en-CA"/>
        </w:rPr>
        <w:t xml:space="preserve">Genome sequencing data used for this study </w:t>
      </w:r>
      <w:r w:rsidR="00CD23AA">
        <w:rPr>
          <w:color w:val="000000" w:themeColor="text1"/>
          <w:lang w:val="en-CA"/>
        </w:rPr>
        <w:t>were</w:t>
      </w:r>
      <w:r w:rsidRPr="003E67F6">
        <w:rPr>
          <w:color w:val="000000" w:themeColor="text1"/>
          <w:lang w:val="en-CA"/>
        </w:rPr>
        <w:t xml:space="preserve"> </w:t>
      </w:r>
      <w:r>
        <w:rPr>
          <w:color w:val="000000" w:themeColor="text1"/>
          <w:lang w:val="en-CA"/>
        </w:rPr>
        <w:t>generated</w:t>
      </w:r>
      <w:r w:rsidRPr="003E67F6">
        <w:rPr>
          <w:color w:val="000000" w:themeColor="text1"/>
          <w:lang w:val="en-CA"/>
        </w:rPr>
        <w:t xml:space="preserve"> at </w:t>
      </w:r>
      <w:r>
        <w:rPr>
          <w:color w:val="000000" w:themeColor="text1"/>
          <w:lang w:val="en-CA"/>
        </w:rPr>
        <w:t>three</w:t>
      </w:r>
      <w:r w:rsidRPr="003E67F6">
        <w:rPr>
          <w:color w:val="000000" w:themeColor="text1"/>
          <w:lang w:val="en-CA"/>
        </w:rPr>
        <w:t xml:space="preserve"> sites</w:t>
      </w:r>
      <w:r>
        <w:rPr>
          <w:color w:val="000000" w:themeColor="text1"/>
          <w:lang w:val="en-CA"/>
        </w:rPr>
        <w:t>, and processed, broadly, using two pipelines</w:t>
      </w:r>
      <w:r w:rsidR="003D54D8">
        <w:rPr>
          <w:color w:val="000000" w:themeColor="text1"/>
          <w:lang w:val="en-CA"/>
        </w:rPr>
        <w:t xml:space="preserve"> (Supplementary Figure 1)</w:t>
      </w:r>
      <w:r w:rsidRPr="003E67F6">
        <w:rPr>
          <w:color w:val="000000" w:themeColor="text1"/>
          <w:lang w:val="en-CA"/>
        </w:rPr>
        <w:t>.</w:t>
      </w:r>
      <w:r>
        <w:rPr>
          <w:color w:val="000000" w:themeColor="text1"/>
          <w:lang w:val="en-CA"/>
        </w:rPr>
        <w:t xml:space="preserve"> One hundred individuals were sequenced using </w:t>
      </w:r>
      <w:r w:rsidRPr="003E67F6">
        <w:rPr>
          <w:color w:val="000000" w:themeColor="text1"/>
          <w:lang w:val="en-CA"/>
        </w:rPr>
        <w:t xml:space="preserve">the Illumina </w:t>
      </w:r>
      <w:proofErr w:type="spellStart"/>
      <w:r w:rsidRPr="003E67F6">
        <w:rPr>
          <w:color w:val="000000" w:themeColor="text1"/>
          <w:lang w:val="en-CA"/>
        </w:rPr>
        <w:t>HiSeq</w:t>
      </w:r>
      <w:proofErr w:type="spellEnd"/>
      <w:r w:rsidRPr="003E67F6">
        <w:rPr>
          <w:color w:val="000000" w:themeColor="text1"/>
          <w:lang w:val="en-CA"/>
        </w:rPr>
        <w:t xml:space="preserve"> X platform at The Centre for Applied Genomics (TCAG) in Toronto, Canada.</w:t>
      </w:r>
      <w:r w:rsidRPr="00347A6C">
        <w:rPr>
          <w:color w:val="000000" w:themeColor="text1"/>
          <w:lang w:val="en-CA"/>
        </w:rPr>
        <w:t xml:space="preserve"> </w:t>
      </w:r>
      <w:r w:rsidRPr="003E67F6">
        <w:rPr>
          <w:color w:val="000000" w:themeColor="text1"/>
          <w:lang w:val="en-CA"/>
        </w:rPr>
        <w:t xml:space="preserve">Sequencing data for the remaining </w:t>
      </w:r>
      <w:r>
        <w:rPr>
          <w:color w:val="000000" w:themeColor="text1"/>
          <w:lang w:val="en-CA"/>
        </w:rPr>
        <w:t>260</w:t>
      </w:r>
      <w:r w:rsidRPr="003E67F6">
        <w:rPr>
          <w:color w:val="000000" w:themeColor="text1"/>
          <w:lang w:val="en-CA"/>
        </w:rPr>
        <w:t xml:space="preserve"> individuals </w:t>
      </w:r>
      <w:r>
        <w:rPr>
          <w:color w:val="000000" w:themeColor="text1"/>
          <w:lang w:val="en-CA"/>
        </w:rPr>
        <w:t>were</w:t>
      </w:r>
      <w:r w:rsidRPr="003E67F6">
        <w:rPr>
          <w:color w:val="000000" w:themeColor="text1"/>
          <w:lang w:val="en-CA"/>
        </w:rPr>
        <w:t xml:space="preserve"> </w:t>
      </w:r>
      <w:r>
        <w:rPr>
          <w:color w:val="000000" w:themeColor="text1"/>
          <w:lang w:val="en-CA"/>
        </w:rPr>
        <w:t>generated</w:t>
      </w:r>
      <w:r w:rsidRPr="003E67F6">
        <w:rPr>
          <w:color w:val="000000" w:themeColor="text1"/>
          <w:lang w:val="en-CA"/>
        </w:rPr>
        <w:t xml:space="preserve"> </w:t>
      </w:r>
      <w:r>
        <w:rPr>
          <w:color w:val="000000" w:themeColor="text1"/>
          <w:lang w:val="en-CA"/>
        </w:rPr>
        <w:t>by the Centre for Disease Research (CIDR) at Johns Hopkins University using the</w:t>
      </w:r>
      <w:r w:rsidR="009A5198">
        <w:rPr>
          <w:color w:val="000000" w:themeColor="text1"/>
          <w:lang w:val="en-CA"/>
        </w:rPr>
        <w:t xml:space="preserve"> Illumina</w:t>
      </w:r>
      <w:r>
        <w:rPr>
          <w:color w:val="000000" w:themeColor="text1"/>
          <w:lang w:val="en-CA"/>
        </w:rPr>
        <w:t xml:space="preserve"> </w:t>
      </w:r>
      <w:proofErr w:type="spellStart"/>
      <w:r>
        <w:rPr>
          <w:color w:val="000000" w:themeColor="text1"/>
          <w:lang w:val="en-CA"/>
        </w:rPr>
        <w:t>NovaSeq</w:t>
      </w:r>
      <w:proofErr w:type="spellEnd"/>
      <w:r>
        <w:rPr>
          <w:color w:val="000000" w:themeColor="text1"/>
          <w:lang w:val="en-CA"/>
        </w:rPr>
        <w:t xml:space="preserve"> 6000 platform, TCAG using the</w:t>
      </w:r>
      <w:r w:rsidR="00D65273">
        <w:rPr>
          <w:color w:val="000000" w:themeColor="text1"/>
          <w:lang w:val="en-CA"/>
        </w:rPr>
        <w:t xml:space="preserve"> Illumina</w:t>
      </w:r>
      <w:r>
        <w:rPr>
          <w:color w:val="000000" w:themeColor="text1"/>
          <w:lang w:val="en-CA"/>
        </w:rPr>
        <w:t xml:space="preserve"> </w:t>
      </w:r>
      <w:proofErr w:type="spellStart"/>
      <w:r>
        <w:rPr>
          <w:color w:val="000000" w:themeColor="text1"/>
          <w:lang w:val="en-CA"/>
        </w:rPr>
        <w:t>NovaSeq</w:t>
      </w:r>
      <w:proofErr w:type="spellEnd"/>
      <w:r>
        <w:rPr>
          <w:color w:val="000000" w:themeColor="text1"/>
          <w:lang w:val="en-CA"/>
        </w:rPr>
        <w:t xml:space="preserve"> 6000 platform or The International Brain and Behaviour Consortium (IBBC) using the </w:t>
      </w:r>
      <w:r w:rsidRPr="00347A6C">
        <w:rPr>
          <w:color w:val="000000" w:themeColor="text1"/>
        </w:rPr>
        <w:t xml:space="preserve">Illumina </w:t>
      </w:r>
      <w:proofErr w:type="spellStart"/>
      <w:r w:rsidRPr="00347A6C">
        <w:rPr>
          <w:color w:val="000000" w:themeColor="text1"/>
        </w:rPr>
        <w:t>HiSeq</w:t>
      </w:r>
      <w:proofErr w:type="spellEnd"/>
      <w:r w:rsidRPr="00347A6C">
        <w:rPr>
          <w:color w:val="000000" w:themeColor="text1"/>
        </w:rPr>
        <w:t xml:space="preserve"> 2500</w:t>
      </w:r>
      <w:r w:rsidR="00564B57">
        <w:rPr>
          <w:color w:val="000000" w:themeColor="text1"/>
        </w:rPr>
        <w:t xml:space="preserve"> </w:t>
      </w:r>
      <w:r w:rsidR="00860F26">
        <w:rPr>
          <w:color w:val="000000" w:themeColor="text1"/>
        </w:rPr>
        <w:t>or</w:t>
      </w:r>
      <w:r w:rsidR="00D65273">
        <w:rPr>
          <w:color w:val="000000" w:themeColor="text1"/>
        </w:rPr>
        <w:t xml:space="preserve"> Illumina</w:t>
      </w:r>
      <w:r w:rsidR="00860F26">
        <w:rPr>
          <w:color w:val="000000" w:themeColor="text1"/>
        </w:rPr>
        <w:t xml:space="preserve"> </w:t>
      </w:r>
      <w:proofErr w:type="spellStart"/>
      <w:r w:rsidR="00564B57">
        <w:rPr>
          <w:color w:val="000000" w:themeColor="text1"/>
        </w:rPr>
        <w:t>HiSeq</w:t>
      </w:r>
      <w:proofErr w:type="spellEnd"/>
      <w:r w:rsidR="00861209">
        <w:rPr>
          <w:color w:val="000000" w:themeColor="text1"/>
        </w:rPr>
        <w:t xml:space="preserve"> </w:t>
      </w:r>
      <w:r w:rsidR="00564B57">
        <w:rPr>
          <w:color w:val="000000" w:themeColor="text1"/>
        </w:rPr>
        <w:t>X</w:t>
      </w:r>
      <w:r>
        <w:rPr>
          <w:color w:val="000000" w:themeColor="text1"/>
        </w:rPr>
        <w:t xml:space="preserve"> platform (</w:t>
      </w:r>
      <w:r w:rsidR="004D5462">
        <w:rPr>
          <w:color w:val="000000" w:themeColor="text1"/>
        </w:rPr>
        <w:t>see Supplementary Figure 1</w:t>
      </w:r>
      <w:r>
        <w:rPr>
          <w:color w:val="000000" w:themeColor="text1"/>
        </w:rPr>
        <w:t xml:space="preserve"> for numbers of sample</w:t>
      </w:r>
      <w:r w:rsidR="004D5462">
        <w:rPr>
          <w:color w:val="000000" w:themeColor="text1"/>
        </w:rPr>
        <w:t xml:space="preserve">s available from </w:t>
      </w:r>
      <w:r>
        <w:rPr>
          <w:color w:val="000000" w:themeColor="text1"/>
        </w:rPr>
        <w:t>each site)</w:t>
      </w:r>
      <w:r w:rsidRPr="003E67F6">
        <w:rPr>
          <w:color w:val="000000" w:themeColor="text1"/>
          <w:lang w:val="en-CA"/>
        </w:rPr>
        <w:t>.</w:t>
      </w:r>
      <w:r>
        <w:rPr>
          <w:color w:val="000000" w:themeColor="text1"/>
          <w:lang w:val="en-CA"/>
        </w:rPr>
        <w:t xml:space="preserve"> </w:t>
      </w:r>
    </w:p>
    <w:p w14:paraId="0A149DFC" w14:textId="6ADF466A" w:rsidR="00347A6C" w:rsidRDefault="00347A6C" w:rsidP="00C442D8">
      <w:pPr>
        <w:pStyle w:val="BodyText"/>
        <w:spacing w:line="480" w:lineRule="auto"/>
        <w:rPr>
          <w:color w:val="000000" w:themeColor="text1"/>
          <w:lang w:val="en-CA"/>
        </w:rPr>
      </w:pPr>
      <w:r w:rsidRPr="003E67F6">
        <w:rPr>
          <w:color w:val="000000" w:themeColor="text1"/>
          <w:lang w:val="en-CA"/>
        </w:rPr>
        <w:t xml:space="preserve">Detailed sequencing methods </w:t>
      </w:r>
      <w:r w:rsidR="008F6D30">
        <w:rPr>
          <w:color w:val="000000" w:themeColor="text1"/>
          <w:lang w:val="en-CA"/>
        </w:rPr>
        <w:t xml:space="preserve">and </w:t>
      </w:r>
      <w:r w:rsidR="0008370A">
        <w:rPr>
          <w:color w:val="000000" w:themeColor="text1"/>
          <w:lang w:val="en-CA"/>
        </w:rPr>
        <w:t xml:space="preserve">pipeline </w:t>
      </w:r>
      <w:r w:rsidRPr="003E67F6">
        <w:rPr>
          <w:color w:val="000000" w:themeColor="text1"/>
          <w:lang w:val="en-CA"/>
        </w:rPr>
        <w:t>for the TCAG samples</w:t>
      </w:r>
      <w:r>
        <w:rPr>
          <w:color w:val="000000" w:themeColor="text1"/>
          <w:lang w:val="en-CA"/>
        </w:rPr>
        <w:t xml:space="preserve"> sequenced using Illumina </w:t>
      </w:r>
      <w:proofErr w:type="spellStart"/>
      <w:r>
        <w:rPr>
          <w:color w:val="000000" w:themeColor="text1"/>
          <w:lang w:val="en-CA"/>
        </w:rPr>
        <w:t>HiSeq</w:t>
      </w:r>
      <w:proofErr w:type="spellEnd"/>
      <w:r>
        <w:rPr>
          <w:color w:val="000000" w:themeColor="text1"/>
          <w:lang w:val="en-CA"/>
        </w:rPr>
        <w:t xml:space="preserve"> X</w:t>
      </w:r>
      <w:r w:rsidRPr="003E67F6">
        <w:rPr>
          <w:color w:val="000000" w:themeColor="text1"/>
          <w:lang w:val="en-CA"/>
        </w:rPr>
        <w:t xml:space="preserve"> are described in </w:t>
      </w:r>
      <w:proofErr w:type="spellStart"/>
      <w:r w:rsidRPr="003E67F6">
        <w:rPr>
          <w:color w:val="000000" w:themeColor="text1"/>
          <w:lang w:val="en-CA"/>
        </w:rPr>
        <w:t>Mojarad</w:t>
      </w:r>
      <w:proofErr w:type="spellEnd"/>
      <w:r w:rsidRPr="003E67F6">
        <w:rPr>
          <w:color w:val="000000" w:themeColor="text1"/>
          <w:lang w:val="en-CA"/>
        </w:rPr>
        <w:t xml:space="preserve"> et al.</w:t>
      </w:r>
      <w:r w:rsidR="00C23A18">
        <w:rPr>
          <w:color w:val="000000" w:themeColor="text1"/>
          <w:lang w:val="en-CA"/>
        </w:rPr>
        <w:fldChar w:fldCharType="begin"/>
      </w:r>
      <w:r w:rsidR="00C23A18">
        <w:rPr>
          <w:color w:val="000000" w:themeColor="text1"/>
          <w:lang w:val="en-CA"/>
        </w:rPr>
        <w:instrText xml:space="preserve"> ADDIN ZOTERO_ITEM CSL_CITATION {"citationID":"EvoSPluu","properties":{"formattedCitation":"\\super 1\\nosupersub{}","plainCitation":"1","noteIndex":0},"citationItems":[{"id":242,"uris":["http://zotero.org/users/7082558/items/B32LUDXH"],"itemData":{"id":242,"type":"article-journal","abstract":"The range of genetic variation with potential clinical implications in schizophrenia, beyond rare copy number variants (CNVs), remains uncertain. We therefore analyzed genome sequencing data for 259 unrelated adults with schizophrenia from a well-characterized community-based cohort previously examined with chromosomal microarray for CNVs (none with 22q11.2 deletions). We analyzed these genomes for rare high-impact variants considered causal for neurodevelopmental disorders, including single-nucleotide variants (SNVs) and small insertions/deletions (indels), for potential clinical relevance based on findings for neurodevelopmental disorders. Also, we investigated a novel variant type, tandem repeat expansions (TREs), in 45 loci known to be associated with monogenic neurological diseases. We found several of these variants in this schizophrenia population suggesting that these variants have a wider clinical spectrum than previously thought. In addition to known pathogenic CNVs, we identified 11 (4.3%) individuals with clinically relevant SNVs/indels in genes converging on schizophrenia-relevant pathways. Clinical yield was significantly enriched in females and in those with broadly defined learning/intellectual disabilities. Genome analyses also identified variants with potential clinical implications, including TREs (one in DMPK; two in ATXN8OS) and ultra-rare loss-of-function SNVs in ZMYM2 (a novel candidate gene for schizophrenia). Of the 233 individuals with no pathogenic CNVs, we identified rare high-impact variants (i.e., clinically relevant or with potential clinical implications) for 14 individuals (6.0%); some had multiple rare high-impact variants. Mean schizophrenia polygenic risk score was similar between individuals with and without clinically relevant rare genetic variation; common variants were not sufficient for clinical application. These findings broaden the individual and global picture of clinically relevant genetic risk in schizophrenia, and suggest the potential translational value of genome sequencing as a single genetic technology for schizophrenia.","container-title":"Translational Psychiatry","DOI":"10.1038/s41398-021-01211-2","ISSN":"2158-3188","issue":"1","journalAbbreviation":"Transl Psychiatry","language":"en","license":"2021 The Author(s)","page":"1-12","source":"www.nature.com","title":"Genome sequencing broadens the range of contributing variants with clinical implications in schizophrenia","volume":"11","author":[{"family":"Mojarad","given":"Bahareh A."},{"family":"Yin","given":"Yue"},{"family":"Manshaei","given":"Roozbeh"},{"family":"Backstrom","given":"Ian"},{"family":"Costain","given":"Gregory"},{"family":"Heung","given":"Tracy"},{"family":"Merico","given":"Daniele"},{"family":"Marshall","given":"Christian R."},{"family":"Bassett","given":"Anne S."},{"family":"Yuen","given":"Ryan K. C."}],"issued":{"date-parts":[["2021",2,1]]}}}],"schema":"https://github.com/citation-style-language/schema/raw/master/csl-citation.json"} </w:instrText>
      </w:r>
      <w:r w:rsidR="00C23A18">
        <w:rPr>
          <w:color w:val="000000" w:themeColor="text1"/>
          <w:lang w:val="en-CA"/>
        </w:rPr>
        <w:fldChar w:fldCharType="separate"/>
      </w:r>
      <w:r w:rsidR="00C23A18" w:rsidRPr="00C23A18">
        <w:rPr>
          <w:color w:val="000000"/>
          <w:vertAlign w:val="superscript"/>
        </w:rPr>
        <w:t>1</w:t>
      </w:r>
      <w:r w:rsidR="00C23A18">
        <w:rPr>
          <w:color w:val="000000" w:themeColor="text1"/>
          <w:lang w:val="en-CA"/>
        </w:rPr>
        <w:fldChar w:fldCharType="end"/>
      </w:r>
      <w:r w:rsidRPr="003E67F6">
        <w:rPr>
          <w:color w:val="000000" w:themeColor="text1"/>
          <w:lang w:val="en-CA"/>
        </w:rPr>
        <w:t xml:space="preserve">. Briefly, sequenced reads were aligned to the reference genome (GRCh37/hg19) using the Burrows-Wheeler Aligner version 0.7.12 as a sorted binary alignment map (BAM) format. Genome Analysis </w:t>
      </w:r>
      <w:proofErr w:type="spellStart"/>
      <w:r w:rsidRPr="003E67F6">
        <w:rPr>
          <w:color w:val="000000" w:themeColor="text1"/>
          <w:lang w:val="en-CA"/>
        </w:rPr>
        <w:t>ToolKit</w:t>
      </w:r>
      <w:proofErr w:type="spellEnd"/>
      <w:r w:rsidRPr="003E67F6">
        <w:rPr>
          <w:color w:val="000000" w:themeColor="text1"/>
          <w:lang w:val="en-CA"/>
        </w:rPr>
        <w:t xml:space="preserve"> (GATK) (https://gatk.broadinstitute.org/hc/en-us) was used for indel realignment, quality score recalibration and SNV and indel calling</w:t>
      </w:r>
      <w:r w:rsidR="00267696">
        <w:rPr>
          <w:color w:val="000000" w:themeColor="text1"/>
          <w:lang w:val="en-CA"/>
        </w:rPr>
        <w:t xml:space="preserve"> (</w:t>
      </w:r>
      <w:r w:rsidRPr="003E67F6">
        <w:rPr>
          <w:color w:val="000000" w:themeColor="text1"/>
          <w:lang w:val="en-CA"/>
        </w:rPr>
        <w:t>version 3.7.0</w:t>
      </w:r>
      <w:r w:rsidR="00267696">
        <w:rPr>
          <w:color w:val="000000" w:themeColor="text1"/>
          <w:lang w:val="en-CA"/>
        </w:rPr>
        <w:t>)</w:t>
      </w:r>
      <w:r w:rsidRPr="003E67F6">
        <w:rPr>
          <w:color w:val="000000" w:themeColor="text1"/>
          <w:lang w:val="en-CA"/>
        </w:rPr>
        <w:t xml:space="preserve">. </w:t>
      </w:r>
    </w:p>
    <w:p w14:paraId="0322B05D" w14:textId="7704C0E4" w:rsidR="00C95E6B" w:rsidRDefault="00190800" w:rsidP="00C442D8">
      <w:pPr>
        <w:pStyle w:val="BodyText"/>
        <w:spacing w:line="480" w:lineRule="auto"/>
        <w:rPr>
          <w:color w:val="000000" w:themeColor="text1"/>
        </w:rPr>
      </w:pPr>
      <w:r>
        <w:rPr>
          <w:color w:val="000000" w:themeColor="text1"/>
          <w:lang w:val="en-CA"/>
        </w:rPr>
        <w:t>The sa</w:t>
      </w:r>
      <w:r w:rsidR="00C66011">
        <w:rPr>
          <w:color w:val="000000" w:themeColor="text1"/>
          <w:lang w:val="en-CA"/>
        </w:rPr>
        <w:t>mples sequenced at TCAG</w:t>
      </w:r>
      <w:r w:rsidR="005D1E4C">
        <w:rPr>
          <w:color w:val="000000" w:themeColor="text1"/>
          <w:lang w:val="en-CA"/>
        </w:rPr>
        <w:t xml:space="preserve"> </w:t>
      </w:r>
      <w:r w:rsidR="00C66011">
        <w:rPr>
          <w:color w:val="000000" w:themeColor="text1"/>
          <w:lang w:val="en-CA"/>
        </w:rPr>
        <w:t xml:space="preserve">using </w:t>
      </w:r>
      <w:r w:rsidR="008C1691">
        <w:rPr>
          <w:color w:val="000000" w:themeColor="text1"/>
          <w:lang w:val="en-CA"/>
        </w:rPr>
        <w:t xml:space="preserve">the </w:t>
      </w:r>
      <w:r w:rsidR="00C66011">
        <w:rPr>
          <w:color w:val="000000" w:themeColor="text1"/>
          <w:lang w:val="en-CA"/>
        </w:rPr>
        <w:t xml:space="preserve">Illumina </w:t>
      </w:r>
      <w:proofErr w:type="spellStart"/>
      <w:r w:rsidR="00C66011">
        <w:rPr>
          <w:color w:val="000000" w:themeColor="text1"/>
          <w:lang w:val="en-CA"/>
        </w:rPr>
        <w:t>NovaSeq</w:t>
      </w:r>
      <w:proofErr w:type="spellEnd"/>
      <w:r w:rsidR="00C66011">
        <w:rPr>
          <w:color w:val="000000" w:themeColor="text1"/>
          <w:lang w:val="en-CA"/>
        </w:rPr>
        <w:t xml:space="preserve"> 6000 </w:t>
      </w:r>
      <w:r w:rsidR="00C66011" w:rsidRPr="00C66011">
        <w:rPr>
          <w:color w:val="000000" w:themeColor="text1"/>
        </w:rPr>
        <w:t xml:space="preserve">were processed using DRAGEN Bio-IT Platform </w:t>
      </w:r>
      <w:r w:rsidR="00EC7466">
        <w:rPr>
          <w:color w:val="000000" w:themeColor="text1"/>
        </w:rPr>
        <w:t xml:space="preserve">(versions </w:t>
      </w:r>
      <w:r w:rsidR="00C66011" w:rsidRPr="00C66011">
        <w:rPr>
          <w:color w:val="000000" w:themeColor="text1"/>
        </w:rPr>
        <w:t>3.8</w:t>
      </w:r>
      <w:r w:rsidR="00EC7466">
        <w:rPr>
          <w:color w:val="000000" w:themeColor="text1"/>
        </w:rPr>
        <w:t>.4)</w:t>
      </w:r>
      <w:r w:rsidR="00C66011" w:rsidRPr="00C66011">
        <w:rPr>
          <w:color w:val="000000" w:themeColor="text1"/>
        </w:rPr>
        <w:t xml:space="preserve">. Briefly, the reads </w:t>
      </w:r>
      <w:r w:rsidR="00C272EE">
        <w:rPr>
          <w:color w:val="000000" w:themeColor="text1"/>
        </w:rPr>
        <w:t xml:space="preserve">generated </w:t>
      </w:r>
      <w:r w:rsidR="00C66011" w:rsidRPr="00C66011">
        <w:rPr>
          <w:color w:val="000000" w:themeColor="text1"/>
        </w:rPr>
        <w:t>were aligned to GRCh38 human genome reference (hg38-alt-aware-graph). Small variants (</w:t>
      </w:r>
      <w:r w:rsidR="00D65273">
        <w:rPr>
          <w:color w:val="000000" w:themeColor="text1"/>
        </w:rPr>
        <w:t>single nucleotide variants (</w:t>
      </w:r>
      <w:r w:rsidR="00C66011" w:rsidRPr="00C66011">
        <w:rPr>
          <w:color w:val="000000" w:themeColor="text1"/>
        </w:rPr>
        <w:t>SNV</w:t>
      </w:r>
      <w:r w:rsidR="00D65273">
        <w:rPr>
          <w:color w:val="000000" w:themeColor="text1"/>
        </w:rPr>
        <w:t>s)</w:t>
      </w:r>
      <w:r w:rsidR="00C66011" w:rsidRPr="00C66011">
        <w:rPr>
          <w:color w:val="000000" w:themeColor="text1"/>
        </w:rPr>
        <w:t xml:space="preserve"> and Indel), Copy Number Variants (CNVs), Structural Variants (SVs), HLA and Repeat Expansions were called. </w:t>
      </w:r>
    </w:p>
    <w:p w14:paraId="04C386EE" w14:textId="5951A61B" w:rsidR="00D65273" w:rsidRPr="001E73D4" w:rsidRDefault="0046630C" w:rsidP="00C442D8">
      <w:pPr>
        <w:pStyle w:val="BodyText"/>
        <w:spacing w:line="480" w:lineRule="auto"/>
        <w:rPr>
          <w:color w:val="000000" w:themeColor="text1"/>
        </w:rPr>
      </w:pPr>
      <w:r>
        <w:rPr>
          <w:color w:val="000000" w:themeColor="text1"/>
          <w:lang w:val="en-CA"/>
        </w:rPr>
        <w:lastRenderedPageBreak/>
        <w:t xml:space="preserve">The samples sequenced at </w:t>
      </w:r>
      <w:r w:rsidR="0022142E">
        <w:rPr>
          <w:color w:val="000000" w:themeColor="text1"/>
          <w:lang w:val="en-CA"/>
        </w:rPr>
        <w:t>CIDR</w:t>
      </w:r>
      <w:r>
        <w:rPr>
          <w:color w:val="000000" w:themeColor="text1"/>
          <w:lang w:val="en-CA"/>
        </w:rPr>
        <w:t xml:space="preserve"> and </w:t>
      </w:r>
      <w:r w:rsidR="0022142E">
        <w:rPr>
          <w:color w:val="000000" w:themeColor="text1"/>
          <w:lang w:val="en-CA"/>
        </w:rPr>
        <w:t>IBBC</w:t>
      </w:r>
      <w:r>
        <w:rPr>
          <w:color w:val="000000" w:themeColor="text1"/>
          <w:lang w:val="en-CA"/>
        </w:rPr>
        <w:t xml:space="preserve"> </w:t>
      </w:r>
      <w:r w:rsidRPr="00C66011">
        <w:rPr>
          <w:color w:val="000000" w:themeColor="text1"/>
        </w:rPr>
        <w:t xml:space="preserve">were processed using DRAGEN Bio-IT Platform </w:t>
      </w:r>
      <w:r>
        <w:rPr>
          <w:color w:val="000000" w:themeColor="text1"/>
        </w:rPr>
        <w:t>(versions 3.9.5)</w:t>
      </w:r>
      <w:r w:rsidRPr="00C66011">
        <w:rPr>
          <w:color w:val="000000" w:themeColor="text1"/>
        </w:rPr>
        <w:t xml:space="preserve">. </w:t>
      </w:r>
      <w:r w:rsidR="0022142E">
        <w:rPr>
          <w:color w:val="000000" w:themeColor="text1"/>
        </w:rPr>
        <w:t>T</w:t>
      </w:r>
      <w:r w:rsidRPr="00C66011">
        <w:rPr>
          <w:color w:val="000000" w:themeColor="text1"/>
        </w:rPr>
        <w:t xml:space="preserve">he reads </w:t>
      </w:r>
      <w:r>
        <w:rPr>
          <w:color w:val="000000" w:themeColor="text1"/>
        </w:rPr>
        <w:t xml:space="preserve">generated at the two sites </w:t>
      </w:r>
      <w:r w:rsidRPr="00C66011">
        <w:rPr>
          <w:color w:val="000000" w:themeColor="text1"/>
        </w:rPr>
        <w:t>were aligned to GRCh38 human genome reference (</w:t>
      </w:r>
      <w:r w:rsidRPr="005D1E4C">
        <w:rPr>
          <w:color w:val="000000" w:themeColor="text1"/>
        </w:rPr>
        <w:t>hg38-altmasked-cnv-graph-anchor</w:t>
      </w:r>
      <w:r>
        <w:rPr>
          <w:color w:val="000000" w:themeColor="text1"/>
        </w:rPr>
        <w:t xml:space="preserve"> respectively</w:t>
      </w:r>
      <w:r w:rsidRPr="00C66011">
        <w:rPr>
          <w:color w:val="000000" w:themeColor="text1"/>
        </w:rPr>
        <w:t>). Small variants (SNV and Indel), Copy Number Variants (CNVs), Structural Variants (SVs), HLA and Repeat Expansions were called.</w:t>
      </w:r>
    </w:p>
    <w:p w14:paraId="477DBDF4" w14:textId="2CFF74DB" w:rsidR="00347A6C" w:rsidRPr="003E67F6" w:rsidRDefault="00D65273" w:rsidP="00C442D8">
      <w:pPr>
        <w:pStyle w:val="BodyText"/>
        <w:spacing w:line="480" w:lineRule="auto"/>
        <w:rPr>
          <w:color w:val="000000" w:themeColor="text1"/>
          <w:lang w:val="en-CA"/>
        </w:rPr>
      </w:pPr>
      <w:r>
        <w:rPr>
          <w:color w:val="000000" w:themeColor="text1"/>
          <w:lang w:val="en-CA"/>
        </w:rPr>
        <w:t>For this study, only the variants in the genomic coordinates listed in published polygenic risk scores for height (</w:t>
      </w:r>
      <w:r w:rsidRPr="00B67C6E">
        <w:t>PGS002804</w:t>
      </w:r>
      <w:r>
        <w:t>)</w:t>
      </w:r>
      <w:r>
        <w:rPr>
          <w:color w:val="000000" w:themeColor="text1"/>
          <w:lang w:val="en-CA"/>
        </w:rPr>
        <w:t xml:space="preserve"> and BMI (</w:t>
      </w:r>
      <w:r w:rsidRPr="00B67C6E">
        <w:t>PGS000027</w:t>
      </w:r>
      <w:r>
        <w:t>)</w:t>
      </w:r>
      <w:r>
        <w:rPr>
          <w:color w:val="000000" w:themeColor="text1"/>
          <w:lang w:val="en-CA"/>
        </w:rPr>
        <w:t xml:space="preserve"> were used. For the batches where genomes were aligned to GRCh38, the genomic coordinates of the</w:t>
      </w:r>
      <w:r w:rsidR="00965136">
        <w:rPr>
          <w:color w:val="000000" w:themeColor="text1"/>
          <w:lang w:val="en-CA"/>
        </w:rPr>
        <w:t xml:space="preserve"> variants in the PRSs were mapped to GRCh37 coordinates </w:t>
      </w:r>
      <w:r w:rsidR="00667EB4">
        <w:rPr>
          <w:color w:val="000000" w:themeColor="text1"/>
          <w:lang w:val="en-CA"/>
        </w:rPr>
        <w:t xml:space="preserve">to match the genome build of the PRS. </w:t>
      </w:r>
      <w:r w:rsidR="00347A6C" w:rsidRPr="003E67F6">
        <w:rPr>
          <w:color w:val="000000" w:themeColor="text1"/>
          <w:lang w:val="en-CA"/>
        </w:rPr>
        <w:t xml:space="preserve">Variants located on sex chromosomes or in the 22q11.2 </w:t>
      </w:r>
      <w:r w:rsidR="00EA1FD1">
        <w:rPr>
          <w:color w:val="000000" w:themeColor="text1"/>
          <w:lang w:val="en-CA"/>
        </w:rPr>
        <w:t>micro</w:t>
      </w:r>
      <w:r w:rsidR="00347A6C" w:rsidRPr="003E67F6">
        <w:rPr>
          <w:color w:val="000000" w:themeColor="text1"/>
          <w:lang w:val="en-CA"/>
        </w:rPr>
        <w:t>deletion</w:t>
      </w:r>
      <w:r w:rsidR="00143BC5">
        <w:rPr>
          <w:color w:val="000000" w:themeColor="text1"/>
          <w:lang w:val="en-CA"/>
        </w:rPr>
        <w:t xml:space="preserve"> LCR22A–D</w:t>
      </w:r>
      <w:r w:rsidR="00347A6C" w:rsidRPr="003E67F6">
        <w:rPr>
          <w:color w:val="000000" w:themeColor="text1"/>
          <w:lang w:val="en-CA"/>
        </w:rPr>
        <w:t xml:space="preserve"> region (chr22:18,912,231–21,465,672 [GRCh37]) were excluded from all analyses. </w:t>
      </w:r>
    </w:p>
    <w:p w14:paraId="3DED1C06" w14:textId="77777777" w:rsidR="00347A6C" w:rsidRPr="003E67F6" w:rsidRDefault="00347A6C" w:rsidP="00C442D8">
      <w:pPr>
        <w:pStyle w:val="BodyText"/>
        <w:spacing w:line="480" w:lineRule="auto"/>
        <w:rPr>
          <w:color w:val="000000" w:themeColor="text1"/>
          <w:lang w:val="en-CA"/>
        </w:rPr>
      </w:pPr>
    </w:p>
    <w:p w14:paraId="4C58EF9D" w14:textId="77777777" w:rsidR="00347A6C" w:rsidRPr="003E67F6" w:rsidRDefault="00347A6C" w:rsidP="00C442D8">
      <w:pPr>
        <w:pStyle w:val="BodyText"/>
        <w:spacing w:line="480" w:lineRule="auto"/>
        <w:contextualSpacing/>
        <w:rPr>
          <w:b/>
          <w:bCs/>
          <w:color w:val="000000" w:themeColor="text1"/>
          <w:lang w:val="en-CA"/>
        </w:rPr>
      </w:pPr>
      <w:r w:rsidRPr="003E67F6">
        <w:rPr>
          <w:b/>
          <w:bCs/>
          <w:color w:val="000000" w:themeColor="text1"/>
          <w:lang w:val="en-CA"/>
        </w:rPr>
        <w:t xml:space="preserve">Common variant quality control (QC) </w:t>
      </w:r>
    </w:p>
    <w:p w14:paraId="0AED4749" w14:textId="07419120" w:rsidR="00347A6C" w:rsidRPr="003E67F6" w:rsidRDefault="00347A6C" w:rsidP="00C442D8">
      <w:pPr>
        <w:pStyle w:val="BodyText"/>
        <w:spacing w:line="480" w:lineRule="auto"/>
        <w:contextualSpacing/>
        <w:rPr>
          <w:color w:val="000000" w:themeColor="text1"/>
          <w:lang w:val="en-CA"/>
        </w:rPr>
      </w:pPr>
      <w:r w:rsidRPr="003E67F6">
        <w:rPr>
          <w:color w:val="000000" w:themeColor="text1"/>
          <w:lang w:val="en-CA"/>
        </w:rPr>
        <w:t>Standard GWAS QC filters were applied, using PLINK v1.9, to the subset of SNPs extracted from sequencing files that were contained in previously constructed</w:t>
      </w:r>
      <w:r w:rsidR="00131C80">
        <w:rPr>
          <w:color w:val="000000" w:themeColor="text1"/>
          <w:lang w:val="en-CA"/>
        </w:rPr>
        <w:t xml:space="preserve"> population-based</w:t>
      </w:r>
      <w:r w:rsidRPr="003E67F6">
        <w:rPr>
          <w:color w:val="000000" w:themeColor="text1"/>
          <w:lang w:val="en-CA"/>
        </w:rPr>
        <w:t xml:space="preserve"> polygenic risk scores</w:t>
      </w:r>
      <w:r>
        <w:rPr>
          <w:color w:val="000000" w:themeColor="text1"/>
          <w:lang w:val="en-CA"/>
        </w:rPr>
        <w:t xml:space="preserve"> (</w:t>
      </w:r>
      <w:r>
        <w:rPr>
          <w:lang w:val="en-CA"/>
        </w:rPr>
        <w:t xml:space="preserve">height: </w:t>
      </w:r>
      <w:r w:rsidRPr="00B67C6E">
        <w:t>PGS002804</w:t>
      </w:r>
      <w:r>
        <w:t xml:space="preserve">, BMI: </w:t>
      </w:r>
      <w:r w:rsidRPr="00B67C6E">
        <w:t>PGS000027</w:t>
      </w:r>
      <w:r>
        <w:t>)</w:t>
      </w:r>
      <w:r>
        <w:rPr>
          <w:color w:val="000000" w:themeColor="text1"/>
          <w:lang w:val="en-CA"/>
        </w:rPr>
        <w:t>. SNPs were excluded using the following thresholds:</w:t>
      </w:r>
      <w:r w:rsidRPr="003E67F6">
        <w:rPr>
          <w:color w:val="000000" w:themeColor="text1"/>
          <w:lang w:val="en-CA"/>
        </w:rPr>
        <w:t xml:space="preserve"> minor allele frequency (MAF) &lt;1%, missingness rate &gt;1%, and Hardy-Weinberg equilibrium exact test p value &lt;1x10</w:t>
      </w:r>
      <w:r w:rsidRPr="003E67F6">
        <w:rPr>
          <w:color w:val="000000" w:themeColor="text1"/>
          <w:vertAlign w:val="superscript"/>
          <w:lang w:val="en-CA"/>
        </w:rPr>
        <w:t>-6</w:t>
      </w:r>
      <w:r>
        <w:rPr>
          <w:color w:val="000000" w:themeColor="text1"/>
          <w:lang w:val="en-CA"/>
        </w:rPr>
        <w:t>. I</w:t>
      </w:r>
      <w:r w:rsidRPr="003E67F6">
        <w:rPr>
          <w:color w:val="000000" w:themeColor="text1"/>
          <w:lang w:val="en-CA"/>
        </w:rPr>
        <w:t xml:space="preserve">ndividuals </w:t>
      </w:r>
      <w:r>
        <w:rPr>
          <w:color w:val="000000" w:themeColor="text1"/>
          <w:lang w:val="en-CA"/>
        </w:rPr>
        <w:t xml:space="preserve">were excluding using the following thresholds: </w:t>
      </w:r>
      <w:r w:rsidRPr="003E67F6">
        <w:rPr>
          <w:color w:val="000000" w:themeColor="text1"/>
          <w:lang w:val="en-CA"/>
        </w:rPr>
        <w:t xml:space="preserve">genotype missingness rate &gt;1%, heterozygosity rate that deviated more than three standard deviations from the mean, and </w:t>
      </w:r>
      <w:r>
        <w:rPr>
          <w:color w:val="000000" w:themeColor="text1"/>
          <w:lang w:val="en-CA"/>
        </w:rPr>
        <w:t>king-cutoff of 0.25</w:t>
      </w:r>
      <w:r w:rsidRPr="003E67F6">
        <w:rPr>
          <w:color w:val="000000" w:themeColor="text1"/>
          <w:lang w:val="en-CA"/>
        </w:rPr>
        <w:t xml:space="preserve"> (</w:t>
      </w:r>
      <w:r>
        <w:rPr>
          <w:color w:val="000000" w:themeColor="text1"/>
          <w:lang w:val="en-CA"/>
        </w:rPr>
        <w:t>first degree relative)</w:t>
      </w:r>
      <w:r w:rsidRPr="003E67F6">
        <w:rPr>
          <w:color w:val="000000" w:themeColor="text1"/>
          <w:lang w:val="en-CA"/>
        </w:rPr>
        <w:t xml:space="preserve">. Using these filters, </w:t>
      </w:r>
      <w:r>
        <w:rPr>
          <w:color w:val="000000" w:themeColor="text1"/>
          <w:lang w:val="en-CA"/>
        </w:rPr>
        <w:t>one</w:t>
      </w:r>
      <w:r w:rsidRPr="003E67F6">
        <w:rPr>
          <w:color w:val="000000" w:themeColor="text1"/>
          <w:lang w:val="en-CA"/>
        </w:rPr>
        <w:t xml:space="preserve"> individual</w:t>
      </w:r>
      <w:r>
        <w:rPr>
          <w:color w:val="000000" w:themeColor="text1"/>
          <w:lang w:val="en-CA"/>
        </w:rPr>
        <w:t xml:space="preserve"> was </w:t>
      </w:r>
      <w:r w:rsidRPr="003E67F6">
        <w:rPr>
          <w:color w:val="000000" w:themeColor="text1"/>
          <w:lang w:val="en-CA"/>
        </w:rPr>
        <w:t xml:space="preserve">excluded from subsequent analyses for outlying heterozygosity). </w:t>
      </w:r>
    </w:p>
    <w:p w14:paraId="4BD4688D" w14:textId="77777777" w:rsidR="00347A6C" w:rsidRPr="003E67F6" w:rsidRDefault="00347A6C" w:rsidP="00C442D8">
      <w:pPr>
        <w:pStyle w:val="BodyText"/>
        <w:spacing w:line="480" w:lineRule="auto"/>
        <w:contextualSpacing/>
        <w:rPr>
          <w:color w:val="000000" w:themeColor="text1"/>
          <w:lang w:val="en-CA"/>
        </w:rPr>
      </w:pPr>
    </w:p>
    <w:p w14:paraId="2EBBC96F" w14:textId="5F1377A3" w:rsidR="00347A6C" w:rsidRPr="003E67F6" w:rsidRDefault="00347A6C" w:rsidP="00C442D8">
      <w:pPr>
        <w:pStyle w:val="BodyText"/>
        <w:spacing w:line="480" w:lineRule="auto"/>
        <w:contextualSpacing/>
        <w:rPr>
          <w:b/>
          <w:bCs/>
          <w:color w:val="000000" w:themeColor="text1"/>
          <w:lang w:val="en-CA"/>
        </w:rPr>
      </w:pPr>
      <w:r w:rsidRPr="003E67F6">
        <w:rPr>
          <w:b/>
          <w:bCs/>
          <w:color w:val="000000" w:themeColor="text1"/>
          <w:lang w:val="en-CA"/>
        </w:rPr>
        <w:t>Principal component analyses (PCA)</w:t>
      </w:r>
      <w:r w:rsidR="00BB6B8B">
        <w:rPr>
          <w:b/>
          <w:bCs/>
          <w:color w:val="000000" w:themeColor="text1"/>
          <w:lang w:val="en-CA"/>
        </w:rPr>
        <w:t xml:space="preserve"> and ancestry assignment </w:t>
      </w:r>
    </w:p>
    <w:p w14:paraId="752B637D" w14:textId="6777AD34" w:rsidR="00347A6C" w:rsidRDefault="000F0DEC" w:rsidP="00C442D8">
      <w:pPr>
        <w:pStyle w:val="BodyText"/>
        <w:spacing w:line="480" w:lineRule="auto"/>
        <w:contextualSpacing/>
        <w:rPr>
          <w:color w:val="000000" w:themeColor="text1"/>
          <w:lang w:val="en-CA"/>
        </w:rPr>
      </w:pPr>
      <w:r>
        <w:rPr>
          <w:color w:val="000000" w:themeColor="text1"/>
          <w:lang w:val="en-CA"/>
        </w:rPr>
        <w:lastRenderedPageBreak/>
        <w:t>To assess ancestry, we</w:t>
      </w:r>
      <w:r w:rsidR="00347A6C" w:rsidRPr="003E67F6">
        <w:rPr>
          <w:color w:val="000000" w:themeColor="text1"/>
          <w:lang w:val="en-CA"/>
        </w:rPr>
        <w:t xml:space="preserve"> first restricted the set of SNPs extracted for PRS analyses to SNPs of previously </w:t>
      </w:r>
      <w:proofErr w:type="spellStart"/>
      <w:r w:rsidR="00347A6C" w:rsidRPr="003E67F6">
        <w:rPr>
          <w:color w:val="000000" w:themeColor="text1"/>
          <w:lang w:val="en-CA"/>
        </w:rPr>
        <w:t>QC’d</w:t>
      </w:r>
      <w:proofErr w:type="spellEnd"/>
      <w:r w:rsidR="00347A6C" w:rsidRPr="003E67F6">
        <w:rPr>
          <w:color w:val="000000" w:themeColor="text1"/>
          <w:lang w:val="en-CA"/>
        </w:rPr>
        <w:t xml:space="preserve"> 1000 Genomes data with assigned ancestry (http://www.tcag.ca/tools/1000genomes.html). The genotype data of individuals from this study were then merged with the </w:t>
      </w:r>
      <w:proofErr w:type="spellStart"/>
      <w:r w:rsidR="00347A6C" w:rsidRPr="003E67F6">
        <w:rPr>
          <w:color w:val="000000" w:themeColor="text1"/>
          <w:lang w:val="en-CA"/>
        </w:rPr>
        <w:t>QC’d</w:t>
      </w:r>
      <w:proofErr w:type="spellEnd"/>
      <w:r w:rsidR="00347A6C" w:rsidRPr="003E67F6">
        <w:rPr>
          <w:color w:val="000000" w:themeColor="text1"/>
          <w:lang w:val="en-CA"/>
        </w:rPr>
        <w:t xml:space="preserve"> 1000 Genomes data, and SNPs were pruned using the PLINK command --</w:t>
      </w:r>
      <w:proofErr w:type="spellStart"/>
      <w:r w:rsidR="00347A6C" w:rsidRPr="003E67F6">
        <w:rPr>
          <w:color w:val="000000" w:themeColor="text1"/>
          <w:lang w:val="en-CA"/>
        </w:rPr>
        <w:t>indep</w:t>
      </w:r>
      <w:proofErr w:type="spellEnd"/>
      <w:r w:rsidR="00347A6C" w:rsidRPr="003E67F6">
        <w:rPr>
          <w:color w:val="000000" w:themeColor="text1"/>
          <w:lang w:val="en-CA"/>
        </w:rPr>
        <w:t>-pairwise (200 variant window size, step size of 100 variants, and pruning variants with r</w:t>
      </w:r>
      <w:r w:rsidR="00347A6C" w:rsidRPr="003E67F6">
        <w:rPr>
          <w:color w:val="000000" w:themeColor="text1"/>
          <w:vertAlign w:val="superscript"/>
          <w:lang w:val="en-CA"/>
        </w:rPr>
        <w:t>2</w:t>
      </w:r>
      <w:r w:rsidR="00347A6C" w:rsidRPr="003E67F6">
        <w:rPr>
          <w:color w:val="000000" w:themeColor="text1"/>
          <w:lang w:val="en-CA"/>
        </w:rPr>
        <w:t xml:space="preserve">&gt;0.1), which left </w:t>
      </w:r>
      <w:r w:rsidR="00BB6B8B" w:rsidRPr="00BB6B8B">
        <w:rPr>
          <w:color w:val="000000" w:themeColor="text1"/>
          <w:lang w:val="en-CA"/>
        </w:rPr>
        <w:t>70</w:t>
      </w:r>
      <w:r w:rsidR="00BB6B8B">
        <w:rPr>
          <w:color w:val="000000" w:themeColor="text1"/>
          <w:lang w:val="en-CA"/>
        </w:rPr>
        <w:t>,</w:t>
      </w:r>
      <w:r w:rsidR="00BB6B8B" w:rsidRPr="00BB6B8B">
        <w:rPr>
          <w:color w:val="000000" w:themeColor="text1"/>
          <w:lang w:val="en-CA"/>
        </w:rPr>
        <w:t>248</w:t>
      </w:r>
      <w:r w:rsidR="00BB6B8B">
        <w:rPr>
          <w:color w:val="000000" w:themeColor="text1"/>
          <w:lang w:val="en-CA"/>
        </w:rPr>
        <w:t xml:space="preserve"> </w:t>
      </w:r>
      <w:r w:rsidR="00347A6C" w:rsidRPr="003E67F6">
        <w:rPr>
          <w:color w:val="000000" w:themeColor="text1"/>
          <w:lang w:val="en-CA"/>
        </w:rPr>
        <w:t>SNP</w:t>
      </w:r>
      <w:r w:rsidR="00BB6B8B">
        <w:rPr>
          <w:color w:val="000000" w:themeColor="text1"/>
          <w:lang w:val="en-CA"/>
        </w:rPr>
        <w:t>s</w:t>
      </w:r>
      <w:r w:rsidR="00347A6C" w:rsidRPr="003E67F6">
        <w:rPr>
          <w:color w:val="000000" w:themeColor="text1"/>
          <w:lang w:val="en-CA"/>
        </w:rPr>
        <w:t>. Principal components were then generated using the --</w:t>
      </w:r>
      <w:proofErr w:type="spellStart"/>
      <w:r w:rsidR="00347A6C" w:rsidRPr="003E67F6">
        <w:rPr>
          <w:color w:val="000000" w:themeColor="text1"/>
          <w:lang w:val="en-CA"/>
        </w:rPr>
        <w:t>pca</w:t>
      </w:r>
      <w:proofErr w:type="spellEnd"/>
      <w:r w:rsidR="00347A6C" w:rsidRPr="003E67F6">
        <w:rPr>
          <w:color w:val="000000" w:themeColor="text1"/>
          <w:lang w:val="en-CA"/>
        </w:rPr>
        <w:t xml:space="preserve"> command. </w:t>
      </w:r>
    </w:p>
    <w:p w14:paraId="3B69D398" w14:textId="77777777" w:rsidR="00BB6B8B" w:rsidRDefault="00BB6B8B" w:rsidP="00C442D8">
      <w:pPr>
        <w:pStyle w:val="BodyText"/>
        <w:spacing w:line="480" w:lineRule="auto"/>
        <w:contextualSpacing/>
        <w:rPr>
          <w:color w:val="000000" w:themeColor="text1"/>
          <w:lang w:val="en-CA"/>
        </w:rPr>
      </w:pPr>
    </w:p>
    <w:p w14:paraId="6ACFA1E0" w14:textId="4FA41B01" w:rsidR="00082F6E" w:rsidRDefault="00082F6E" w:rsidP="00C442D8">
      <w:pPr>
        <w:pStyle w:val="BodyText"/>
        <w:spacing w:line="480" w:lineRule="auto"/>
        <w:contextualSpacing/>
        <w:rPr>
          <w:color w:val="000000" w:themeColor="text1"/>
          <w:lang w:val="en-CA"/>
        </w:rPr>
      </w:pPr>
      <w:r>
        <w:rPr>
          <w:color w:val="000000" w:themeColor="text1"/>
          <w:lang w:val="en-CA"/>
        </w:rPr>
        <w:t xml:space="preserve">Ancestry for individuals in this study was assigned first using clinically documented ethnicity. To verify this data, we plotted pair-wise PCs of our cohort, relying primary on the first two, against a backdrop of the assigned ancestry from the </w:t>
      </w:r>
      <w:proofErr w:type="spellStart"/>
      <w:r>
        <w:rPr>
          <w:color w:val="000000" w:themeColor="text1"/>
          <w:lang w:val="en-CA"/>
        </w:rPr>
        <w:t>QC’d</w:t>
      </w:r>
      <w:proofErr w:type="spellEnd"/>
      <w:r>
        <w:rPr>
          <w:color w:val="000000" w:themeColor="text1"/>
          <w:lang w:val="en-CA"/>
        </w:rPr>
        <w:t xml:space="preserve"> 1000 Genomes data. We visually inspected for any discrepancies between the clinically documented ancestry and where the individual is located in relation to the 1000 Genomes labelled populations on the PCA plots. Six discrepancies were noted where further investigation of clinical records showed that the ancestry inferred by PCA was correct, and these individuals were re-categorized accordingly. Additionally, there were two individuals who appeared to be of European ancestry from PCA, but we confirmed that they had documented indigenous-Canadian status</w:t>
      </w:r>
      <w:r w:rsidR="007027B8">
        <w:rPr>
          <w:color w:val="000000" w:themeColor="text1"/>
          <w:lang w:val="en-CA"/>
        </w:rPr>
        <w:t xml:space="preserve"> and were of indigenous background on one side of the family (categorized a</w:t>
      </w:r>
      <w:r w:rsidR="00D334F2">
        <w:rPr>
          <w:color w:val="000000" w:themeColor="text1"/>
          <w:lang w:val="en-CA"/>
        </w:rPr>
        <w:t>s</w:t>
      </w:r>
      <w:r w:rsidR="007027B8">
        <w:rPr>
          <w:color w:val="000000" w:themeColor="text1"/>
          <w:lang w:val="en-CA"/>
        </w:rPr>
        <w:t xml:space="preserve"> “mixed”)</w:t>
      </w:r>
      <w:r>
        <w:rPr>
          <w:color w:val="000000" w:themeColor="text1"/>
          <w:lang w:val="en-CA"/>
        </w:rPr>
        <w:t xml:space="preserve">, and were thus excluded from the European </w:t>
      </w:r>
      <w:r w:rsidR="004941BD">
        <w:rPr>
          <w:color w:val="000000" w:themeColor="text1"/>
          <w:lang w:val="en-CA"/>
        </w:rPr>
        <w:t xml:space="preserve">ancestry </w:t>
      </w:r>
      <w:r>
        <w:rPr>
          <w:color w:val="000000" w:themeColor="text1"/>
          <w:lang w:val="en-CA"/>
        </w:rPr>
        <w:t xml:space="preserve">cohort. </w:t>
      </w:r>
    </w:p>
    <w:p w14:paraId="7316DE94" w14:textId="129D3092" w:rsidR="00C23A18" w:rsidRDefault="00C23A18" w:rsidP="00C442D8">
      <w:pPr>
        <w:spacing w:line="480" w:lineRule="auto"/>
        <w:rPr>
          <w:rFonts w:eastAsia="Times New Roman"/>
          <w:color w:val="000000" w:themeColor="text1"/>
          <w:kern w:val="0"/>
          <w:szCs w:val="20"/>
          <w:lang w:val="en-CA" w:eastAsia="en-CA"/>
          <w14:ligatures w14:val="none"/>
        </w:rPr>
      </w:pPr>
      <w:r>
        <w:rPr>
          <w:color w:val="000000" w:themeColor="text1"/>
          <w:lang w:val="en-CA"/>
        </w:rPr>
        <w:br w:type="page"/>
      </w:r>
    </w:p>
    <w:p w14:paraId="335D1633" w14:textId="5618BD75" w:rsidR="00082F6E" w:rsidRPr="00E476E1" w:rsidRDefault="00C23A18" w:rsidP="00347A6C">
      <w:pPr>
        <w:pStyle w:val="BodyText"/>
        <w:spacing w:line="240" w:lineRule="auto"/>
        <w:contextualSpacing/>
        <w:rPr>
          <w:b/>
          <w:bCs/>
          <w:color w:val="000000" w:themeColor="text1"/>
          <w:lang w:val="en-CA"/>
        </w:rPr>
      </w:pPr>
      <w:r w:rsidRPr="00E476E1">
        <w:rPr>
          <w:b/>
          <w:bCs/>
          <w:color w:val="000000" w:themeColor="text1"/>
          <w:lang w:val="en-CA"/>
        </w:rPr>
        <w:lastRenderedPageBreak/>
        <w:t xml:space="preserve">References </w:t>
      </w:r>
    </w:p>
    <w:p w14:paraId="59F24621" w14:textId="77777777" w:rsidR="00C23A18" w:rsidRDefault="00C23A18" w:rsidP="00347A6C">
      <w:pPr>
        <w:pStyle w:val="BodyText"/>
        <w:spacing w:line="240" w:lineRule="auto"/>
        <w:contextualSpacing/>
        <w:rPr>
          <w:color w:val="000000" w:themeColor="text1"/>
          <w:lang w:val="en-CA"/>
        </w:rPr>
      </w:pPr>
    </w:p>
    <w:p w14:paraId="40F3A073" w14:textId="77777777" w:rsidR="00C23A18" w:rsidRPr="00C23A18" w:rsidRDefault="00C23A18" w:rsidP="00C23A18">
      <w:pPr>
        <w:pStyle w:val="Bibliography"/>
        <w:rPr>
          <w:color w:val="000000"/>
        </w:rPr>
      </w:pPr>
      <w:r>
        <w:rPr>
          <w:color w:val="000000" w:themeColor="text1"/>
          <w:lang w:val="en-CA"/>
        </w:rPr>
        <w:fldChar w:fldCharType="begin"/>
      </w:r>
      <w:r>
        <w:rPr>
          <w:color w:val="000000" w:themeColor="text1"/>
          <w:lang w:val="en-CA"/>
        </w:rPr>
        <w:instrText xml:space="preserve"> ADDIN ZOTERO_BIBL {"uncited":[],"omitted":[],"custom":[]} CSL_BIBLIOGRAPHY </w:instrText>
      </w:r>
      <w:r>
        <w:rPr>
          <w:color w:val="000000" w:themeColor="text1"/>
          <w:lang w:val="en-CA"/>
        </w:rPr>
        <w:fldChar w:fldCharType="separate"/>
      </w:r>
      <w:r w:rsidRPr="00C23A18">
        <w:rPr>
          <w:color w:val="000000"/>
        </w:rPr>
        <w:t>1.</w:t>
      </w:r>
      <w:r w:rsidRPr="00C23A18">
        <w:rPr>
          <w:color w:val="000000"/>
        </w:rPr>
        <w:tab/>
        <w:t xml:space="preserve">Mojarad, B. A. </w:t>
      </w:r>
      <w:r w:rsidRPr="00C23A18">
        <w:rPr>
          <w:i/>
          <w:iCs/>
          <w:color w:val="000000"/>
        </w:rPr>
        <w:t>et al.</w:t>
      </w:r>
      <w:r w:rsidRPr="00C23A18">
        <w:rPr>
          <w:color w:val="000000"/>
        </w:rPr>
        <w:t xml:space="preserve"> Genome sequencing broadens the range of contributing variants with clinical implications in schizophrenia. </w:t>
      </w:r>
      <w:r w:rsidRPr="00C23A18">
        <w:rPr>
          <w:i/>
          <w:iCs/>
          <w:color w:val="000000"/>
        </w:rPr>
        <w:t>Transl Psychiatry</w:t>
      </w:r>
      <w:r w:rsidRPr="00C23A18">
        <w:rPr>
          <w:color w:val="000000"/>
        </w:rPr>
        <w:t xml:space="preserve"> </w:t>
      </w:r>
      <w:r w:rsidRPr="00C23A18">
        <w:rPr>
          <w:b/>
          <w:bCs/>
          <w:color w:val="000000"/>
        </w:rPr>
        <w:t>11</w:t>
      </w:r>
      <w:r w:rsidRPr="00C23A18">
        <w:rPr>
          <w:color w:val="000000"/>
        </w:rPr>
        <w:t>, 1–12 (2021).</w:t>
      </w:r>
    </w:p>
    <w:p w14:paraId="4B7B6DE3" w14:textId="733FFFED" w:rsidR="00C23A18" w:rsidRDefault="00C23A18" w:rsidP="00347A6C">
      <w:pPr>
        <w:pStyle w:val="BodyText"/>
        <w:spacing w:line="240" w:lineRule="auto"/>
        <w:contextualSpacing/>
        <w:rPr>
          <w:color w:val="000000" w:themeColor="text1"/>
          <w:lang w:val="en-CA"/>
        </w:rPr>
      </w:pPr>
      <w:r>
        <w:rPr>
          <w:color w:val="000000" w:themeColor="text1"/>
          <w:lang w:val="en-CA"/>
        </w:rPr>
        <w:fldChar w:fldCharType="end"/>
      </w:r>
    </w:p>
    <w:p w14:paraId="1167987F" w14:textId="77777777" w:rsidR="00082F6E" w:rsidRPr="003E67F6" w:rsidRDefault="00082F6E" w:rsidP="00347A6C">
      <w:pPr>
        <w:pStyle w:val="BodyText"/>
        <w:spacing w:line="240" w:lineRule="auto"/>
        <w:contextualSpacing/>
        <w:rPr>
          <w:color w:val="000000" w:themeColor="text1"/>
          <w:lang w:val="en-CA"/>
        </w:rPr>
      </w:pPr>
    </w:p>
    <w:p w14:paraId="610A1526" w14:textId="77777777" w:rsidR="00347A6C" w:rsidRDefault="00347A6C" w:rsidP="00347A6C">
      <w:pPr>
        <w:rPr>
          <w:lang w:val="en-CA"/>
        </w:rPr>
      </w:pPr>
    </w:p>
    <w:p w14:paraId="0298B843" w14:textId="77777777" w:rsidR="00347A6C" w:rsidRDefault="00347A6C" w:rsidP="00347A6C">
      <w:pPr>
        <w:rPr>
          <w:lang w:val="en-CA"/>
        </w:rPr>
      </w:pPr>
    </w:p>
    <w:p w14:paraId="653D1917" w14:textId="77777777" w:rsidR="00347A6C" w:rsidRPr="00347A6C" w:rsidRDefault="00347A6C" w:rsidP="00347A6C">
      <w:pPr>
        <w:rPr>
          <w:lang w:val="en-CA"/>
        </w:rPr>
      </w:pPr>
    </w:p>
    <w:sectPr w:rsidR="00347A6C" w:rsidRPr="00347A6C" w:rsidSect="00630AFD">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A12F2" w14:textId="77777777" w:rsidR="001B3AA8" w:rsidRDefault="001B3AA8" w:rsidP="007027B8">
      <w:r>
        <w:separator/>
      </w:r>
    </w:p>
  </w:endnote>
  <w:endnote w:type="continuationSeparator" w:id="0">
    <w:p w14:paraId="536BCB7C" w14:textId="77777777" w:rsidR="001B3AA8" w:rsidRDefault="001B3AA8" w:rsidP="0070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39666895"/>
      <w:docPartObj>
        <w:docPartGallery w:val="Page Numbers (Bottom of Page)"/>
        <w:docPartUnique/>
      </w:docPartObj>
    </w:sdtPr>
    <w:sdtContent>
      <w:p w14:paraId="1269D4C3" w14:textId="760558F0" w:rsidR="00455453" w:rsidRDefault="00455453" w:rsidP="00A959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3C1E78" w14:textId="77777777" w:rsidR="00455453" w:rsidRDefault="00455453" w:rsidP="004554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11349635"/>
      <w:docPartObj>
        <w:docPartGallery w:val="Page Numbers (Bottom of Page)"/>
        <w:docPartUnique/>
      </w:docPartObj>
    </w:sdtPr>
    <w:sdtContent>
      <w:p w14:paraId="0A56CDB4" w14:textId="0993EF76" w:rsidR="00455453" w:rsidRDefault="00455453" w:rsidP="00A959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FCC678" w14:textId="77777777" w:rsidR="00455453" w:rsidRDefault="00455453" w:rsidP="004554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5588C" w14:textId="77777777" w:rsidR="001B3AA8" w:rsidRDefault="001B3AA8" w:rsidP="007027B8">
      <w:r>
        <w:separator/>
      </w:r>
    </w:p>
  </w:footnote>
  <w:footnote w:type="continuationSeparator" w:id="0">
    <w:p w14:paraId="694B126E" w14:textId="77777777" w:rsidR="001B3AA8" w:rsidRDefault="001B3AA8" w:rsidP="0070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65671" w14:textId="4D9572C9" w:rsidR="00455453" w:rsidRDefault="00B830B7">
    <w:pPr>
      <w:pStyle w:val="Header"/>
    </w:pPr>
    <w:r>
      <w:rPr>
        <w:lang w:val="en-CA"/>
      </w:rPr>
      <w:t>Ying et al. 2024 Supplementary Methods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95"/>
    <w:rsid w:val="00002E7D"/>
    <w:rsid w:val="00016EE7"/>
    <w:rsid w:val="00023DB7"/>
    <w:rsid w:val="0007275F"/>
    <w:rsid w:val="00082F6E"/>
    <w:rsid w:val="0008370A"/>
    <w:rsid w:val="000D5DB7"/>
    <w:rsid w:val="000D5F3C"/>
    <w:rsid w:val="000D6B5A"/>
    <w:rsid w:val="000E2282"/>
    <w:rsid w:val="000F0DEC"/>
    <w:rsid w:val="001309B7"/>
    <w:rsid w:val="00131C80"/>
    <w:rsid w:val="00143BC5"/>
    <w:rsid w:val="00153728"/>
    <w:rsid w:val="001758FA"/>
    <w:rsid w:val="00190800"/>
    <w:rsid w:val="001972C0"/>
    <w:rsid w:val="001B177D"/>
    <w:rsid w:val="001B3AA8"/>
    <w:rsid w:val="00206349"/>
    <w:rsid w:val="002101DA"/>
    <w:rsid w:val="0022142E"/>
    <w:rsid w:val="002513E9"/>
    <w:rsid w:val="00267696"/>
    <w:rsid w:val="002708E7"/>
    <w:rsid w:val="0028314A"/>
    <w:rsid w:val="002B3168"/>
    <w:rsid w:val="002D40D8"/>
    <w:rsid w:val="002D733B"/>
    <w:rsid w:val="003059DF"/>
    <w:rsid w:val="003173FC"/>
    <w:rsid w:val="00321383"/>
    <w:rsid w:val="003313DE"/>
    <w:rsid w:val="00347A6C"/>
    <w:rsid w:val="003812E6"/>
    <w:rsid w:val="00384710"/>
    <w:rsid w:val="003B0891"/>
    <w:rsid w:val="003C05E2"/>
    <w:rsid w:val="003C7668"/>
    <w:rsid w:val="003D4977"/>
    <w:rsid w:val="003D54D8"/>
    <w:rsid w:val="003D5B1C"/>
    <w:rsid w:val="004069EF"/>
    <w:rsid w:val="0041154A"/>
    <w:rsid w:val="00412220"/>
    <w:rsid w:val="00425F31"/>
    <w:rsid w:val="00437934"/>
    <w:rsid w:val="00451BAB"/>
    <w:rsid w:val="004550D8"/>
    <w:rsid w:val="00455453"/>
    <w:rsid w:val="0046461F"/>
    <w:rsid w:val="0046630C"/>
    <w:rsid w:val="00474CBD"/>
    <w:rsid w:val="00490973"/>
    <w:rsid w:val="0049177A"/>
    <w:rsid w:val="00491D51"/>
    <w:rsid w:val="00492610"/>
    <w:rsid w:val="004941BD"/>
    <w:rsid w:val="004B5A01"/>
    <w:rsid w:val="004D008F"/>
    <w:rsid w:val="004D204D"/>
    <w:rsid w:val="004D5462"/>
    <w:rsid w:val="00501502"/>
    <w:rsid w:val="005046DC"/>
    <w:rsid w:val="005255E9"/>
    <w:rsid w:val="00531165"/>
    <w:rsid w:val="005431FE"/>
    <w:rsid w:val="005579E5"/>
    <w:rsid w:val="00564B57"/>
    <w:rsid w:val="005743D8"/>
    <w:rsid w:val="005820EC"/>
    <w:rsid w:val="00591F78"/>
    <w:rsid w:val="005C3AA7"/>
    <w:rsid w:val="005D1E4C"/>
    <w:rsid w:val="005D736C"/>
    <w:rsid w:val="005E5C75"/>
    <w:rsid w:val="005F5CA9"/>
    <w:rsid w:val="00604784"/>
    <w:rsid w:val="006205DF"/>
    <w:rsid w:val="00630AFD"/>
    <w:rsid w:val="0064239A"/>
    <w:rsid w:val="006461D3"/>
    <w:rsid w:val="00655C11"/>
    <w:rsid w:val="00667EB4"/>
    <w:rsid w:val="0069699B"/>
    <w:rsid w:val="006B3015"/>
    <w:rsid w:val="006D1118"/>
    <w:rsid w:val="007027B8"/>
    <w:rsid w:val="00772425"/>
    <w:rsid w:val="00781B87"/>
    <w:rsid w:val="007B285B"/>
    <w:rsid w:val="007B510A"/>
    <w:rsid w:val="007C4C60"/>
    <w:rsid w:val="008114DA"/>
    <w:rsid w:val="00835A92"/>
    <w:rsid w:val="0085444F"/>
    <w:rsid w:val="00860F26"/>
    <w:rsid w:val="00861209"/>
    <w:rsid w:val="00867EDF"/>
    <w:rsid w:val="008C1691"/>
    <w:rsid w:val="008D417A"/>
    <w:rsid w:val="008F6D30"/>
    <w:rsid w:val="0091152C"/>
    <w:rsid w:val="00913DF5"/>
    <w:rsid w:val="009400E8"/>
    <w:rsid w:val="009472DC"/>
    <w:rsid w:val="00961C56"/>
    <w:rsid w:val="00965136"/>
    <w:rsid w:val="009818F7"/>
    <w:rsid w:val="00994195"/>
    <w:rsid w:val="009A31A8"/>
    <w:rsid w:val="009A5198"/>
    <w:rsid w:val="009D1D0E"/>
    <w:rsid w:val="009D3BA6"/>
    <w:rsid w:val="00A17EA0"/>
    <w:rsid w:val="00A220F6"/>
    <w:rsid w:val="00A26E29"/>
    <w:rsid w:val="00A908F4"/>
    <w:rsid w:val="00AD44EA"/>
    <w:rsid w:val="00AD7610"/>
    <w:rsid w:val="00AF5FAB"/>
    <w:rsid w:val="00B022E5"/>
    <w:rsid w:val="00B02D75"/>
    <w:rsid w:val="00B15ADF"/>
    <w:rsid w:val="00B4576E"/>
    <w:rsid w:val="00B52138"/>
    <w:rsid w:val="00B61BC1"/>
    <w:rsid w:val="00B67FF8"/>
    <w:rsid w:val="00B830B7"/>
    <w:rsid w:val="00BB6B8B"/>
    <w:rsid w:val="00BC693F"/>
    <w:rsid w:val="00BE13A4"/>
    <w:rsid w:val="00C04F43"/>
    <w:rsid w:val="00C22D44"/>
    <w:rsid w:val="00C23A18"/>
    <w:rsid w:val="00C272EE"/>
    <w:rsid w:val="00C442D8"/>
    <w:rsid w:val="00C52C1D"/>
    <w:rsid w:val="00C66011"/>
    <w:rsid w:val="00C73C7E"/>
    <w:rsid w:val="00C756B7"/>
    <w:rsid w:val="00C91B18"/>
    <w:rsid w:val="00C95E6B"/>
    <w:rsid w:val="00CA6147"/>
    <w:rsid w:val="00CA751E"/>
    <w:rsid w:val="00CA7BBC"/>
    <w:rsid w:val="00CD23AA"/>
    <w:rsid w:val="00CE047D"/>
    <w:rsid w:val="00D02243"/>
    <w:rsid w:val="00D334F2"/>
    <w:rsid w:val="00D40E06"/>
    <w:rsid w:val="00D564E4"/>
    <w:rsid w:val="00D65273"/>
    <w:rsid w:val="00DA4840"/>
    <w:rsid w:val="00DC4789"/>
    <w:rsid w:val="00DD7167"/>
    <w:rsid w:val="00DE735B"/>
    <w:rsid w:val="00DF664F"/>
    <w:rsid w:val="00DF679E"/>
    <w:rsid w:val="00E2624D"/>
    <w:rsid w:val="00E43BE3"/>
    <w:rsid w:val="00E476E1"/>
    <w:rsid w:val="00E51409"/>
    <w:rsid w:val="00E552CD"/>
    <w:rsid w:val="00E60181"/>
    <w:rsid w:val="00EA1FD1"/>
    <w:rsid w:val="00EA4F26"/>
    <w:rsid w:val="00EC7466"/>
    <w:rsid w:val="00ED3E0E"/>
    <w:rsid w:val="00EE0711"/>
    <w:rsid w:val="00EE4006"/>
    <w:rsid w:val="00EE70E8"/>
    <w:rsid w:val="00EF618C"/>
    <w:rsid w:val="00F22B61"/>
    <w:rsid w:val="00F25B2C"/>
    <w:rsid w:val="00F3543A"/>
    <w:rsid w:val="00F408F4"/>
    <w:rsid w:val="00F441DC"/>
    <w:rsid w:val="00F80098"/>
    <w:rsid w:val="00FB25F0"/>
    <w:rsid w:val="00FE2FF6"/>
    <w:rsid w:val="00FE7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DDC232D"/>
  <w14:defaultImageDpi w14:val="32767"/>
  <w15:chartTrackingRefBased/>
  <w15:docId w15:val="{E741C70C-650C-AA4D-9D2F-541C59F8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1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1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41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41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41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41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41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1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1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41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41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41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41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41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4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1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1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41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4195"/>
    <w:rPr>
      <w:i/>
      <w:iCs/>
      <w:color w:val="404040" w:themeColor="text1" w:themeTint="BF"/>
    </w:rPr>
  </w:style>
  <w:style w:type="paragraph" w:styleId="ListParagraph">
    <w:name w:val="List Paragraph"/>
    <w:basedOn w:val="Normal"/>
    <w:uiPriority w:val="34"/>
    <w:qFormat/>
    <w:rsid w:val="00994195"/>
    <w:pPr>
      <w:ind w:left="720"/>
      <w:contextualSpacing/>
    </w:pPr>
  </w:style>
  <w:style w:type="character" w:styleId="IntenseEmphasis">
    <w:name w:val="Intense Emphasis"/>
    <w:basedOn w:val="DefaultParagraphFont"/>
    <w:uiPriority w:val="21"/>
    <w:qFormat/>
    <w:rsid w:val="00994195"/>
    <w:rPr>
      <w:i/>
      <w:iCs/>
      <w:color w:val="0F4761" w:themeColor="accent1" w:themeShade="BF"/>
    </w:rPr>
  </w:style>
  <w:style w:type="paragraph" w:styleId="IntenseQuote">
    <w:name w:val="Intense Quote"/>
    <w:basedOn w:val="Normal"/>
    <w:next w:val="Normal"/>
    <w:link w:val="IntenseQuoteChar"/>
    <w:uiPriority w:val="30"/>
    <w:qFormat/>
    <w:rsid w:val="0099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195"/>
    <w:rPr>
      <w:i/>
      <w:iCs/>
      <w:color w:val="0F4761" w:themeColor="accent1" w:themeShade="BF"/>
    </w:rPr>
  </w:style>
  <w:style w:type="character" w:styleId="IntenseReference">
    <w:name w:val="Intense Reference"/>
    <w:basedOn w:val="DefaultParagraphFont"/>
    <w:uiPriority w:val="32"/>
    <w:qFormat/>
    <w:rsid w:val="00994195"/>
    <w:rPr>
      <w:b/>
      <w:bCs/>
      <w:smallCaps/>
      <w:color w:val="0F4761" w:themeColor="accent1" w:themeShade="BF"/>
      <w:spacing w:val="5"/>
    </w:rPr>
  </w:style>
  <w:style w:type="paragraph" w:styleId="BodyText">
    <w:name w:val="Body Text"/>
    <w:basedOn w:val="Normal"/>
    <w:link w:val="BodyTextChar"/>
    <w:rsid w:val="00347A6C"/>
    <w:pPr>
      <w:spacing w:before="240" w:line="360" w:lineRule="auto"/>
    </w:pPr>
    <w:rPr>
      <w:rFonts w:eastAsia="Times New Roman"/>
      <w:kern w:val="0"/>
      <w:szCs w:val="20"/>
      <w:lang w:eastAsia="en-CA"/>
      <w14:ligatures w14:val="none"/>
    </w:rPr>
  </w:style>
  <w:style w:type="character" w:customStyle="1" w:styleId="BodyTextChar">
    <w:name w:val="Body Text Char"/>
    <w:basedOn w:val="DefaultParagraphFont"/>
    <w:link w:val="BodyText"/>
    <w:rsid w:val="00347A6C"/>
    <w:rPr>
      <w:rFonts w:eastAsia="Times New Roman"/>
      <w:kern w:val="0"/>
      <w:szCs w:val="20"/>
      <w:lang w:eastAsia="en-CA"/>
      <w14:ligatures w14:val="none"/>
    </w:rPr>
  </w:style>
  <w:style w:type="paragraph" w:styleId="Header">
    <w:name w:val="header"/>
    <w:basedOn w:val="Normal"/>
    <w:link w:val="HeaderChar"/>
    <w:uiPriority w:val="99"/>
    <w:unhideWhenUsed/>
    <w:rsid w:val="007027B8"/>
    <w:pPr>
      <w:tabs>
        <w:tab w:val="center" w:pos="4680"/>
        <w:tab w:val="right" w:pos="9360"/>
      </w:tabs>
    </w:pPr>
  </w:style>
  <w:style w:type="character" w:customStyle="1" w:styleId="HeaderChar">
    <w:name w:val="Header Char"/>
    <w:basedOn w:val="DefaultParagraphFont"/>
    <w:link w:val="Header"/>
    <w:uiPriority w:val="99"/>
    <w:rsid w:val="007027B8"/>
  </w:style>
  <w:style w:type="paragraph" w:styleId="Footer">
    <w:name w:val="footer"/>
    <w:basedOn w:val="Normal"/>
    <w:link w:val="FooterChar"/>
    <w:uiPriority w:val="99"/>
    <w:unhideWhenUsed/>
    <w:rsid w:val="007027B8"/>
    <w:pPr>
      <w:tabs>
        <w:tab w:val="center" w:pos="4680"/>
        <w:tab w:val="right" w:pos="9360"/>
      </w:tabs>
    </w:pPr>
  </w:style>
  <w:style w:type="character" w:customStyle="1" w:styleId="FooterChar">
    <w:name w:val="Footer Char"/>
    <w:basedOn w:val="DefaultParagraphFont"/>
    <w:link w:val="Footer"/>
    <w:uiPriority w:val="99"/>
    <w:rsid w:val="007027B8"/>
  </w:style>
  <w:style w:type="character" w:styleId="PageNumber">
    <w:name w:val="page number"/>
    <w:basedOn w:val="DefaultParagraphFont"/>
    <w:uiPriority w:val="99"/>
    <w:semiHidden/>
    <w:unhideWhenUsed/>
    <w:rsid w:val="00455453"/>
  </w:style>
  <w:style w:type="paragraph" w:styleId="Bibliography">
    <w:name w:val="Bibliography"/>
    <w:basedOn w:val="Normal"/>
    <w:next w:val="Normal"/>
    <w:uiPriority w:val="37"/>
    <w:unhideWhenUsed/>
    <w:rsid w:val="00C23A18"/>
    <w:pPr>
      <w:tabs>
        <w:tab w:val="left" w:pos="260"/>
      </w:tabs>
      <w:spacing w:line="480" w:lineRule="auto"/>
      <w:ind w:left="264" w:hanging="264"/>
    </w:pPr>
  </w:style>
  <w:style w:type="paragraph" w:styleId="Revision">
    <w:name w:val="Revision"/>
    <w:hidden/>
    <w:uiPriority w:val="99"/>
    <w:semiHidden/>
    <w:rsid w:val="00190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44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1273</Words>
  <Characters>7094</Characters>
  <Application>Microsoft Office Word</Application>
  <DocSecurity>0</DocSecurity>
  <Lines>308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 ying</dc:creator>
  <cp:keywords/>
  <dc:description/>
  <cp:lastModifiedBy>jian ying</cp:lastModifiedBy>
  <cp:revision>7</cp:revision>
  <dcterms:created xsi:type="dcterms:W3CDTF">2024-08-24T01:27:00Z</dcterms:created>
  <dcterms:modified xsi:type="dcterms:W3CDTF">2024-08-25T21:01:00Z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id="iTnWt05M"/&gt;&lt;style id="http://www.zotero.org/styles/nature-medicine" hasBibliography="1" bibliographyStyleHasBeenSet="1"/&gt;&lt;prefs&gt;&lt;pref name="fieldType" value="Field"/&gt;&lt;/prefs&gt;&lt;/data&gt;</vt:lpwstr>
  </property>
</Properties>
</file>