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9C6D0">
      <w:pPr>
        <w:spacing w:line="360" w:lineRule="auto"/>
        <w:jc w:val="center"/>
        <w:rPr>
          <w:rFonts w:hint="eastAsia" w:ascii="Arial" w:hAnsi="Arial" w:cs="Arial"/>
          <w:b/>
          <w:bCs/>
          <w:sz w:val="24"/>
        </w:rPr>
      </w:pPr>
      <w:bookmarkStart w:id="0" w:name="OLE_LINK2"/>
      <w:r>
        <w:rPr>
          <w:rFonts w:ascii="Arial" w:hAnsi="Arial" w:cs="Arial"/>
          <w:b/>
          <w:bCs/>
          <w:sz w:val="24"/>
        </w:rPr>
        <w:t>GNG2</w:t>
      </w:r>
      <w:r>
        <w:rPr>
          <w:rFonts w:hint="eastAsia" w:ascii="Arial" w:hAnsi="Arial" w:cs="Arial"/>
          <w:b/>
          <w:bCs/>
          <w:sz w:val="24"/>
        </w:rPr>
        <w:t xml:space="preserve"> </w:t>
      </w:r>
      <w:r>
        <w:rPr>
          <w:rFonts w:ascii="Arial" w:hAnsi="Arial" w:cs="Arial"/>
          <w:b/>
          <w:bCs/>
          <w:sz w:val="24"/>
        </w:rPr>
        <w:t>in</w:t>
      </w:r>
      <w:r>
        <w:rPr>
          <w:rFonts w:hint="eastAsia" w:ascii="Arial" w:hAnsi="Arial" w:cs="Arial"/>
          <w:b/>
          <w:bCs/>
          <w:sz w:val="24"/>
          <w:lang w:val="en-US" w:eastAsia="zh-CN"/>
        </w:rPr>
        <w:t>hibits</w:t>
      </w:r>
      <w:r>
        <w:rPr>
          <w:rFonts w:ascii="Arial" w:hAnsi="Arial" w:cs="Arial"/>
          <w:b/>
          <w:bCs/>
          <w:sz w:val="24"/>
        </w:rPr>
        <w:t xml:space="preserve"> </w:t>
      </w:r>
      <w:r>
        <w:rPr>
          <w:rFonts w:hint="eastAsia" w:ascii="Arial" w:hAnsi="Arial" w:cs="Arial"/>
          <w:b/>
          <w:bCs/>
          <w:sz w:val="24"/>
        </w:rPr>
        <w:t>brain metastases from colorectal cancer</w:t>
      </w:r>
      <w:r>
        <w:rPr>
          <w:rFonts w:hint="eastAsia" w:ascii="Arial" w:hAnsi="Arial" w:cs="Arial"/>
          <w:b/>
          <w:bCs/>
          <w:sz w:val="24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sz w:val="24"/>
        </w:rPr>
        <w:t>via</w:t>
      </w:r>
      <w:r>
        <w:rPr>
          <w:rFonts w:hint="eastAsia" w:ascii="Arial" w:hAnsi="Arial" w:cs="Arial"/>
          <w:b/>
          <w:bCs/>
          <w:sz w:val="24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sz w:val="24"/>
        </w:rPr>
        <w:t>cell cycle arrest</w:t>
      </w:r>
      <w:r>
        <w:rPr>
          <w:rFonts w:hint="eastAsia" w:ascii="Arial" w:hAnsi="Arial" w:cs="Arial"/>
          <w:b/>
          <w:bCs/>
          <w:sz w:val="24"/>
          <w:lang w:val="en-US" w:eastAsia="zh-CN"/>
        </w:rPr>
        <w:t xml:space="preserve"> and </w:t>
      </w:r>
      <w:r>
        <w:rPr>
          <w:rFonts w:hint="eastAsia" w:ascii="Arial" w:hAnsi="Arial" w:cs="Arial"/>
          <w:b/>
          <w:bCs/>
          <w:sz w:val="24"/>
        </w:rPr>
        <w:t>PI3K/Akt signaling pathway</w:t>
      </w:r>
      <w:bookmarkEnd w:id="0"/>
    </w:p>
    <w:p w14:paraId="12B7B31A"/>
    <w:p w14:paraId="477D801A"/>
    <w:p w14:paraId="3DC0D6AC"/>
    <w:p w14:paraId="1A8CB9FB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16175" cy="2245360"/>
            <wp:effectExtent l="0" t="0" r="3175" b="254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rcRect t="13752"/>
                    <a:stretch>
                      <a:fillRect/>
                    </a:stretch>
                  </pic:blipFill>
                  <pic:spPr>
                    <a:xfrm>
                      <a:off x="0" y="0"/>
                      <a:ext cx="2416175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A2743"/>
    <w:p w14:paraId="12CDDFAB">
      <w:pPr>
        <w:rPr>
          <w:rFonts w:hint="eastAsia" w:ascii="Arial" w:hAnsi="Arial" w:cs="Arial"/>
          <w:szCs w:val="21"/>
          <w:lang w:val="en-US" w:eastAsia="zh-CN"/>
        </w:rPr>
      </w:pPr>
      <w:r>
        <w:rPr>
          <w:rFonts w:hint="eastAsia" w:ascii="Arial" w:hAnsi="Arial" w:cs="Arial"/>
          <w:szCs w:val="21"/>
          <w:lang w:val="en-US" w:eastAsia="zh-CN"/>
        </w:rPr>
        <w:t>Figure S1. The ROC curve of GNG2 in TCGA dataset and showed that GNG2 may act as a perfect diagnostic marker.</w:t>
      </w:r>
    </w:p>
    <w:p w14:paraId="2A6F8FF5">
      <w:pPr>
        <w:rPr>
          <w:rFonts w:hint="eastAsia" w:ascii="Arial" w:hAnsi="Arial" w:cs="Arial"/>
          <w:szCs w:val="21"/>
          <w:lang w:val="en-US" w:eastAsia="zh-CN"/>
        </w:rPr>
      </w:pPr>
    </w:p>
    <w:p w14:paraId="4C4F1AA6">
      <w:pPr>
        <w:rPr>
          <w:rFonts w:hint="eastAsia" w:ascii="Arial" w:hAnsi="Arial" w:cs="Arial"/>
          <w:szCs w:val="21"/>
          <w:lang w:val="en-US" w:eastAsia="zh-CN"/>
        </w:rPr>
      </w:pPr>
    </w:p>
    <w:p w14:paraId="7C387779">
      <w:pPr>
        <w:rPr>
          <w:rFonts w:hint="default" w:ascii="Arial" w:hAnsi="Arial" w:cs="Arial"/>
          <w:szCs w:val="21"/>
          <w:lang w:val="en-US" w:eastAsia="zh-CN"/>
        </w:rPr>
      </w:pPr>
      <w:r>
        <w:rPr>
          <w:rFonts w:hint="default" w:ascii="Arial" w:hAnsi="Arial" w:cs="Arial"/>
          <w:szCs w:val="21"/>
          <w:lang w:val="en-US" w:eastAsia="zh-CN"/>
        </w:rPr>
        <w:drawing>
          <wp:inline distT="0" distB="0" distL="114300" distR="114300">
            <wp:extent cx="5266690" cy="1822450"/>
            <wp:effectExtent l="0" t="0" r="0" b="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rcRect b="3849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47E33">
      <w:pPr>
        <w:rPr>
          <w:rFonts w:hint="eastAsia" w:ascii="Arial" w:hAnsi="Arial" w:cs="Arial"/>
          <w:bCs/>
          <w:sz w:val="24"/>
          <w:lang w:val="en-US" w:eastAsia="zh-CN"/>
        </w:rPr>
      </w:pPr>
      <w:r>
        <w:rPr>
          <w:rFonts w:hint="eastAsia" w:ascii="Arial" w:hAnsi="Arial" w:cs="Arial"/>
          <w:szCs w:val="21"/>
          <w:lang w:val="en-US" w:eastAsia="zh-CN"/>
        </w:rPr>
        <w:t>Figu</w:t>
      </w:r>
      <w:r>
        <w:rPr>
          <w:rFonts w:hint="eastAsia" w:ascii="Arial" w:hAnsi="Arial" w:cs="Arial"/>
          <w:bCs/>
          <w:sz w:val="24"/>
          <w:lang w:val="en-US" w:eastAsia="zh-CN"/>
        </w:rPr>
        <w:t xml:space="preserve">re S2. GO analysis of </w:t>
      </w:r>
      <w:r>
        <w:rPr>
          <w:rFonts w:hint="eastAsia" w:ascii="Arial" w:hAnsi="Arial" w:cs="Arial"/>
          <w:bCs/>
          <w:sz w:val="24"/>
        </w:rPr>
        <w:t>differen</w:t>
      </w:r>
      <w:r>
        <w:rPr>
          <w:rFonts w:ascii="Arial" w:hAnsi="Arial" w:cs="Arial"/>
          <w:bCs/>
          <w:sz w:val="24"/>
        </w:rPr>
        <w:t>tially expressed genes (DEGs)</w:t>
      </w:r>
      <w:r>
        <w:rPr>
          <w:rFonts w:hint="eastAsia" w:ascii="Arial" w:hAnsi="Arial" w:cs="Arial"/>
          <w:bCs/>
          <w:sz w:val="24"/>
          <w:lang w:val="en-US" w:eastAsia="zh-CN"/>
        </w:rPr>
        <w:t xml:space="preserve"> between</w:t>
      </w:r>
      <w:r>
        <w:rPr>
          <w:rFonts w:hint="eastAsia" w:ascii="Arial" w:hAnsi="Arial" w:cs="Arial"/>
          <w:bCs/>
          <w:sz w:val="24"/>
        </w:rPr>
        <w:t xml:space="preserve"> normal tissues and metastatic tumors</w:t>
      </w:r>
      <w:r>
        <w:rPr>
          <w:rFonts w:hint="eastAsia" w:ascii="Arial" w:hAnsi="Arial" w:cs="Arial"/>
          <w:bCs/>
          <w:sz w:val="24"/>
          <w:lang w:val="en-US" w:eastAsia="zh-CN"/>
        </w:rPr>
        <w:t>.</w:t>
      </w:r>
    </w:p>
    <w:p w14:paraId="216D25DC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1283DB22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01D23D28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1ECE540F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13B18E61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5B040927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5E6B1446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0B92185F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7ABA245B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5D20C7ED">
      <w:pPr>
        <w:rPr>
          <w:rFonts w:hint="eastAsia" w:ascii="Arial" w:hAnsi="Arial" w:cs="Arial"/>
          <w:bCs/>
          <w:sz w:val="24"/>
          <w:lang w:val="en-US" w:eastAsia="zh-CN"/>
        </w:rPr>
      </w:pPr>
    </w:p>
    <w:p w14:paraId="053C6620">
      <w:pPr>
        <w:rPr>
          <w:rFonts w:hint="eastAsia" w:ascii="Arial" w:hAnsi="Arial" w:cs="Arial"/>
          <w:bCs/>
          <w:sz w:val="24"/>
          <w:lang w:val="en-US" w:eastAsia="zh-CN"/>
        </w:rPr>
      </w:pPr>
      <w:r>
        <w:rPr>
          <w:rFonts w:hint="eastAsia" w:ascii="Arial" w:hAnsi="Arial" w:cs="Arial"/>
          <w:bCs/>
          <w:sz w:val="24"/>
          <w:lang w:val="en-US" w:eastAsia="zh-CN"/>
        </w:rPr>
        <w:drawing>
          <wp:inline distT="0" distB="0" distL="114300" distR="114300">
            <wp:extent cx="5269865" cy="1331595"/>
            <wp:effectExtent l="0" t="0" r="6985" b="1905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3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69D8E">
      <w:pPr>
        <w:rPr>
          <w:rFonts w:hint="default" w:ascii="Arial" w:hAnsi="Arial" w:cs="Arial"/>
          <w:bCs/>
          <w:sz w:val="24"/>
          <w:lang w:val="en-US" w:eastAsia="zh-CN"/>
        </w:rPr>
      </w:pPr>
      <w:r>
        <w:rPr>
          <w:rFonts w:hint="eastAsia" w:ascii="Arial" w:hAnsi="Arial" w:cs="Arial"/>
          <w:bCs/>
          <w:sz w:val="24"/>
          <w:lang w:val="en-US" w:eastAsia="zh-CN"/>
        </w:rPr>
        <w:t>Figu</w:t>
      </w:r>
      <w:r>
        <w:rPr>
          <w:rFonts w:hint="eastAsia" w:ascii="Arial" w:hAnsi="Arial" w:cs="Arial"/>
          <w:bCs/>
          <w:sz w:val="24"/>
          <w:lang w:val="en-US" w:eastAsia="zh-CN"/>
        </w:rPr>
        <w:t>re S3. Quantitative analysis of PI3K, AKT, p-AKT, CDK4, and CDK6 positive areas in tumor tissue was performed using ImageJ software for immunohistochemistry data</w:t>
      </w:r>
      <w:bookmarkStart w:id="1" w:name="_GoBack"/>
      <w:bookmarkEnd w:id="1"/>
      <w:r>
        <w:rPr>
          <w:rFonts w:hint="eastAsia" w:ascii="Arial" w:hAnsi="Arial" w:cs="Arial"/>
          <w:bCs/>
          <w:sz w:val="24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0NWE5MDhkNWFjNDA5ZGY5Mzg0N2FjMTdjYmZiYWIifQ=="/>
  </w:docVars>
  <w:rsids>
    <w:rsidRoot w:val="00000000"/>
    <w:rsid w:val="312A215B"/>
    <w:rsid w:val="6B633598"/>
    <w:rsid w:val="71E30B8A"/>
    <w:rsid w:val="7F4C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2024-08-20T23:56:45Z</dcterms:created>
  <dc:creator>Lenovo</dc:creator>
  <cp:lastModifiedBy>咕噜咕噜</cp:lastModifiedBy>
  <dcterms:modified xsi:type="dcterms:W3CDTF">2024-08-21T00:29:37Z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6494FFA630A54642B233306FC29D1BB1_12</vt:lpwstr>
  </property>
</Properties>
</file>