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6FE2F2" w14:textId="77777777" w:rsidR="00217F32" w:rsidRDefault="00217F32" w:rsidP="00217F32">
      <w:pPr>
        <w:widowControl/>
        <w:spacing w:line="480" w:lineRule="auto"/>
        <w:outlineLvl w:val="0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shd w:val="clear" w:color="auto" w:fill="FFFFFF"/>
        </w:rPr>
      </w:pPr>
      <w:bookmarkStart w:id="0" w:name="_Hlk168177826"/>
      <w:r w:rsidRPr="00456A6C">
        <w:rPr>
          <w:rFonts w:ascii="Times New Roman" w:eastAsia="Times New Roman" w:hAnsi="Times New Roman" w:cs="Times New Roman" w:hint="eastAsia"/>
          <w:b/>
          <w:i/>
          <w:kern w:val="0"/>
          <w:sz w:val="24"/>
          <w:szCs w:val="24"/>
          <w:shd w:val="clear" w:color="auto" w:fill="FFFFFF"/>
        </w:rPr>
        <w:t>Evaluation</w:t>
      </w:r>
      <w:r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shd w:val="clear" w:color="auto" w:fill="FFFFFF"/>
        </w:rPr>
        <w:t xml:space="preserve"> of covariates</w:t>
      </w:r>
      <w:bookmarkEnd w:id="0"/>
      <w:r>
        <w:rPr>
          <w:rFonts w:ascii="Times New Roman" w:hAnsi="Times New Roman" w:cs="Times New Roman" w:hint="eastAsia"/>
          <w:b/>
          <w:i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 w:hint="eastAsia"/>
          <w:b/>
          <w:i/>
          <w:kern w:val="0"/>
          <w:sz w:val="24"/>
          <w:szCs w:val="24"/>
          <w:shd w:val="clear" w:color="auto" w:fill="FFFFFF"/>
        </w:rPr>
        <w:t xml:space="preserve"> </w:t>
      </w:r>
    </w:p>
    <w:p w14:paraId="30620B79" w14:textId="3772F681" w:rsidR="00217F32" w:rsidRDefault="00217F32" w:rsidP="00217F32">
      <w:pPr>
        <w:widowControl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Based on previous studies and confounders, we selected the following covariates including </w:t>
      </w:r>
      <w:bookmarkStart w:id="1" w:name="_Hlk168157709"/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chronic kidney disease (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CKD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)</w:t>
      </w:r>
      <w:bookmarkEnd w:id="1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, alcohol consumption, whether or not have been treated for anemia,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body mass index (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BMI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&lt;25, 25-30, &gt;30), gender (Male, Female), age (≥20, 40-60, &gt;60), race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(Non-Hispanic White, Mexican American, Other Hispanic, Non-Hispanic Black, Other Races), diabetes, Lymphocyte (1000cells/</w:t>
      </w:r>
      <w:proofErr w:type="spell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proofErr w:type="spell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), Hb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g/d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), Platelet (1000cells/</w:t>
      </w:r>
      <w:proofErr w:type="spell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proofErr w:type="spell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ALB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 (g/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), Hypertension, Monocyte (1000cells/</w:t>
      </w:r>
      <w:proofErr w:type="spell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proofErr w:type="spell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bookmarkStart w:id="2" w:name="_Hlk168157797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white blood cell (WBC,</w:t>
      </w:r>
      <w:bookmarkEnd w:id="2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 1000cells/</w:t>
      </w:r>
      <w:proofErr w:type="spell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proofErr w:type="spell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bookmarkStart w:id="3" w:name="_Hlk168157834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red blood cell (RBC,</w:t>
      </w:r>
      <w:bookmarkEnd w:id="3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color w:val="212121"/>
          <w:sz w:val="24"/>
          <w:szCs w:val="24"/>
          <w:shd w:val="clear" w:color="auto" w:fill="FFFFFF"/>
        </w:rPr>
        <w:t xml:space="preserve">million 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cells/</w:t>
      </w:r>
      <w:proofErr w:type="spell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proofErr w:type="spell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bookmarkStart w:id="4" w:name="_Hlk168157868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alanine aminotransferase (ALT</w:t>
      </w:r>
      <w:bookmarkEnd w:id="4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, U/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bookmarkStart w:id="5" w:name="_Hlk168157899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aspartate aminotransferase (AST, </w:t>
      </w:r>
      <w:bookmarkEnd w:id="5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U/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c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alcium (mg/d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s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odium (mmol/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p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otassium (mmol/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c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alorie,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e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ducation (Less Than High School, High School, More Than High School), 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m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arital status (Married or Live with partner, Never married nor Widowed nor Divorced nor Separated), smoking behavior and </w:t>
      </w:r>
      <w:bookmarkStart w:id="6" w:name="_Hlk168157939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household poverty-to-income ratio (PIR</w:t>
      </w:r>
      <w:bookmarkEnd w:id="6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, &lt;1.3, 1–3, &gt;3, Others); income-to-poverty ratios were calculated based on the US </w:t>
      </w:r>
      <w:bookmarkStart w:id="7" w:name="_Hlk168157985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Department of Health and Human Services (DHHS) </w:t>
      </w:r>
      <w:bookmarkEnd w:id="7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Family Income Poverty Guidelines. BMI is weight (Kg) divided by the square of height (m). The </w:t>
      </w:r>
      <w:bookmarkStart w:id="8" w:name="_Hlk168158105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glomerular filtration rate (eGFR)</w:t>
      </w:r>
      <w:bookmarkEnd w:id="8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 was calculated based on the serum creatinine equation. Calorie intake was determined in the first dietary recall interview; hypertension was defined as blood pressure ≥ 140/90 mmHg, self-reported, or taking antihypertensive medications. Diabetes was defined as a fasting glucose ≥ 126 mg/d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l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, self-reported, or taking any oral hypoglycemic agent or insulin; alcohol consumption was defined as the questionnaire “In any one year, have you had at least 12 drinks of any type of alcohol beverage</w:t>
      </w:r>
      <w:proofErr w:type="gramStart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? ”</w:t>
      </w:r>
      <w:proofErr w:type="gramEnd"/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 xml:space="preserve">; smoking behavior was defined as the questionnaire 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lastRenderedPageBreak/>
        <w:t>“Have you smoked at least 100 cigarettes in {your/his/her} entire life?”. Detailed measurement procedures for all covariates are available at </w:t>
      </w:r>
      <w:hyperlink r:id="rId4" w:tgtFrame="_blank" w:history="1">
        <w:r>
          <w:rPr>
            <w:rFonts w:ascii="Times New Roman" w:eastAsia="Cambria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www.cdc.gov/nchs/nhanes/index.htm</w:t>
        </w:r>
      </w:hyperlink>
      <w:r>
        <w:rPr>
          <w:rFonts w:ascii="Times New Roman" w:eastAsia="宋体" w:hAnsi="Times New Roman" w:cs="Times New Roman" w:hint="eastAsia"/>
          <w:color w:val="0000FF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24"/>
          <w:szCs w:val="24"/>
          <w:shd w:val="clear" w:color="auto" w:fill="FFFFFF"/>
          <w14:ligatures w14:val="none"/>
        </w:rPr>
        <w:t>(January 25</w:t>
      </w:r>
      <w:r>
        <w:rPr>
          <w:rFonts w:ascii="Times New Roman" w:eastAsia="等线" w:hAnsi="Times New Roman" w:cs="Times New Roman" w:hint="eastAsia"/>
          <w:kern w:val="0"/>
          <w:sz w:val="24"/>
          <w:szCs w:val="24"/>
          <w:shd w:val="clear" w:color="auto" w:fill="FFFFFF"/>
          <w:vertAlign w:val="superscript"/>
          <w14:ligatures w14:val="none"/>
        </w:rPr>
        <w:t>th</w:t>
      </w:r>
      <w:r>
        <w:rPr>
          <w:rFonts w:ascii="Times New Roman" w:eastAsia="等线" w:hAnsi="Times New Roman" w:cs="Times New Roman" w:hint="eastAsia"/>
          <w:kern w:val="0"/>
          <w:sz w:val="24"/>
          <w:szCs w:val="24"/>
          <w:shd w:val="clear" w:color="auto" w:fill="FFFFFF"/>
          <w14:ligatures w14:val="none"/>
        </w:rPr>
        <w:t>, 2024)</w:t>
      </w:r>
      <w:r>
        <w:rPr>
          <w:rFonts w:ascii="Times New Roman" w:eastAsia="Cambria" w:hAnsi="Times New Roman" w:cs="Times New Roman"/>
          <w:color w:val="212121"/>
          <w:sz w:val="24"/>
          <w:szCs w:val="24"/>
          <w:shd w:val="clear" w:color="auto" w:fill="FFFFFF"/>
        </w:rPr>
        <w:t>.</w:t>
      </w:r>
    </w:p>
    <w:p w14:paraId="7E416324" w14:textId="77777777" w:rsidR="00217F32" w:rsidRPr="00217F32" w:rsidRDefault="00217F32"/>
    <w:sectPr w:rsidR="00217F32" w:rsidRPr="00217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F32"/>
    <w:rsid w:val="00217F32"/>
    <w:rsid w:val="008E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E4AC36"/>
  <w15:chartTrackingRefBased/>
  <w15:docId w15:val="{FFFBBC74-A572-4AD1-930D-D44A58C3B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dc.gov/nchs/nhanes/index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1697</Characters>
  <Application>Microsoft Office Word</Application>
  <DocSecurity>0</DocSecurity>
  <Lines>25</Lines>
  <Paragraphs>2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Flancher Lee</dc:creator>
  <cp:keywords/>
  <dc:description/>
  <cp:lastModifiedBy>Flancher Lee</cp:lastModifiedBy>
  <cp:revision>1</cp:revision>
  <dcterms:created xsi:type="dcterms:W3CDTF">2024-09-04T04:29:00Z</dcterms:created>
  <dcterms:modified xsi:type="dcterms:W3CDTF">2024-09-04T04:31:00Z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71e4d11a-b45b-4409-b116-e0b39fa2f74c</vt:lpwstr>
  </property>
</Properties>
</file>