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F1AFA" w:rsidRPr="00413C8C" w:rsidRDefault="00AF1AFA" w:rsidP="00AF1AFA">
      <w:pPr>
        <w:autoSpaceDE w:val="0"/>
        <w:spacing w:line="480" w:lineRule="auto"/>
        <w:jc w:val="center"/>
        <w:rPr>
          <w:b/>
          <w:bCs/>
          <w:sz w:val="32"/>
          <w:szCs w:val="32"/>
          <w:lang w:val="en-US"/>
        </w:rPr>
      </w:pPr>
      <w:r w:rsidRPr="00413C8C">
        <w:rPr>
          <w:b/>
          <w:bCs/>
          <w:sz w:val="32"/>
          <w:szCs w:val="32"/>
          <w:lang w:val="en-US"/>
        </w:rPr>
        <w:t>Additional Materials</w:t>
      </w:r>
    </w:p>
    <w:p w:rsidR="00AF1AFA" w:rsidRPr="0088228A" w:rsidRDefault="00AF1AFA" w:rsidP="00AF1AFA">
      <w:pPr>
        <w:pStyle w:val="p"/>
        <w:jc w:val="both"/>
        <w:rPr>
          <w:b/>
        </w:rPr>
      </w:pPr>
      <w:r w:rsidRPr="0088228A">
        <w:rPr>
          <w:b/>
        </w:rPr>
        <w:t>RNA extraction and cDNA synthesis</w:t>
      </w:r>
    </w:p>
    <w:p w:rsidR="00AF1AFA" w:rsidRPr="0088228A" w:rsidRDefault="00AF1AFA" w:rsidP="00AF1AFA">
      <w:pPr>
        <w:pStyle w:val="p"/>
        <w:jc w:val="both"/>
        <w:rPr>
          <w:b/>
        </w:rPr>
      </w:pPr>
      <w:r w:rsidRPr="0088228A">
        <w:t xml:space="preserve">Frozen sections of biopsies dedicated to RNA extraction were prepared by breast pathologists and were processed under </w:t>
      </w:r>
      <w:proofErr w:type="spellStart"/>
      <w:r w:rsidRPr="0088228A">
        <w:t>RNAse</w:t>
      </w:r>
      <w:proofErr w:type="spellEnd"/>
      <w:r w:rsidRPr="0088228A">
        <w:t xml:space="preserve">-free conditions; RNA was extracted using Maxwell RSC </w:t>
      </w:r>
      <w:proofErr w:type="spellStart"/>
      <w:r w:rsidRPr="0088228A">
        <w:t>simplyRNA</w:t>
      </w:r>
      <w:proofErr w:type="spellEnd"/>
      <w:r w:rsidRPr="0088228A">
        <w:t xml:space="preserve"> Tissue Kit (Promega). First-strand cDNA synthesis was performed with 1μg total RNA using Superscript II Reverse Transcriptase (Invitrogen Corporation) in a final volume of 20 </w:t>
      </w:r>
      <w:proofErr w:type="spellStart"/>
      <w:r w:rsidRPr="0088228A">
        <w:t>μL</w:t>
      </w:r>
      <w:proofErr w:type="spellEnd"/>
      <w:r w:rsidRPr="0088228A">
        <w:t>, as previously described (</w:t>
      </w:r>
      <w:r w:rsidRPr="0088228A">
        <w:rPr>
          <w:rStyle w:val="id-label"/>
        </w:rPr>
        <w:t>PMID:</w:t>
      </w:r>
      <w:r w:rsidRPr="0088228A">
        <w:rPr>
          <w:rStyle w:val="id-label"/>
          <w:b/>
        </w:rPr>
        <w:t xml:space="preserve"> </w:t>
      </w:r>
      <w:r w:rsidRPr="0088228A">
        <w:rPr>
          <w:rStyle w:val="lev"/>
        </w:rPr>
        <w:t>27592112)</w:t>
      </w:r>
      <w:r w:rsidRPr="0088228A">
        <w:t>.</w:t>
      </w:r>
    </w:p>
    <w:p w:rsidR="00AF1AFA" w:rsidRDefault="00AF1AFA" w:rsidP="00AF1AFA">
      <w:pPr>
        <w:pStyle w:val="p"/>
        <w:jc w:val="both"/>
        <w:rPr>
          <w:b/>
        </w:rPr>
      </w:pPr>
    </w:p>
    <w:p w:rsidR="00AF1AFA" w:rsidRPr="0088228A" w:rsidRDefault="00AF1AFA" w:rsidP="00AF1AFA">
      <w:pPr>
        <w:pStyle w:val="p"/>
        <w:jc w:val="both"/>
        <w:rPr>
          <w:b/>
        </w:rPr>
      </w:pPr>
      <w:r w:rsidRPr="0088228A">
        <w:rPr>
          <w:b/>
        </w:rPr>
        <w:t>Real-time RT-qPCR analysis</w:t>
      </w:r>
    </w:p>
    <w:p w:rsidR="00AF1AFA" w:rsidRPr="0088228A" w:rsidRDefault="00AF1AFA" w:rsidP="00AF1AFA">
      <w:pPr>
        <w:pStyle w:val="p"/>
        <w:jc w:val="both"/>
      </w:pPr>
      <w:r w:rsidRPr="0088228A">
        <w:t xml:space="preserve">Quantitative PCR analysis was performed on 10 ng cDNA in duplicate. A 5 </w:t>
      </w:r>
      <w:proofErr w:type="spellStart"/>
      <w:r w:rsidRPr="0088228A">
        <w:t>μL</w:t>
      </w:r>
      <w:proofErr w:type="spellEnd"/>
      <w:r w:rsidRPr="0088228A">
        <w:t xml:space="preserve"> diluted sample of cDNA was added to 20 </w:t>
      </w:r>
      <w:proofErr w:type="spellStart"/>
      <w:r w:rsidRPr="0088228A">
        <w:t>μL</w:t>
      </w:r>
      <w:proofErr w:type="spellEnd"/>
      <w:r w:rsidRPr="0088228A">
        <w:t xml:space="preserve"> of the PCR mix. The thermal cycling conditions comprised an initial denaturation step at 95°C for 10 min, 45 cycles at 95°C for 15 sec, and annealing temperature, either 60°C or 65°C depending on the target, for 1 min.</w:t>
      </w:r>
    </w:p>
    <w:p w:rsidR="00AF1AFA" w:rsidRPr="0088228A" w:rsidRDefault="00AF1AFA" w:rsidP="00AF1AFA">
      <w:pPr>
        <w:pStyle w:val="NormalWeb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8228A">
        <w:rPr>
          <w:rFonts w:ascii="Times New Roman" w:hAnsi="Times New Roman" w:cs="Times New Roman"/>
          <w:sz w:val="24"/>
          <w:szCs w:val="24"/>
          <w:lang w:val="en-US"/>
        </w:rPr>
        <w:t xml:space="preserve">All PCR reactions were performed using the </w:t>
      </w:r>
      <w:proofErr w:type="spellStart"/>
      <w:r w:rsidRPr="0088228A">
        <w:rPr>
          <w:rFonts w:ascii="Times New Roman" w:hAnsi="Times New Roman" w:cs="Times New Roman"/>
          <w:sz w:val="24"/>
          <w:szCs w:val="24"/>
          <w:lang w:val="en-US"/>
        </w:rPr>
        <w:t>QuantStudio</w:t>
      </w:r>
      <w:proofErr w:type="spellEnd"/>
      <w:r w:rsidRPr="0088228A">
        <w:rPr>
          <w:rFonts w:ascii="Times New Roman" w:hAnsi="Times New Roman" w:cs="Times New Roman"/>
          <w:sz w:val="24"/>
          <w:szCs w:val="24"/>
          <w:lang w:val="en-US"/>
        </w:rPr>
        <w:t xml:space="preserve">™ 5 Dx Real-Time PCR Detection System (Applied Biosystems Inc., Forster City, USA). The PCR Core reagent kit was used for systems with </w:t>
      </w:r>
      <w:proofErr w:type="spellStart"/>
      <w:r w:rsidRPr="0088228A">
        <w:rPr>
          <w:rFonts w:ascii="Times New Roman" w:hAnsi="Times New Roman" w:cs="Times New Roman"/>
          <w:sz w:val="24"/>
          <w:szCs w:val="24"/>
          <w:lang w:val="en-US"/>
        </w:rPr>
        <w:t>Taqman</w:t>
      </w:r>
      <w:proofErr w:type="spellEnd"/>
      <w:r w:rsidRPr="0088228A">
        <w:rPr>
          <w:rFonts w:ascii="Times New Roman" w:hAnsi="Times New Roman" w:cs="Times New Roman"/>
          <w:sz w:val="24"/>
          <w:szCs w:val="24"/>
          <w:lang w:val="en-US"/>
        </w:rPr>
        <w:t xml:space="preserve"> probes (</w:t>
      </w:r>
      <w:proofErr w:type="spellStart"/>
      <w:r w:rsidRPr="0088228A">
        <w:rPr>
          <w:rFonts w:ascii="Times New Roman" w:hAnsi="Times New Roman" w:cs="Times New Roman"/>
          <w:sz w:val="24"/>
          <w:szCs w:val="24"/>
          <w:lang w:val="en-US"/>
        </w:rPr>
        <w:t>Eurogentec</w:t>
      </w:r>
      <w:proofErr w:type="spellEnd"/>
      <w:r w:rsidRPr="0088228A">
        <w:rPr>
          <w:rFonts w:ascii="Times New Roman" w:hAnsi="Times New Roman" w:cs="Times New Roman"/>
          <w:sz w:val="24"/>
          <w:szCs w:val="24"/>
          <w:lang w:val="en-US"/>
        </w:rPr>
        <w:t>, Liège, Belgium). Predesigned TaqMan® Assay Reagents (</w:t>
      </w:r>
      <w:proofErr w:type="spellStart"/>
      <w:r w:rsidRPr="0088228A">
        <w:rPr>
          <w:rFonts w:ascii="Times New Roman" w:hAnsi="Times New Roman" w:cs="Times New Roman"/>
          <w:sz w:val="24"/>
          <w:szCs w:val="24"/>
          <w:lang w:val="en-US"/>
        </w:rPr>
        <w:t>ThermoFisher</w:t>
      </w:r>
      <w:proofErr w:type="spellEnd"/>
      <w:r w:rsidRPr="0088228A">
        <w:rPr>
          <w:rFonts w:ascii="Times New Roman" w:hAnsi="Times New Roman" w:cs="Times New Roman"/>
          <w:sz w:val="24"/>
          <w:szCs w:val="24"/>
          <w:lang w:val="en-US"/>
        </w:rPr>
        <w:t>, Waltham, USA) were used for CDC20 (Assay ID Hs00426680_mH) and CDK1 (Assay ID Hs04177802_m1) mRNA expression. Primers and probes sequences used for MYBL2 and KPNA2 were previously described in PMID: 29662649. TATA Box binding protein (TBP) was used as endogenous reference genes. Target quantities were normalized to TBP mRNA expression.</w:t>
      </w:r>
    </w:p>
    <w:p w:rsidR="00AF1AFA" w:rsidRDefault="00AF1AFA" w:rsidP="00AF1AFA">
      <w:pPr>
        <w:pStyle w:val="NormalWeb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8228A">
        <w:rPr>
          <w:rFonts w:ascii="Times New Roman" w:hAnsi="Times New Roman" w:cs="Times New Roman"/>
          <w:sz w:val="24"/>
          <w:szCs w:val="24"/>
          <w:lang w:val="en-US"/>
        </w:rPr>
        <w:t>Human breast luminal cancer cell lines T47D cDNA was used to generate 7 points standard curves for each gene. Target quantities were normalized to the reference genes and calibrated using the second point of each standard curve. Final results were expressed as N-fold differences in target gene expression relative to the reference genes and the calibrator and are expressed as: 2</w:t>
      </w:r>
      <w:proofErr w:type="gramStart"/>
      <w:r w:rsidRPr="0088228A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target</w:t>
      </w:r>
      <w:r w:rsidRPr="0088228A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88228A">
        <w:rPr>
          <w:rFonts w:ascii="Times New Roman" w:hAnsi="Times New Roman" w:cs="Times New Roman"/>
          <w:sz w:val="24"/>
          <w:szCs w:val="24"/>
          <w:lang w:val="en-US"/>
        </w:rPr>
        <w:t>Ct calibrator -  Ct sample)/</w:t>
      </w:r>
      <w:proofErr w:type="spellStart"/>
      <w:r w:rsidRPr="0088228A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8228A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reference</w:t>
      </w:r>
      <w:proofErr w:type="spellEnd"/>
      <w:r w:rsidRPr="0088228A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gene</w:t>
      </w:r>
      <w:r w:rsidRPr="0088228A">
        <w:rPr>
          <w:rFonts w:ascii="Times New Roman" w:hAnsi="Times New Roman" w:cs="Times New Roman"/>
          <w:sz w:val="24"/>
          <w:szCs w:val="24"/>
          <w:lang w:val="en-US"/>
        </w:rPr>
        <w:t>(Ct calibrator -  Ct sample), where Ct is the cycle threshold. No reverse-Transcription Controls (NTC) were included in any batch of samples.</w:t>
      </w:r>
    </w:p>
    <w:p w:rsidR="00AF1AFA" w:rsidRPr="0088228A" w:rsidRDefault="00AF1AFA" w:rsidP="00AF1AFA">
      <w:pPr>
        <w:pStyle w:val="NormalWeb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AF1AFA" w:rsidRPr="0088228A" w:rsidRDefault="00AF1AFA" w:rsidP="00AF1AFA">
      <w:pPr>
        <w:pStyle w:val="p"/>
        <w:jc w:val="both"/>
        <w:rPr>
          <w:b/>
        </w:rPr>
      </w:pPr>
      <w:r w:rsidRPr="0088228A">
        <w:rPr>
          <w:b/>
        </w:rPr>
        <w:t>Explored grid of models' hyperparameters</w:t>
      </w:r>
    </w:p>
    <w:p w:rsidR="00AF1AFA" w:rsidRPr="0088228A" w:rsidRDefault="00AF1AFA" w:rsidP="00AF1AFA">
      <w:pPr>
        <w:pStyle w:val="p"/>
        <w:jc w:val="both"/>
        <w:rPr>
          <w:bCs/>
        </w:rPr>
      </w:pPr>
      <w:r w:rsidRPr="0088228A">
        <w:rPr>
          <w:bCs/>
        </w:rPr>
        <w:t>For each model, the optimal hyperparameters were found using a grid search procedure in a leave-pair-out cross-validation. Other parameters were set with default values by the Python library scikit-learn.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64"/>
        <w:gridCol w:w="2264"/>
        <w:gridCol w:w="2264"/>
        <w:gridCol w:w="2264"/>
      </w:tblGrid>
      <w:tr w:rsidR="00AF1AFA" w:rsidRPr="00323652" w:rsidTr="0014608F">
        <w:tc>
          <w:tcPr>
            <w:tcW w:w="2264" w:type="dxa"/>
          </w:tcPr>
          <w:p w:rsidR="00AF1AFA" w:rsidRPr="0088228A" w:rsidRDefault="00AF1AFA" w:rsidP="0014608F">
            <w:pPr>
              <w:autoSpaceDE w:val="0"/>
              <w:spacing w:line="480" w:lineRule="auto"/>
              <w:jc w:val="both"/>
              <w:rPr>
                <w:lang w:val="en-US"/>
              </w:rPr>
            </w:pPr>
            <w:r w:rsidRPr="0088228A">
              <w:rPr>
                <w:lang w:val="en-US"/>
              </w:rPr>
              <w:lastRenderedPageBreak/>
              <w:t>ML model</w:t>
            </w:r>
          </w:p>
        </w:tc>
        <w:tc>
          <w:tcPr>
            <w:tcW w:w="2264" w:type="dxa"/>
          </w:tcPr>
          <w:p w:rsidR="00AF1AFA" w:rsidRPr="0088228A" w:rsidRDefault="00AF1AFA" w:rsidP="0014608F">
            <w:pPr>
              <w:autoSpaceDE w:val="0"/>
              <w:spacing w:line="480" w:lineRule="auto"/>
              <w:jc w:val="both"/>
              <w:rPr>
                <w:lang w:val="en-US"/>
              </w:rPr>
            </w:pPr>
            <w:r w:rsidRPr="0088228A">
              <w:rPr>
                <w:lang w:val="en-US"/>
              </w:rPr>
              <w:t>Hyperparameter</w:t>
            </w:r>
          </w:p>
        </w:tc>
        <w:tc>
          <w:tcPr>
            <w:tcW w:w="2264" w:type="dxa"/>
          </w:tcPr>
          <w:p w:rsidR="00AF1AFA" w:rsidRPr="0088228A" w:rsidRDefault="00AF1AFA" w:rsidP="0014608F">
            <w:pPr>
              <w:autoSpaceDE w:val="0"/>
              <w:spacing w:line="480" w:lineRule="auto"/>
              <w:jc w:val="both"/>
              <w:rPr>
                <w:lang w:val="en-US"/>
              </w:rPr>
            </w:pPr>
            <w:r w:rsidRPr="0088228A">
              <w:rPr>
                <w:lang w:val="en-US"/>
              </w:rPr>
              <w:t>Explored space</w:t>
            </w:r>
          </w:p>
        </w:tc>
        <w:tc>
          <w:tcPr>
            <w:tcW w:w="2264" w:type="dxa"/>
          </w:tcPr>
          <w:p w:rsidR="00AF1AFA" w:rsidRPr="0088228A" w:rsidRDefault="00AF1AFA" w:rsidP="0014608F">
            <w:pPr>
              <w:autoSpaceDE w:val="0"/>
              <w:spacing w:line="480" w:lineRule="auto"/>
              <w:jc w:val="both"/>
              <w:rPr>
                <w:lang w:val="en-US"/>
              </w:rPr>
            </w:pPr>
            <w:r w:rsidRPr="0088228A">
              <w:rPr>
                <w:lang w:val="en-US"/>
              </w:rPr>
              <w:t>Optimal value</w:t>
            </w:r>
            <w:r w:rsidRPr="0088228A">
              <w:rPr>
                <w:lang w:val="en-US"/>
              </w:rPr>
              <w:br/>
              <w:t>(for the full multimodal model)</w:t>
            </w:r>
          </w:p>
        </w:tc>
      </w:tr>
      <w:tr w:rsidR="00AF1AFA" w:rsidRPr="0088228A" w:rsidTr="0014608F">
        <w:trPr>
          <w:trHeight w:val="644"/>
        </w:trPr>
        <w:tc>
          <w:tcPr>
            <w:tcW w:w="2264" w:type="dxa"/>
            <w:vMerge w:val="restart"/>
          </w:tcPr>
          <w:p w:rsidR="00AF1AFA" w:rsidRPr="0088228A" w:rsidRDefault="00AF1AFA" w:rsidP="0014608F">
            <w:pPr>
              <w:autoSpaceDE w:val="0"/>
              <w:spacing w:line="480" w:lineRule="auto"/>
              <w:jc w:val="both"/>
              <w:rPr>
                <w:lang w:val="en-US"/>
              </w:rPr>
            </w:pPr>
            <w:r w:rsidRPr="0088228A">
              <w:rPr>
                <w:lang w:val="en-US"/>
              </w:rPr>
              <w:t>Logistic regression</w:t>
            </w:r>
          </w:p>
        </w:tc>
        <w:tc>
          <w:tcPr>
            <w:tcW w:w="2264" w:type="dxa"/>
          </w:tcPr>
          <w:p w:rsidR="00AF1AFA" w:rsidRPr="0088228A" w:rsidRDefault="00AF1AFA" w:rsidP="0014608F">
            <w:pPr>
              <w:autoSpaceDE w:val="0"/>
              <w:spacing w:line="480" w:lineRule="auto"/>
              <w:jc w:val="both"/>
              <w:rPr>
                <w:lang w:val="en-US"/>
              </w:rPr>
            </w:pPr>
            <w:r w:rsidRPr="0088228A">
              <w:rPr>
                <w:lang w:val="en-US"/>
              </w:rPr>
              <w:t>Penalty</w:t>
            </w:r>
          </w:p>
        </w:tc>
        <w:tc>
          <w:tcPr>
            <w:tcW w:w="2264" w:type="dxa"/>
          </w:tcPr>
          <w:p w:rsidR="00AF1AFA" w:rsidRPr="0088228A" w:rsidRDefault="00AF1AFA" w:rsidP="0014608F">
            <w:pPr>
              <w:autoSpaceDE w:val="0"/>
              <w:spacing w:line="480" w:lineRule="auto"/>
              <w:jc w:val="both"/>
              <w:rPr>
                <w:lang w:val="en-US"/>
              </w:rPr>
            </w:pPr>
            <w:r w:rsidRPr="0088228A">
              <w:rPr>
                <w:lang w:val="en-US"/>
              </w:rPr>
              <w:t>L1</w:t>
            </w:r>
          </w:p>
        </w:tc>
        <w:tc>
          <w:tcPr>
            <w:tcW w:w="2264" w:type="dxa"/>
          </w:tcPr>
          <w:p w:rsidR="00AF1AFA" w:rsidRPr="0088228A" w:rsidRDefault="00AF1AFA" w:rsidP="0014608F">
            <w:pPr>
              <w:autoSpaceDE w:val="0"/>
              <w:spacing w:line="480" w:lineRule="auto"/>
              <w:jc w:val="both"/>
              <w:rPr>
                <w:lang w:val="en-US"/>
              </w:rPr>
            </w:pPr>
            <w:r w:rsidRPr="0088228A">
              <w:rPr>
                <w:lang w:val="en-US"/>
              </w:rPr>
              <w:t>L1</w:t>
            </w:r>
          </w:p>
        </w:tc>
      </w:tr>
      <w:tr w:rsidR="00AF1AFA" w:rsidRPr="0088228A" w:rsidTr="0014608F">
        <w:trPr>
          <w:trHeight w:val="643"/>
        </w:trPr>
        <w:tc>
          <w:tcPr>
            <w:tcW w:w="2264" w:type="dxa"/>
            <w:vMerge/>
          </w:tcPr>
          <w:p w:rsidR="00AF1AFA" w:rsidRPr="0088228A" w:rsidRDefault="00AF1AFA" w:rsidP="0014608F">
            <w:pPr>
              <w:autoSpaceDE w:val="0"/>
              <w:spacing w:line="480" w:lineRule="auto"/>
              <w:jc w:val="both"/>
              <w:rPr>
                <w:lang w:val="en-US"/>
              </w:rPr>
            </w:pPr>
          </w:p>
        </w:tc>
        <w:tc>
          <w:tcPr>
            <w:tcW w:w="2264" w:type="dxa"/>
          </w:tcPr>
          <w:p w:rsidR="00AF1AFA" w:rsidRPr="0088228A" w:rsidRDefault="00AF1AFA" w:rsidP="0014608F">
            <w:pPr>
              <w:autoSpaceDE w:val="0"/>
              <w:spacing w:line="480" w:lineRule="auto"/>
              <w:jc w:val="both"/>
              <w:rPr>
                <w:lang w:val="en-US"/>
              </w:rPr>
            </w:pPr>
            <w:r w:rsidRPr="0088228A">
              <w:rPr>
                <w:lang w:val="en-US"/>
              </w:rPr>
              <w:t>C</w:t>
            </w:r>
          </w:p>
        </w:tc>
        <w:tc>
          <w:tcPr>
            <w:tcW w:w="2264" w:type="dxa"/>
          </w:tcPr>
          <w:p w:rsidR="00AF1AFA" w:rsidRPr="0088228A" w:rsidRDefault="00AF1AFA" w:rsidP="0014608F">
            <w:pPr>
              <w:autoSpaceDE w:val="0"/>
              <w:spacing w:line="480" w:lineRule="auto"/>
              <w:jc w:val="both"/>
              <w:rPr>
                <w:lang w:val="en-US"/>
              </w:rPr>
            </w:pPr>
            <w:r w:rsidRPr="0088228A">
              <w:rPr>
                <w:lang w:val="en-US"/>
              </w:rPr>
              <w:t>{0.01, 0.1, 0.2}</w:t>
            </w:r>
          </w:p>
        </w:tc>
        <w:tc>
          <w:tcPr>
            <w:tcW w:w="2264" w:type="dxa"/>
          </w:tcPr>
          <w:p w:rsidR="00AF1AFA" w:rsidRPr="0088228A" w:rsidRDefault="00AF1AFA" w:rsidP="0014608F">
            <w:pPr>
              <w:autoSpaceDE w:val="0"/>
              <w:spacing w:line="480" w:lineRule="auto"/>
              <w:jc w:val="both"/>
              <w:rPr>
                <w:lang w:val="en-US"/>
              </w:rPr>
            </w:pPr>
            <w:r w:rsidRPr="0088228A">
              <w:rPr>
                <w:lang w:val="en-US"/>
              </w:rPr>
              <w:t>0.2</w:t>
            </w:r>
          </w:p>
        </w:tc>
      </w:tr>
      <w:tr w:rsidR="00AF1AFA" w:rsidRPr="0088228A" w:rsidTr="0014608F">
        <w:tc>
          <w:tcPr>
            <w:tcW w:w="2264" w:type="dxa"/>
          </w:tcPr>
          <w:p w:rsidR="00AF1AFA" w:rsidRPr="0088228A" w:rsidRDefault="00AF1AFA" w:rsidP="0014608F">
            <w:pPr>
              <w:autoSpaceDE w:val="0"/>
              <w:spacing w:line="480" w:lineRule="auto"/>
              <w:jc w:val="both"/>
              <w:rPr>
                <w:lang w:val="en-US"/>
              </w:rPr>
            </w:pPr>
            <w:r w:rsidRPr="0088228A">
              <w:rPr>
                <w:lang w:val="en-US"/>
              </w:rPr>
              <w:t>Binary decision tree</w:t>
            </w:r>
          </w:p>
        </w:tc>
        <w:tc>
          <w:tcPr>
            <w:tcW w:w="2264" w:type="dxa"/>
          </w:tcPr>
          <w:p w:rsidR="00AF1AFA" w:rsidRPr="0088228A" w:rsidRDefault="00AF1AFA" w:rsidP="0014608F">
            <w:pPr>
              <w:autoSpaceDE w:val="0"/>
              <w:spacing w:line="480" w:lineRule="auto"/>
              <w:jc w:val="both"/>
              <w:rPr>
                <w:lang w:val="en-US"/>
              </w:rPr>
            </w:pPr>
            <w:r w:rsidRPr="0088228A">
              <w:rPr>
                <w:lang w:val="en-US"/>
              </w:rPr>
              <w:t>Max depth</w:t>
            </w:r>
          </w:p>
        </w:tc>
        <w:tc>
          <w:tcPr>
            <w:tcW w:w="2264" w:type="dxa"/>
          </w:tcPr>
          <w:p w:rsidR="00AF1AFA" w:rsidRPr="0088228A" w:rsidRDefault="00AF1AFA" w:rsidP="0014608F">
            <w:pPr>
              <w:autoSpaceDE w:val="0"/>
              <w:spacing w:line="480" w:lineRule="auto"/>
              <w:jc w:val="both"/>
              <w:rPr>
                <w:lang w:val="en-US"/>
              </w:rPr>
            </w:pPr>
            <w:r w:rsidRPr="0088228A">
              <w:rPr>
                <w:lang w:val="en-US"/>
              </w:rPr>
              <w:t>{1, 3, 5, 7, 9}</w:t>
            </w:r>
          </w:p>
        </w:tc>
        <w:tc>
          <w:tcPr>
            <w:tcW w:w="2264" w:type="dxa"/>
          </w:tcPr>
          <w:p w:rsidR="00AF1AFA" w:rsidRPr="0088228A" w:rsidRDefault="00AF1AFA" w:rsidP="0014608F">
            <w:pPr>
              <w:autoSpaceDE w:val="0"/>
              <w:spacing w:line="480" w:lineRule="auto"/>
              <w:jc w:val="both"/>
              <w:rPr>
                <w:lang w:val="en-US"/>
              </w:rPr>
            </w:pPr>
            <w:r w:rsidRPr="0088228A">
              <w:rPr>
                <w:lang w:val="en-US"/>
              </w:rPr>
              <w:t>3</w:t>
            </w:r>
          </w:p>
        </w:tc>
      </w:tr>
      <w:tr w:rsidR="00AF1AFA" w:rsidRPr="0088228A" w:rsidTr="0014608F">
        <w:trPr>
          <w:trHeight w:val="422"/>
        </w:trPr>
        <w:tc>
          <w:tcPr>
            <w:tcW w:w="2264" w:type="dxa"/>
            <w:vMerge w:val="restart"/>
          </w:tcPr>
          <w:p w:rsidR="00AF1AFA" w:rsidRPr="0088228A" w:rsidRDefault="00AF1AFA" w:rsidP="0014608F">
            <w:pPr>
              <w:autoSpaceDE w:val="0"/>
              <w:spacing w:line="480" w:lineRule="auto"/>
              <w:jc w:val="both"/>
              <w:rPr>
                <w:lang w:val="en-US"/>
              </w:rPr>
            </w:pPr>
            <w:r w:rsidRPr="0088228A">
              <w:rPr>
                <w:lang w:val="en-US"/>
              </w:rPr>
              <w:t>Random forest</w:t>
            </w:r>
          </w:p>
        </w:tc>
        <w:tc>
          <w:tcPr>
            <w:tcW w:w="2264" w:type="dxa"/>
          </w:tcPr>
          <w:p w:rsidR="00AF1AFA" w:rsidRPr="0088228A" w:rsidRDefault="00AF1AFA" w:rsidP="0014608F">
            <w:pPr>
              <w:autoSpaceDE w:val="0"/>
              <w:spacing w:line="480" w:lineRule="auto"/>
              <w:jc w:val="both"/>
              <w:rPr>
                <w:lang w:val="en-US"/>
              </w:rPr>
            </w:pPr>
            <w:r w:rsidRPr="0088228A">
              <w:rPr>
                <w:lang w:val="en-US"/>
              </w:rPr>
              <w:t>N estimators</w:t>
            </w:r>
          </w:p>
        </w:tc>
        <w:tc>
          <w:tcPr>
            <w:tcW w:w="2264" w:type="dxa"/>
          </w:tcPr>
          <w:p w:rsidR="00AF1AFA" w:rsidRPr="0088228A" w:rsidRDefault="00AF1AFA" w:rsidP="0014608F">
            <w:pPr>
              <w:autoSpaceDE w:val="0"/>
              <w:spacing w:line="480" w:lineRule="auto"/>
              <w:jc w:val="both"/>
              <w:rPr>
                <w:lang w:val="en-US"/>
              </w:rPr>
            </w:pPr>
            <w:r w:rsidRPr="0088228A">
              <w:rPr>
                <w:lang w:val="en-US"/>
              </w:rPr>
              <w:t>500</w:t>
            </w:r>
          </w:p>
        </w:tc>
        <w:tc>
          <w:tcPr>
            <w:tcW w:w="2264" w:type="dxa"/>
          </w:tcPr>
          <w:p w:rsidR="00AF1AFA" w:rsidRPr="0088228A" w:rsidRDefault="00AF1AFA" w:rsidP="0014608F">
            <w:pPr>
              <w:autoSpaceDE w:val="0"/>
              <w:spacing w:line="480" w:lineRule="auto"/>
              <w:jc w:val="both"/>
              <w:rPr>
                <w:lang w:val="en-US"/>
              </w:rPr>
            </w:pPr>
            <w:r w:rsidRPr="0088228A">
              <w:rPr>
                <w:lang w:val="en-US"/>
              </w:rPr>
              <w:t>500</w:t>
            </w:r>
          </w:p>
        </w:tc>
      </w:tr>
      <w:tr w:rsidR="00AF1AFA" w:rsidRPr="0088228A" w:rsidTr="0014608F">
        <w:trPr>
          <w:trHeight w:val="421"/>
        </w:trPr>
        <w:tc>
          <w:tcPr>
            <w:tcW w:w="2264" w:type="dxa"/>
            <w:vMerge/>
          </w:tcPr>
          <w:p w:rsidR="00AF1AFA" w:rsidRPr="0088228A" w:rsidRDefault="00AF1AFA" w:rsidP="0014608F">
            <w:pPr>
              <w:autoSpaceDE w:val="0"/>
              <w:spacing w:line="480" w:lineRule="auto"/>
              <w:jc w:val="both"/>
              <w:rPr>
                <w:lang w:val="en-US"/>
              </w:rPr>
            </w:pPr>
          </w:p>
        </w:tc>
        <w:tc>
          <w:tcPr>
            <w:tcW w:w="2264" w:type="dxa"/>
          </w:tcPr>
          <w:p w:rsidR="00AF1AFA" w:rsidRPr="0088228A" w:rsidRDefault="00AF1AFA" w:rsidP="0014608F">
            <w:pPr>
              <w:autoSpaceDE w:val="0"/>
              <w:spacing w:line="480" w:lineRule="auto"/>
              <w:jc w:val="both"/>
              <w:rPr>
                <w:lang w:val="en-US"/>
              </w:rPr>
            </w:pPr>
            <w:r w:rsidRPr="0088228A">
              <w:rPr>
                <w:lang w:val="en-US"/>
              </w:rPr>
              <w:t>Max depth</w:t>
            </w:r>
          </w:p>
        </w:tc>
        <w:tc>
          <w:tcPr>
            <w:tcW w:w="2264" w:type="dxa"/>
          </w:tcPr>
          <w:p w:rsidR="00AF1AFA" w:rsidRPr="0088228A" w:rsidRDefault="00AF1AFA" w:rsidP="0014608F">
            <w:pPr>
              <w:autoSpaceDE w:val="0"/>
              <w:spacing w:line="480" w:lineRule="auto"/>
              <w:jc w:val="both"/>
              <w:rPr>
                <w:lang w:val="en-US"/>
              </w:rPr>
            </w:pPr>
            <w:r w:rsidRPr="0088228A">
              <w:rPr>
                <w:lang w:val="en-US"/>
              </w:rPr>
              <w:t>{1, 4, 7, 10}</w:t>
            </w:r>
          </w:p>
        </w:tc>
        <w:tc>
          <w:tcPr>
            <w:tcW w:w="2264" w:type="dxa"/>
          </w:tcPr>
          <w:p w:rsidR="00AF1AFA" w:rsidRPr="0088228A" w:rsidRDefault="00AF1AFA" w:rsidP="0014608F">
            <w:pPr>
              <w:autoSpaceDE w:val="0"/>
              <w:spacing w:line="480" w:lineRule="auto"/>
              <w:jc w:val="both"/>
              <w:rPr>
                <w:lang w:val="en-US"/>
              </w:rPr>
            </w:pPr>
            <w:r w:rsidRPr="0088228A">
              <w:rPr>
                <w:lang w:val="en-US"/>
              </w:rPr>
              <w:t>4</w:t>
            </w:r>
          </w:p>
        </w:tc>
      </w:tr>
      <w:tr w:rsidR="00AF1AFA" w:rsidRPr="0088228A" w:rsidTr="0014608F">
        <w:trPr>
          <w:trHeight w:val="644"/>
        </w:trPr>
        <w:tc>
          <w:tcPr>
            <w:tcW w:w="2264" w:type="dxa"/>
            <w:vMerge w:val="restart"/>
          </w:tcPr>
          <w:p w:rsidR="00AF1AFA" w:rsidRPr="0088228A" w:rsidRDefault="00AF1AFA" w:rsidP="0014608F">
            <w:pPr>
              <w:autoSpaceDE w:val="0"/>
              <w:spacing w:line="480" w:lineRule="auto"/>
              <w:jc w:val="both"/>
              <w:rPr>
                <w:lang w:val="en-US"/>
              </w:rPr>
            </w:pPr>
            <w:r w:rsidRPr="0088228A">
              <w:rPr>
                <w:lang w:val="en-US"/>
              </w:rPr>
              <w:t>Support vector machine</w:t>
            </w:r>
          </w:p>
        </w:tc>
        <w:tc>
          <w:tcPr>
            <w:tcW w:w="2264" w:type="dxa"/>
          </w:tcPr>
          <w:p w:rsidR="00AF1AFA" w:rsidRPr="0088228A" w:rsidRDefault="00AF1AFA" w:rsidP="0014608F">
            <w:pPr>
              <w:autoSpaceDE w:val="0"/>
              <w:spacing w:line="480" w:lineRule="auto"/>
              <w:jc w:val="both"/>
              <w:rPr>
                <w:lang w:val="en-US"/>
              </w:rPr>
            </w:pPr>
            <w:r w:rsidRPr="0088228A">
              <w:rPr>
                <w:lang w:val="en-US"/>
              </w:rPr>
              <w:t>Kernel</w:t>
            </w:r>
          </w:p>
        </w:tc>
        <w:tc>
          <w:tcPr>
            <w:tcW w:w="2264" w:type="dxa"/>
          </w:tcPr>
          <w:p w:rsidR="00AF1AFA" w:rsidRPr="0088228A" w:rsidRDefault="00AF1AFA" w:rsidP="0014608F">
            <w:pPr>
              <w:autoSpaceDE w:val="0"/>
              <w:spacing w:line="480" w:lineRule="auto"/>
              <w:jc w:val="both"/>
              <w:rPr>
                <w:lang w:val="en-US"/>
              </w:rPr>
            </w:pPr>
            <w:r w:rsidRPr="0088228A">
              <w:rPr>
                <w:lang w:val="en-US"/>
              </w:rPr>
              <w:t>Linear</w:t>
            </w:r>
          </w:p>
        </w:tc>
        <w:tc>
          <w:tcPr>
            <w:tcW w:w="2264" w:type="dxa"/>
          </w:tcPr>
          <w:p w:rsidR="00AF1AFA" w:rsidRPr="0088228A" w:rsidRDefault="00AF1AFA" w:rsidP="0014608F">
            <w:pPr>
              <w:autoSpaceDE w:val="0"/>
              <w:spacing w:line="480" w:lineRule="auto"/>
              <w:jc w:val="both"/>
              <w:rPr>
                <w:lang w:val="en-US"/>
              </w:rPr>
            </w:pPr>
            <w:r w:rsidRPr="0088228A">
              <w:rPr>
                <w:lang w:val="en-US"/>
              </w:rPr>
              <w:t>Linear</w:t>
            </w:r>
          </w:p>
        </w:tc>
      </w:tr>
      <w:tr w:rsidR="00AF1AFA" w:rsidRPr="0088228A" w:rsidTr="0014608F">
        <w:trPr>
          <w:trHeight w:val="643"/>
        </w:trPr>
        <w:tc>
          <w:tcPr>
            <w:tcW w:w="2264" w:type="dxa"/>
            <w:vMerge/>
          </w:tcPr>
          <w:p w:rsidR="00AF1AFA" w:rsidRPr="0088228A" w:rsidRDefault="00AF1AFA" w:rsidP="0014608F">
            <w:pPr>
              <w:autoSpaceDE w:val="0"/>
              <w:spacing w:line="480" w:lineRule="auto"/>
              <w:jc w:val="both"/>
              <w:rPr>
                <w:lang w:val="en-US"/>
              </w:rPr>
            </w:pPr>
          </w:p>
        </w:tc>
        <w:tc>
          <w:tcPr>
            <w:tcW w:w="2264" w:type="dxa"/>
          </w:tcPr>
          <w:p w:rsidR="00AF1AFA" w:rsidRPr="0088228A" w:rsidRDefault="00AF1AFA" w:rsidP="0014608F">
            <w:pPr>
              <w:autoSpaceDE w:val="0"/>
              <w:spacing w:line="480" w:lineRule="auto"/>
              <w:jc w:val="both"/>
              <w:rPr>
                <w:lang w:val="en-US"/>
              </w:rPr>
            </w:pPr>
            <w:r w:rsidRPr="0088228A">
              <w:rPr>
                <w:lang w:val="en-US"/>
              </w:rPr>
              <w:t>C</w:t>
            </w:r>
          </w:p>
        </w:tc>
        <w:tc>
          <w:tcPr>
            <w:tcW w:w="2264" w:type="dxa"/>
          </w:tcPr>
          <w:p w:rsidR="00AF1AFA" w:rsidRPr="0088228A" w:rsidRDefault="00AF1AFA" w:rsidP="0014608F">
            <w:pPr>
              <w:autoSpaceDE w:val="0"/>
              <w:spacing w:line="480" w:lineRule="auto"/>
              <w:jc w:val="both"/>
              <w:rPr>
                <w:lang w:val="en-US"/>
              </w:rPr>
            </w:pPr>
            <w:r w:rsidRPr="0088228A">
              <w:rPr>
                <w:lang w:val="en-US"/>
              </w:rPr>
              <w:t>{0.001, 0.01, 0.1, 0.5, 1}</w:t>
            </w:r>
          </w:p>
        </w:tc>
        <w:tc>
          <w:tcPr>
            <w:tcW w:w="2264" w:type="dxa"/>
          </w:tcPr>
          <w:p w:rsidR="00AF1AFA" w:rsidRPr="0088228A" w:rsidRDefault="00AF1AFA" w:rsidP="0014608F">
            <w:pPr>
              <w:autoSpaceDE w:val="0"/>
              <w:spacing w:line="480" w:lineRule="auto"/>
              <w:jc w:val="both"/>
              <w:rPr>
                <w:lang w:val="en-US"/>
              </w:rPr>
            </w:pPr>
            <w:r w:rsidRPr="0088228A">
              <w:rPr>
                <w:lang w:val="en-US"/>
              </w:rPr>
              <w:t>0.5</w:t>
            </w:r>
          </w:p>
        </w:tc>
      </w:tr>
    </w:tbl>
    <w:p w:rsidR="00AF1AFA" w:rsidRPr="0088228A" w:rsidRDefault="00AF1AFA" w:rsidP="00AF1AFA">
      <w:pPr>
        <w:autoSpaceDE w:val="0"/>
        <w:spacing w:line="480" w:lineRule="auto"/>
        <w:jc w:val="both"/>
        <w:rPr>
          <w:lang w:val="en-US"/>
        </w:rPr>
      </w:pPr>
    </w:p>
    <w:p w:rsidR="00A22162" w:rsidRDefault="00A22162" w:rsidP="00AF1AFA"/>
    <w:sectPr w:rsidR="00A221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AFA"/>
    <w:rsid w:val="007664B1"/>
    <w:rsid w:val="009B6286"/>
    <w:rsid w:val="00A22162"/>
    <w:rsid w:val="00AF1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5B9229B"/>
  <w15:chartTrackingRefBased/>
  <w15:docId w15:val="{B65867B1-FA1F-BE44-90C3-10C78D333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1AFA"/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AF1AFA"/>
    <w:pPr>
      <w:spacing w:before="280" w:after="280"/>
    </w:pPr>
    <w:rPr>
      <w:rFonts w:ascii="Verdana" w:hAnsi="Verdana" w:cs="Verdana"/>
      <w:color w:val="000000"/>
      <w:sz w:val="20"/>
      <w:szCs w:val="20"/>
      <w:lang w:eastAsia="ar-SA"/>
    </w:rPr>
  </w:style>
  <w:style w:type="table" w:styleId="Grilledutableau">
    <w:name w:val="Table Grid"/>
    <w:basedOn w:val="TableauNormal"/>
    <w:uiPriority w:val="99"/>
    <w:rsid w:val="00AF1AFA"/>
    <w:rPr>
      <w:rFonts w:ascii="Cambria" w:eastAsia="Cambria" w:hAnsi="Cambria" w:cs="Cambria"/>
      <w:kern w:val="0"/>
      <w:sz w:val="20"/>
      <w:szCs w:val="20"/>
      <w:lang w:eastAsia="fr-FR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p">
    <w:name w:val="p"/>
    <w:basedOn w:val="Normal"/>
    <w:rsid w:val="00AF1AFA"/>
    <w:pPr>
      <w:spacing w:before="100" w:beforeAutospacing="1" w:after="100" w:afterAutospacing="1"/>
    </w:pPr>
    <w:rPr>
      <w:lang w:val="en-US" w:eastAsia="en-US"/>
    </w:rPr>
  </w:style>
  <w:style w:type="character" w:customStyle="1" w:styleId="id-label">
    <w:name w:val="id-label"/>
    <w:basedOn w:val="Policepardfaut"/>
    <w:rsid w:val="00AF1AFA"/>
  </w:style>
  <w:style w:type="character" w:styleId="lev">
    <w:name w:val="Strong"/>
    <w:basedOn w:val="Policepardfaut"/>
    <w:uiPriority w:val="22"/>
    <w:qFormat/>
    <w:rsid w:val="00AF1AF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401</Words>
  <Characters>2208</Characters>
  <Application>Microsoft Office Word</Application>
  <DocSecurity>0</DocSecurity>
  <Lines>18</Lines>
  <Paragraphs>5</Paragraphs>
  <ScaleCrop>false</ScaleCrop>
  <Company/>
  <LinksUpToDate>false</LinksUpToDate>
  <CharactersWithSpaces>2604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GROHEUX</dc:creator>
  <cp:keywords/>
  <dc:description/>
  <cp:lastModifiedBy>David GROHEUX</cp:lastModifiedBy>
  <cp:revision>1</cp:revision>
  <dcterms:created xsi:type="dcterms:W3CDTF">2024-01-28T16:15:00Z</dcterms:created>
  <dcterms:modified xsi:type="dcterms:W3CDTF">2024-01-28T16:16:00Z</dcterms:modified>
</cp:coreProperties>
</file>