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48363F" w14:textId="3132388D" w:rsidR="00867558" w:rsidRPr="00EE41C6" w:rsidRDefault="00867558" w:rsidP="004359DB">
      <w:pPr>
        <w:jc w:val="center"/>
        <w:rPr>
          <w:rFonts w:ascii="Times New Roman" w:hAnsi="Times New Roman" w:cs="Times New Roman"/>
          <w:b/>
          <w:bCs/>
          <w:sz w:val="28"/>
          <w:szCs w:val="28"/>
        </w:rPr>
      </w:pPr>
      <w:bookmarkStart w:id="0" w:name="_Hlk147063228"/>
      <w:r w:rsidRPr="00EE41C6">
        <w:rPr>
          <w:rFonts w:ascii="Times New Roman" w:hAnsi="Times New Roman" w:cs="Times New Roman"/>
          <w:b/>
          <w:bCs/>
          <w:sz w:val="28"/>
          <w:szCs w:val="28"/>
        </w:rPr>
        <w:t>Supplementary Information</w:t>
      </w:r>
    </w:p>
    <w:p w14:paraId="277CE104" w14:textId="77777777" w:rsidR="001276EC" w:rsidRPr="00EE41C6" w:rsidRDefault="001276EC" w:rsidP="004359DB">
      <w:pPr>
        <w:jc w:val="center"/>
        <w:rPr>
          <w:rFonts w:ascii="Times New Roman" w:hAnsi="Times New Roman" w:cs="Times New Roman"/>
          <w:b/>
          <w:bCs/>
          <w:sz w:val="28"/>
          <w:szCs w:val="28"/>
        </w:rPr>
      </w:pPr>
    </w:p>
    <w:p w14:paraId="2F71C697" w14:textId="3472BC67" w:rsidR="006639D1" w:rsidRDefault="006639D1" w:rsidP="00820C99">
      <w:pPr>
        <w:spacing w:after="0" w:line="480" w:lineRule="auto"/>
        <w:ind w:firstLine="284"/>
        <w:jc w:val="center"/>
        <w:rPr>
          <w:rFonts w:ascii="Arial Black" w:hAnsi="Arial Black"/>
          <w:sz w:val="28"/>
          <w:szCs w:val="28"/>
        </w:rPr>
      </w:pPr>
      <w:bookmarkStart w:id="1" w:name="_Hlk157883537"/>
      <w:bookmarkStart w:id="2" w:name="_Hlk157620874"/>
      <w:bookmarkEnd w:id="0"/>
      <w:r w:rsidRPr="006639D1">
        <w:rPr>
          <w:rFonts w:ascii="Arial Black" w:hAnsi="Arial Black"/>
          <w:sz w:val="28"/>
          <w:szCs w:val="28"/>
        </w:rPr>
        <w:t xml:space="preserve">Sector-specific and carbon removal targets </w:t>
      </w:r>
      <w:r w:rsidR="00400F2F">
        <w:rPr>
          <w:rFonts w:ascii="Arial Black" w:hAnsi="Arial Black"/>
          <w:sz w:val="28"/>
          <w:szCs w:val="28"/>
        </w:rPr>
        <w:t xml:space="preserve">could </w:t>
      </w:r>
      <w:r w:rsidRPr="006639D1">
        <w:rPr>
          <w:rFonts w:ascii="Arial Black" w:hAnsi="Arial Black"/>
          <w:sz w:val="28"/>
          <w:szCs w:val="28"/>
        </w:rPr>
        <w:t xml:space="preserve">limit adverse impacts of climate change and promote sustainability </w:t>
      </w:r>
    </w:p>
    <w:p w14:paraId="64EAEADA" w14:textId="77777777" w:rsidR="004D032F" w:rsidRPr="00307D35" w:rsidRDefault="004D032F" w:rsidP="004D032F">
      <w:pPr>
        <w:spacing w:after="0" w:line="480" w:lineRule="auto"/>
        <w:ind w:firstLine="284"/>
        <w:jc w:val="center"/>
        <w:rPr>
          <w:rFonts w:ascii="Times New Roman" w:eastAsia="Calibri" w:hAnsi="Times New Roman" w:cs="Times New Roman"/>
          <w:kern w:val="0"/>
          <w:lang w:val="en-GB" w:eastAsia="en-US"/>
          <w14:ligatures w14:val="none"/>
        </w:rPr>
      </w:pPr>
      <w:r w:rsidRPr="002C550C">
        <w:rPr>
          <w:rFonts w:ascii="Times New Roman" w:eastAsia="Calibri" w:hAnsi="Times New Roman" w:cs="Times New Roman"/>
          <w:kern w:val="0"/>
          <w:lang w:val="en-GB" w:eastAsia="en-US"/>
          <w14:ligatures w14:val="none"/>
        </w:rPr>
        <w:t>Jeffrey Dankwa Ampah</w:t>
      </w:r>
      <w:r w:rsidRPr="002C550C">
        <w:rPr>
          <w:rFonts w:ascii="Times New Roman" w:eastAsia="Calibri" w:hAnsi="Times New Roman" w:cs="Times New Roman"/>
          <w:kern w:val="0"/>
          <w:vertAlign w:val="superscript"/>
          <w:lang w:val="en-GB" w:eastAsia="en-US"/>
          <w14:ligatures w14:val="none"/>
        </w:rPr>
        <w:t>1,2</w:t>
      </w:r>
      <w:r w:rsidRPr="002C550C">
        <w:rPr>
          <w:rFonts w:ascii="Times New Roman" w:eastAsia="Calibri" w:hAnsi="Times New Roman" w:cs="Times New Roman"/>
          <w:kern w:val="0"/>
          <w:lang w:val="en-GB" w:eastAsia="en-US"/>
          <w14:ligatures w14:val="none"/>
        </w:rPr>
        <w:t>, Chao Jin</w:t>
      </w:r>
      <w:r w:rsidRPr="002C550C">
        <w:rPr>
          <w:rFonts w:ascii="Times New Roman" w:eastAsia="Calibri" w:hAnsi="Times New Roman" w:cs="Times New Roman"/>
          <w:kern w:val="0"/>
          <w:vertAlign w:val="superscript"/>
          <w:lang w:val="en-GB" w:eastAsia="en-US"/>
          <w14:ligatures w14:val="none"/>
        </w:rPr>
        <w:t>1*</w:t>
      </w:r>
      <w:r w:rsidRPr="002C550C">
        <w:rPr>
          <w:rFonts w:ascii="Times New Roman" w:eastAsia="Calibri" w:hAnsi="Times New Roman" w:cs="Times New Roman"/>
          <w:kern w:val="0"/>
          <w:lang w:val="en-GB" w:eastAsia="en-US"/>
          <w14:ligatures w14:val="none"/>
        </w:rPr>
        <w:t>, Haifeng Liu</w:t>
      </w:r>
      <w:r w:rsidRPr="002C550C">
        <w:rPr>
          <w:rFonts w:ascii="Times New Roman" w:eastAsia="Calibri" w:hAnsi="Times New Roman" w:cs="Times New Roman"/>
          <w:kern w:val="0"/>
          <w:vertAlign w:val="superscript"/>
          <w:lang w:val="en-GB" w:eastAsia="en-US"/>
          <w14:ligatures w14:val="none"/>
        </w:rPr>
        <w:t>2*</w:t>
      </w:r>
      <w:r w:rsidRPr="002C550C">
        <w:rPr>
          <w:rFonts w:ascii="Times New Roman" w:eastAsia="Calibri" w:hAnsi="Times New Roman" w:cs="Times New Roman"/>
          <w:kern w:val="0"/>
          <w:lang w:val="en-GB" w:eastAsia="en-US"/>
          <w14:ligatures w14:val="none"/>
        </w:rPr>
        <w:t xml:space="preserve">, </w:t>
      </w:r>
      <w:proofErr w:type="spellStart"/>
      <w:r w:rsidRPr="002C550C">
        <w:rPr>
          <w:rFonts w:ascii="Times New Roman" w:eastAsia="Calibri" w:hAnsi="Times New Roman" w:cs="Times New Roman"/>
          <w:kern w:val="0"/>
          <w:lang w:val="en-GB" w:eastAsia="en-US"/>
          <w14:ligatures w14:val="none"/>
        </w:rPr>
        <w:t>Mingfa</w:t>
      </w:r>
      <w:proofErr w:type="spellEnd"/>
      <w:r w:rsidRPr="002C550C">
        <w:rPr>
          <w:rFonts w:ascii="Times New Roman" w:eastAsia="Calibri" w:hAnsi="Times New Roman" w:cs="Times New Roman"/>
          <w:kern w:val="0"/>
          <w:lang w:val="en-GB" w:eastAsia="en-US"/>
          <w14:ligatures w14:val="none"/>
        </w:rPr>
        <w:t xml:space="preserve"> Yao</w:t>
      </w:r>
      <w:r w:rsidRPr="002C550C">
        <w:rPr>
          <w:rFonts w:ascii="Times New Roman" w:eastAsia="Calibri" w:hAnsi="Times New Roman" w:cs="Times New Roman"/>
          <w:kern w:val="0"/>
          <w:vertAlign w:val="superscript"/>
          <w:lang w:val="en-GB" w:eastAsia="en-US"/>
          <w14:ligatures w14:val="none"/>
        </w:rPr>
        <w:t>2</w:t>
      </w:r>
      <w:r>
        <w:rPr>
          <w:rFonts w:ascii="Times New Roman" w:eastAsia="Calibri" w:hAnsi="Times New Roman" w:cs="Times New Roman"/>
          <w:kern w:val="0"/>
          <w:lang w:val="en-GB" w:eastAsia="en-US"/>
          <w14:ligatures w14:val="none"/>
        </w:rPr>
        <w:t xml:space="preserve">, Yan Yin </w:t>
      </w:r>
      <w:r>
        <w:rPr>
          <w:rFonts w:ascii="Times New Roman" w:eastAsia="Calibri" w:hAnsi="Times New Roman" w:cs="Times New Roman"/>
          <w:kern w:val="0"/>
          <w:vertAlign w:val="superscript"/>
          <w:lang w:val="en-GB" w:eastAsia="en-US"/>
          <w14:ligatures w14:val="none"/>
        </w:rPr>
        <w:t>2*</w:t>
      </w:r>
      <w:r>
        <w:rPr>
          <w:rFonts w:ascii="Times New Roman" w:eastAsia="Calibri" w:hAnsi="Times New Roman" w:cs="Times New Roman"/>
          <w:kern w:val="0"/>
          <w:lang w:val="en-GB" w:eastAsia="en-US"/>
          <w14:ligatures w14:val="none"/>
        </w:rPr>
        <w:t>,</w:t>
      </w:r>
    </w:p>
    <w:p w14:paraId="23409379" w14:textId="77777777" w:rsidR="004D032F" w:rsidRPr="002C550C" w:rsidRDefault="004D032F" w:rsidP="004D032F">
      <w:pPr>
        <w:spacing w:after="0" w:line="480" w:lineRule="auto"/>
        <w:ind w:firstLine="284"/>
        <w:jc w:val="center"/>
        <w:rPr>
          <w:rFonts w:ascii="Times New Roman" w:eastAsia="Calibri" w:hAnsi="Times New Roman" w:cs="Times New Roman"/>
          <w:kern w:val="0"/>
          <w:vertAlign w:val="superscript"/>
          <w:lang w:val="en-GB" w:eastAsia="en-US"/>
          <w14:ligatures w14:val="none"/>
        </w:rPr>
      </w:pPr>
      <w:proofErr w:type="spellStart"/>
      <w:r w:rsidRPr="002C550C">
        <w:rPr>
          <w:rFonts w:ascii="Times New Roman" w:eastAsia="Calibri" w:hAnsi="Times New Roman" w:cs="Times New Roman"/>
          <w:kern w:val="0"/>
          <w:lang w:val="en-GB" w:eastAsia="en-US"/>
          <w14:ligatures w14:val="none"/>
        </w:rPr>
        <w:t>Sandylove</w:t>
      </w:r>
      <w:proofErr w:type="spellEnd"/>
      <w:r w:rsidRPr="002C550C">
        <w:rPr>
          <w:rFonts w:ascii="Times New Roman" w:eastAsia="Calibri" w:hAnsi="Times New Roman" w:cs="Times New Roman"/>
          <w:kern w:val="0"/>
          <w:lang w:val="en-GB" w:eastAsia="en-US"/>
          <w14:ligatures w14:val="none"/>
        </w:rPr>
        <w:t xml:space="preserve"> Afrane</w:t>
      </w:r>
      <w:r w:rsidRPr="002C550C">
        <w:rPr>
          <w:rFonts w:ascii="Times New Roman" w:eastAsia="Calibri" w:hAnsi="Times New Roman" w:cs="Times New Roman"/>
          <w:kern w:val="0"/>
          <w:vertAlign w:val="superscript"/>
          <w:lang w:val="en-GB" w:eastAsia="en-US"/>
          <w14:ligatures w14:val="none"/>
        </w:rPr>
        <w:t>1</w:t>
      </w:r>
      <w:r w:rsidRPr="002C550C">
        <w:rPr>
          <w:rFonts w:ascii="Times New Roman" w:eastAsia="Calibri" w:hAnsi="Times New Roman" w:cs="Times New Roman"/>
          <w:kern w:val="0"/>
          <w:lang w:val="en-GB" w:eastAsia="en-US"/>
          <w14:ligatures w14:val="none"/>
        </w:rPr>
        <w:t xml:space="preserve">, </w:t>
      </w:r>
      <w:r>
        <w:rPr>
          <w:rFonts w:ascii="Times New Roman" w:eastAsia="Calibri" w:hAnsi="Times New Roman" w:cs="Times New Roman"/>
          <w:kern w:val="0"/>
          <w:lang w:val="en-GB" w:eastAsia="en-US"/>
          <w14:ligatures w14:val="none"/>
        </w:rPr>
        <w:t>Xuan Zhang</w:t>
      </w:r>
      <w:r>
        <w:rPr>
          <w:rFonts w:ascii="Times New Roman" w:eastAsia="Calibri" w:hAnsi="Times New Roman" w:cs="Times New Roman"/>
          <w:kern w:val="0"/>
          <w:vertAlign w:val="superscript"/>
          <w:lang w:val="en-GB" w:eastAsia="en-US"/>
          <w14:ligatures w14:val="none"/>
        </w:rPr>
        <w:t>2</w:t>
      </w:r>
      <w:r>
        <w:rPr>
          <w:rFonts w:ascii="Times New Roman" w:eastAsia="Calibri" w:hAnsi="Times New Roman" w:cs="Times New Roman"/>
          <w:kern w:val="0"/>
          <w:lang w:val="en-GB" w:eastAsia="en-US"/>
          <w14:ligatures w14:val="none"/>
        </w:rPr>
        <w:t xml:space="preserve">, </w:t>
      </w:r>
      <w:r w:rsidRPr="002C550C">
        <w:rPr>
          <w:rFonts w:ascii="Times New Roman" w:eastAsia="Calibri" w:hAnsi="Times New Roman" w:cs="Times New Roman"/>
          <w:kern w:val="0"/>
          <w:lang w:val="en-GB" w:eastAsia="en-US"/>
          <w14:ligatures w14:val="none"/>
        </w:rPr>
        <w:t>Humphrey Adun</w:t>
      </w:r>
      <w:r w:rsidRPr="002C550C">
        <w:rPr>
          <w:rFonts w:ascii="Times New Roman" w:eastAsia="Calibri" w:hAnsi="Times New Roman" w:cs="Times New Roman"/>
          <w:kern w:val="0"/>
          <w:vertAlign w:val="superscript"/>
          <w:lang w:val="en-GB" w:eastAsia="en-US"/>
          <w14:ligatures w14:val="none"/>
        </w:rPr>
        <w:t>3</w:t>
      </w:r>
      <w:r w:rsidRPr="002C550C">
        <w:rPr>
          <w:rFonts w:ascii="Times New Roman" w:eastAsia="Calibri" w:hAnsi="Times New Roman" w:cs="Times New Roman"/>
          <w:kern w:val="0"/>
          <w:lang w:val="en-GB" w:eastAsia="en-US"/>
          <w14:ligatures w14:val="none"/>
        </w:rPr>
        <w:t xml:space="preserve">, </w:t>
      </w:r>
      <w:r>
        <w:rPr>
          <w:rFonts w:ascii="Times New Roman" w:eastAsia="Calibri" w:hAnsi="Times New Roman" w:cs="Times New Roman"/>
          <w:kern w:val="0"/>
          <w:lang w:val="en-GB" w:eastAsia="en-US"/>
          <w14:ligatures w14:val="none"/>
        </w:rPr>
        <w:t>Page Kyle</w:t>
      </w:r>
      <w:r>
        <w:rPr>
          <w:rFonts w:ascii="Times New Roman" w:eastAsia="Calibri" w:hAnsi="Times New Roman" w:cs="Times New Roman"/>
          <w:kern w:val="0"/>
          <w:vertAlign w:val="superscript"/>
          <w:lang w:val="en-GB" w:eastAsia="en-US"/>
          <w14:ligatures w14:val="none"/>
        </w:rPr>
        <w:t>4</w:t>
      </w:r>
      <w:r>
        <w:rPr>
          <w:rFonts w:ascii="Times New Roman" w:eastAsia="Calibri" w:hAnsi="Times New Roman" w:cs="Times New Roman"/>
          <w:kern w:val="0"/>
          <w:lang w:val="en-GB" w:eastAsia="en-US"/>
          <w14:ligatures w14:val="none"/>
        </w:rPr>
        <w:t xml:space="preserve">, </w:t>
      </w:r>
      <w:r w:rsidRPr="002C550C">
        <w:rPr>
          <w:rFonts w:ascii="Times New Roman" w:eastAsia="Calibri" w:hAnsi="Times New Roman" w:cs="Times New Roman"/>
          <w:kern w:val="0"/>
          <w:lang w:val="en-GB" w:eastAsia="en-US"/>
          <w14:ligatures w14:val="none"/>
        </w:rPr>
        <w:t>Jay Fuhrman</w:t>
      </w:r>
      <w:r w:rsidRPr="002C550C">
        <w:rPr>
          <w:rFonts w:ascii="Times New Roman" w:eastAsia="Calibri" w:hAnsi="Times New Roman" w:cs="Times New Roman"/>
          <w:kern w:val="0"/>
          <w:vertAlign w:val="superscript"/>
          <w:lang w:val="en-GB" w:eastAsia="en-US"/>
          <w14:ligatures w14:val="none"/>
        </w:rPr>
        <w:t>4</w:t>
      </w:r>
      <w:r w:rsidRPr="002C550C">
        <w:rPr>
          <w:rFonts w:ascii="Times New Roman" w:eastAsia="Calibri" w:hAnsi="Times New Roman" w:cs="Times New Roman"/>
          <w:kern w:val="0"/>
          <w:lang w:val="en-GB" w:eastAsia="en-US"/>
          <w14:ligatures w14:val="none"/>
        </w:rPr>
        <w:t xml:space="preserve">, </w:t>
      </w:r>
      <w:r w:rsidRPr="00307D35">
        <w:rPr>
          <w:rFonts w:ascii="Times New Roman" w:eastAsia="Calibri" w:hAnsi="Times New Roman" w:cs="Times New Roman"/>
          <w:kern w:val="0"/>
          <w:lang w:val="en-GB" w:eastAsia="en-US"/>
          <w14:ligatures w14:val="none"/>
        </w:rPr>
        <w:t>Olusola Bamisile</w:t>
      </w:r>
      <w:r>
        <w:rPr>
          <w:rFonts w:ascii="Times New Roman" w:eastAsia="Calibri" w:hAnsi="Times New Roman" w:cs="Times New Roman"/>
          <w:kern w:val="0"/>
          <w:vertAlign w:val="superscript"/>
          <w:lang w:val="en-GB" w:eastAsia="en-US"/>
          <w14:ligatures w14:val="none"/>
        </w:rPr>
        <w:t>5</w:t>
      </w:r>
      <w:r>
        <w:rPr>
          <w:rFonts w:ascii="Times New Roman" w:eastAsia="Calibri" w:hAnsi="Times New Roman" w:cs="Times New Roman"/>
          <w:kern w:val="0"/>
          <w:lang w:val="en-GB" w:eastAsia="en-US"/>
          <w14:ligatures w14:val="none"/>
        </w:rPr>
        <w:t xml:space="preserve">, </w:t>
      </w:r>
      <w:r w:rsidRPr="00307D35">
        <w:rPr>
          <w:rFonts w:ascii="Times New Roman" w:eastAsia="Calibri" w:hAnsi="Times New Roman" w:cs="Times New Roman"/>
          <w:bCs/>
          <w:kern w:val="0"/>
          <w:lang w:eastAsia="en-US"/>
          <w14:ligatures w14:val="none"/>
        </w:rPr>
        <w:t xml:space="preserve">Michael O </w:t>
      </w:r>
      <w:proofErr w:type="spellStart"/>
      <w:r w:rsidRPr="00307D35">
        <w:rPr>
          <w:rFonts w:ascii="Times New Roman" w:eastAsia="Calibri" w:hAnsi="Times New Roman" w:cs="Times New Roman"/>
          <w:bCs/>
          <w:kern w:val="0"/>
          <w:lang w:eastAsia="en-US"/>
          <w14:ligatures w14:val="none"/>
        </w:rPr>
        <w:t>Dioha</w:t>
      </w:r>
      <w:proofErr w:type="spellEnd"/>
      <w:r>
        <w:rPr>
          <w:rFonts w:ascii="Times New Roman" w:eastAsia="Calibri" w:hAnsi="Times New Roman" w:cs="Times New Roman"/>
          <w:bCs/>
          <w:kern w:val="0"/>
          <w:lang w:eastAsia="en-US"/>
          <w14:ligatures w14:val="none"/>
        </w:rPr>
        <w:t xml:space="preserve"> </w:t>
      </w:r>
      <w:r>
        <w:rPr>
          <w:rFonts w:ascii="Times New Roman" w:eastAsia="Calibri" w:hAnsi="Times New Roman" w:cs="Times New Roman"/>
          <w:bCs/>
          <w:kern w:val="0"/>
          <w:vertAlign w:val="superscript"/>
          <w:lang w:eastAsia="en-US"/>
          <w14:ligatures w14:val="none"/>
        </w:rPr>
        <w:t>6</w:t>
      </w:r>
      <w:r>
        <w:rPr>
          <w:rFonts w:ascii="Times New Roman" w:eastAsia="Calibri" w:hAnsi="Times New Roman" w:cs="Times New Roman"/>
          <w:bCs/>
          <w:kern w:val="0"/>
          <w:lang w:eastAsia="en-US"/>
          <w14:ligatures w14:val="none"/>
        </w:rPr>
        <w:t xml:space="preserve">, </w:t>
      </w:r>
      <w:r w:rsidRPr="00307D35">
        <w:rPr>
          <w:rFonts w:ascii="Times New Roman" w:eastAsia="Calibri" w:hAnsi="Times New Roman" w:cs="Times New Roman"/>
          <w:kern w:val="0"/>
          <w:lang w:val="en-GB" w:eastAsia="en-US"/>
          <w14:ligatures w14:val="none"/>
        </w:rPr>
        <w:t>David</w:t>
      </w:r>
      <w:r w:rsidRPr="002C550C">
        <w:rPr>
          <w:rFonts w:ascii="Times New Roman" w:eastAsia="Calibri" w:hAnsi="Times New Roman" w:cs="Times New Roman"/>
          <w:kern w:val="0"/>
          <w:lang w:val="en-GB" w:eastAsia="en-US"/>
          <w14:ligatures w14:val="none"/>
        </w:rPr>
        <w:t xml:space="preserve"> T. Ho</w:t>
      </w:r>
      <w:r>
        <w:rPr>
          <w:rFonts w:ascii="Times New Roman" w:eastAsia="Calibri" w:hAnsi="Times New Roman" w:cs="Times New Roman"/>
          <w:kern w:val="0"/>
          <w:vertAlign w:val="superscript"/>
          <w:lang w:val="en-GB" w:eastAsia="en-US"/>
          <w14:ligatures w14:val="none"/>
        </w:rPr>
        <w:t>7</w:t>
      </w:r>
      <w:r w:rsidRPr="002C550C">
        <w:rPr>
          <w:rFonts w:ascii="Times New Roman" w:eastAsia="Calibri" w:hAnsi="Times New Roman" w:cs="Times New Roman"/>
          <w:kern w:val="0"/>
          <w:vertAlign w:val="superscript"/>
          <w:lang w:val="en-GB" w:eastAsia="en-US"/>
          <w14:ligatures w14:val="none"/>
        </w:rPr>
        <w:t>,</w:t>
      </w:r>
      <w:r>
        <w:rPr>
          <w:rFonts w:ascii="Times New Roman" w:eastAsia="Calibri" w:hAnsi="Times New Roman" w:cs="Times New Roman"/>
          <w:kern w:val="0"/>
          <w:vertAlign w:val="superscript"/>
          <w:lang w:val="en-GB" w:eastAsia="en-US"/>
          <w14:ligatures w14:val="none"/>
        </w:rPr>
        <w:t>8</w:t>
      </w:r>
      <w:r w:rsidRPr="002C550C">
        <w:rPr>
          <w:rFonts w:ascii="Times New Roman" w:eastAsia="Calibri" w:hAnsi="Times New Roman" w:cs="Times New Roman"/>
          <w:kern w:val="0"/>
          <w:lang w:val="en-GB" w:eastAsia="en-US"/>
          <w14:ligatures w14:val="none"/>
        </w:rPr>
        <w:t xml:space="preserve">, </w:t>
      </w:r>
      <w:r>
        <w:rPr>
          <w:rFonts w:ascii="Times New Roman" w:eastAsia="Calibri" w:hAnsi="Times New Roman" w:cs="Times New Roman"/>
          <w:kern w:val="0"/>
          <w:lang w:val="en-GB" w:eastAsia="en-US"/>
          <w14:ligatures w14:val="none"/>
        </w:rPr>
        <w:t>Yang Ou</w:t>
      </w:r>
      <w:r>
        <w:rPr>
          <w:rFonts w:ascii="Times New Roman" w:eastAsia="Calibri" w:hAnsi="Times New Roman" w:cs="Times New Roman"/>
          <w:kern w:val="0"/>
          <w:vertAlign w:val="superscript"/>
          <w:lang w:val="en-GB" w:eastAsia="en-US"/>
          <w14:ligatures w14:val="none"/>
        </w:rPr>
        <w:t>9,10</w:t>
      </w:r>
      <w:r>
        <w:rPr>
          <w:rFonts w:ascii="Times New Roman" w:eastAsia="Calibri" w:hAnsi="Times New Roman" w:cs="Times New Roman"/>
          <w:kern w:val="0"/>
          <w:lang w:val="en-GB" w:eastAsia="en-US"/>
          <w14:ligatures w14:val="none"/>
        </w:rPr>
        <w:t xml:space="preserve">, </w:t>
      </w:r>
      <w:r w:rsidRPr="002C550C">
        <w:rPr>
          <w:rFonts w:ascii="Times New Roman" w:eastAsia="Calibri" w:hAnsi="Times New Roman" w:cs="Times New Roman"/>
          <w:kern w:val="0"/>
          <w:lang w:val="en-GB" w:eastAsia="en-US"/>
          <w14:ligatures w14:val="none"/>
        </w:rPr>
        <w:t>Haewon McJeon</w:t>
      </w:r>
      <w:r>
        <w:rPr>
          <w:rFonts w:ascii="Times New Roman" w:eastAsia="Calibri" w:hAnsi="Times New Roman" w:cs="Times New Roman"/>
          <w:kern w:val="0"/>
          <w:vertAlign w:val="superscript"/>
          <w:lang w:val="en-GB" w:eastAsia="en-US"/>
          <w14:ligatures w14:val="none"/>
        </w:rPr>
        <w:t>11</w:t>
      </w:r>
    </w:p>
    <w:p w14:paraId="7F666078" w14:textId="77777777" w:rsidR="004D032F" w:rsidRPr="002C550C" w:rsidRDefault="004D032F" w:rsidP="004D032F">
      <w:pPr>
        <w:spacing w:after="120" w:line="480" w:lineRule="auto"/>
        <w:jc w:val="center"/>
        <w:rPr>
          <w:rFonts w:ascii="Times New Roman" w:eastAsia="Calibri" w:hAnsi="Times New Roman" w:cs="Times New Roman"/>
          <w:kern w:val="0"/>
          <w:lang w:val="en-GB" w:eastAsia="en-US"/>
          <w14:ligatures w14:val="none"/>
        </w:rPr>
      </w:pPr>
      <w:r w:rsidRPr="002C550C">
        <w:rPr>
          <w:rFonts w:ascii="Times New Roman" w:eastAsia="Calibri" w:hAnsi="Times New Roman" w:cs="Times New Roman"/>
          <w:kern w:val="0"/>
          <w:vertAlign w:val="superscript"/>
          <w:lang w:val="en-GB" w:eastAsia="en-US"/>
          <w14:ligatures w14:val="none"/>
        </w:rPr>
        <w:tab/>
        <w:t>1</w:t>
      </w:r>
      <w:r w:rsidRPr="002C550C">
        <w:rPr>
          <w:rFonts w:ascii="Times New Roman" w:eastAsia="Calibri" w:hAnsi="Times New Roman" w:cs="Times New Roman"/>
          <w:kern w:val="0"/>
          <w:lang w:val="en-GB" w:eastAsia="en-US"/>
          <w14:ligatures w14:val="none"/>
        </w:rPr>
        <w:t xml:space="preserve"> School of Environmental Science and Engineering, Tianjin University, 300072 Tianjin, China</w:t>
      </w:r>
    </w:p>
    <w:p w14:paraId="158FE1CB" w14:textId="77777777" w:rsidR="004D032F" w:rsidRPr="002C550C" w:rsidRDefault="004D032F" w:rsidP="004D032F">
      <w:pPr>
        <w:spacing w:after="120" w:line="480" w:lineRule="auto"/>
        <w:jc w:val="center"/>
        <w:rPr>
          <w:rFonts w:ascii="Times New Roman" w:eastAsia="Calibri" w:hAnsi="Times New Roman" w:cs="Times New Roman"/>
          <w:kern w:val="0"/>
          <w:lang w:val="en-GB" w:eastAsia="en-US"/>
          <w14:ligatures w14:val="none"/>
        </w:rPr>
      </w:pPr>
      <w:r w:rsidRPr="002C550C">
        <w:rPr>
          <w:rFonts w:ascii="Times New Roman" w:eastAsia="Calibri" w:hAnsi="Times New Roman" w:cs="Times New Roman"/>
          <w:kern w:val="0"/>
          <w:vertAlign w:val="superscript"/>
          <w:lang w:val="en-GB" w:eastAsia="en-US"/>
          <w14:ligatures w14:val="none"/>
        </w:rPr>
        <w:t xml:space="preserve">2 </w:t>
      </w:r>
      <w:r w:rsidRPr="002C550C">
        <w:rPr>
          <w:rFonts w:ascii="Times New Roman" w:eastAsia="Calibri" w:hAnsi="Times New Roman" w:cs="Times New Roman"/>
          <w:kern w:val="0"/>
          <w:lang w:val="en-GB" w:eastAsia="en-US"/>
          <w14:ligatures w14:val="none"/>
        </w:rPr>
        <w:t>State Key Laboratory of Engines, Tianjin University, 300072 Tianjin, China</w:t>
      </w:r>
    </w:p>
    <w:p w14:paraId="4BD5E882" w14:textId="77777777" w:rsidR="004D032F" w:rsidRPr="002C550C" w:rsidRDefault="004D032F" w:rsidP="004D032F">
      <w:pPr>
        <w:spacing w:after="0" w:line="480" w:lineRule="auto"/>
        <w:ind w:firstLine="284"/>
        <w:jc w:val="center"/>
        <w:rPr>
          <w:rFonts w:ascii="Times New Roman" w:eastAsia="Calibri" w:hAnsi="Times New Roman" w:cs="Times New Roman"/>
          <w:kern w:val="0"/>
          <w:lang w:val="en-GB" w:eastAsia="en-US"/>
          <w14:ligatures w14:val="none"/>
        </w:rPr>
      </w:pPr>
      <w:r w:rsidRPr="002C550C">
        <w:rPr>
          <w:rFonts w:ascii="Times New Roman" w:eastAsia="Calibri" w:hAnsi="Times New Roman" w:cs="Times New Roman"/>
          <w:kern w:val="0"/>
          <w:vertAlign w:val="superscript"/>
          <w:lang w:val="en-GB" w:eastAsia="en-US"/>
          <w14:ligatures w14:val="none"/>
        </w:rPr>
        <w:t>3</w:t>
      </w:r>
      <w:r w:rsidRPr="002C550C">
        <w:rPr>
          <w:rFonts w:ascii="Times New Roman" w:eastAsia="Calibri" w:hAnsi="Times New Roman" w:cs="Times New Roman"/>
          <w:kern w:val="0"/>
          <w:lang w:val="en-GB" w:eastAsia="en-US"/>
          <w14:ligatures w14:val="none"/>
        </w:rPr>
        <w:t xml:space="preserve"> Operational Research Centre in Healthcare, Near East University, TRNC Mersin 10, 99138 Nicosia, Turkey</w:t>
      </w:r>
    </w:p>
    <w:p w14:paraId="6845B32B" w14:textId="77777777" w:rsidR="004D032F" w:rsidRDefault="004D032F" w:rsidP="004D032F">
      <w:pPr>
        <w:spacing w:after="0" w:line="480" w:lineRule="auto"/>
        <w:ind w:firstLine="284"/>
        <w:jc w:val="center"/>
        <w:rPr>
          <w:rFonts w:ascii="Times New Roman" w:eastAsia="Calibri" w:hAnsi="Times New Roman" w:cs="Times New Roman"/>
          <w:kern w:val="0"/>
          <w:lang w:val="en-GB" w:eastAsia="en-US"/>
          <w14:ligatures w14:val="none"/>
        </w:rPr>
      </w:pPr>
      <w:r w:rsidRPr="002C550C">
        <w:rPr>
          <w:rFonts w:ascii="Times New Roman" w:eastAsia="Calibri" w:hAnsi="Times New Roman" w:cs="Times New Roman"/>
          <w:kern w:val="0"/>
          <w:vertAlign w:val="superscript"/>
          <w:lang w:val="en-GB" w:eastAsia="en-US"/>
          <w14:ligatures w14:val="none"/>
        </w:rPr>
        <w:t>4</w:t>
      </w:r>
      <w:r w:rsidRPr="002C550C">
        <w:rPr>
          <w:rFonts w:ascii="Times New Roman" w:eastAsia="Calibri" w:hAnsi="Times New Roman" w:cs="Times New Roman"/>
          <w:kern w:val="0"/>
          <w:lang w:val="en-GB" w:eastAsia="en-US"/>
          <w14:ligatures w14:val="none"/>
        </w:rPr>
        <w:t xml:space="preserve"> Joint Global Change Research Institute, University of Maryland and Pacific Northwest National Laboratory, College Park, MD, USA</w:t>
      </w:r>
    </w:p>
    <w:p w14:paraId="54F760B2" w14:textId="77777777" w:rsidR="004D032F" w:rsidRDefault="004D032F" w:rsidP="004D032F">
      <w:pPr>
        <w:spacing w:after="0" w:line="480" w:lineRule="auto"/>
        <w:ind w:firstLine="284"/>
        <w:jc w:val="center"/>
        <w:rPr>
          <w:rFonts w:ascii="Times New Roman" w:eastAsia="Calibri" w:hAnsi="Times New Roman" w:cs="Times New Roman"/>
          <w:kern w:val="0"/>
          <w:lang w:eastAsia="en-US"/>
          <w14:ligatures w14:val="none"/>
        </w:rPr>
      </w:pPr>
      <w:r>
        <w:rPr>
          <w:rFonts w:ascii="Times New Roman" w:eastAsia="Calibri" w:hAnsi="Times New Roman" w:cs="Times New Roman"/>
          <w:kern w:val="0"/>
          <w:vertAlign w:val="superscript"/>
          <w:lang w:val="en-GB" w:eastAsia="en-US"/>
          <w14:ligatures w14:val="none"/>
        </w:rPr>
        <w:t xml:space="preserve">5 </w:t>
      </w:r>
      <w:r w:rsidRPr="00307D35">
        <w:rPr>
          <w:rFonts w:ascii="Times New Roman" w:eastAsia="Calibri" w:hAnsi="Times New Roman" w:cs="Times New Roman"/>
          <w:kern w:val="0"/>
          <w:lang w:val="en-GB" w:eastAsia="en-US"/>
          <w14:ligatures w14:val="none"/>
        </w:rPr>
        <w:t>Centre for Environmental Planning, Imperial College London, United Kingdom</w:t>
      </w:r>
      <w:r w:rsidRPr="00307D35">
        <w:rPr>
          <w:rFonts w:ascii="Times New Roman" w:eastAsia="Calibri" w:hAnsi="Times New Roman" w:cs="Times New Roman"/>
          <w:kern w:val="0"/>
          <w:vertAlign w:val="superscript"/>
          <w:lang w:val="en-GB" w:eastAsia="en-US"/>
          <w14:ligatures w14:val="none"/>
        </w:rPr>
        <w:t>.</w:t>
      </w:r>
      <w:r w:rsidRPr="00307D35">
        <w:rPr>
          <w:rFonts w:ascii="Times New Roman" w:eastAsia="Calibri" w:hAnsi="Times New Roman" w:cs="Times New Roman"/>
          <w:kern w:val="0"/>
          <w:lang w:eastAsia="en-US"/>
          <w14:ligatures w14:val="none"/>
        </w:rPr>
        <w:t>Imperial College London</w:t>
      </w:r>
    </w:p>
    <w:p w14:paraId="314571F8" w14:textId="77777777" w:rsidR="004D032F" w:rsidRPr="00307D35" w:rsidRDefault="004D032F" w:rsidP="004D032F">
      <w:pPr>
        <w:spacing w:after="0" w:line="480" w:lineRule="auto"/>
        <w:ind w:firstLine="284"/>
        <w:jc w:val="center"/>
        <w:rPr>
          <w:rFonts w:ascii="Times New Roman" w:eastAsia="Calibri" w:hAnsi="Times New Roman" w:cs="Times New Roman"/>
          <w:kern w:val="0"/>
          <w:lang w:eastAsia="en-US"/>
          <w14:ligatures w14:val="none"/>
        </w:rPr>
      </w:pPr>
      <w:r>
        <w:rPr>
          <w:rFonts w:ascii="Times New Roman" w:eastAsia="Calibri" w:hAnsi="Times New Roman" w:cs="Times New Roman"/>
          <w:kern w:val="0"/>
          <w:vertAlign w:val="superscript"/>
          <w:lang w:eastAsia="en-US"/>
          <w14:ligatures w14:val="none"/>
        </w:rPr>
        <w:t xml:space="preserve">6 </w:t>
      </w:r>
      <w:r w:rsidRPr="00307D35">
        <w:rPr>
          <w:rFonts w:ascii="Times New Roman" w:eastAsia="Calibri" w:hAnsi="Times New Roman" w:cs="Times New Roman"/>
          <w:kern w:val="0"/>
          <w:lang w:eastAsia="en-US"/>
          <w14:ligatures w14:val="none"/>
        </w:rPr>
        <w:t xml:space="preserve">Clean Air Task Force, Boston, MA 02109-2421, </w:t>
      </w:r>
      <w:r>
        <w:rPr>
          <w:rFonts w:ascii="Times New Roman" w:eastAsia="Calibri" w:hAnsi="Times New Roman" w:cs="Times New Roman"/>
          <w:kern w:val="0"/>
          <w:lang w:eastAsia="en-US"/>
          <w14:ligatures w14:val="none"/>
        </w:rPr>
        <w:t>USA</w:t>
      </w:r>
    </w:p>
    <w:p w14:paraId="503200BF" w14:textId="77777777" w:rsidR="004D032F" w:rsidRPr="002C550C" w:rsidRDefault="004D032F" w:rsidP="004D032F">
      <w:pPr>
        <w:spacing w:after="0" w:line="480" w:lineRule="auto"/>
        <w:ind w:firstLine="284"/>
        <w:jc w:val="center"/>
        <w:rPr>
          <w:rFonts w:ascii="Times New Roman" w:eastAsia="Calibri" w:hAnsi="Times New Roman" w:cs="Times New Roman"/>
          <w:kern w:val="0"/>
          <w:lang w:val="en-GB" w:eastAsia="en-US"/>
          <w14:ligatures w14:val="none"/>
        </w:rPr>
      </w:pPr>
      <w:r>
        <w:rPr>
          <w:rFonts w:ascii="Times New Roman" w:eastAsia="Calibri" w:hAnsi="Times New Roman" w:cs="Times New Roman"/>
          <w:kern w:val="0"/>
          <w:vertAlign w:val="superscript"/>
          <w:lang w:val="en-GB" w:eastAsia="en-US"/>
          <w14:ligatures w14:val="none"/>
        </w:rPr>
        <w:t>7</w:t>
      </w:r>
      <w:r w:rsidRPr="002C550C">
        <w:rPr>
          <w:rFonts w:ascii="Times New Roman" w:eastAsia="Calibri" w:hAnsi="Times New Roman" w:cs="Times New Roman"/>
          <w:kern w:val="0"/>
          <w:lang w:val="en-GB" w:eastAsia="en-US"/>
          <w14:ligatures w14:val="none"/>
        </w:rPr>
        <w:t xml:space="preserve"> Department of Oceanography, University of Hawaii at </w:t>
      </w:r>
      <w:proofErr w:type="spellStart"/>
      <w:r w:rsidRPr="002C550C">
        <w:rPr>
          <w:rFonts w:ascii="Times New Roman" w:eastAsia="Calibri" w:hAnsi="Times New Roman" w:cs="Times New Roman"/>
          <w:kern w:val="0"/>
          <w:lang w:val="en-GB" w:eastAsia="en-US"/>
          <w14:ligatures w14:val="none"/>
        </w:rPr>
        <w:t>Mānoa</w:t>
      </w:r>
      <w:proofErr w:type="spellEnd"/>
      <w:r w:rsidRPr="002C550C">
        <w:rPr>
          <w:rFonts w:ascii="Times New Roman" w:eastAsia="Calibri" w:hAnsi="Times New Roman" w:cs="Times New Roman"/>
          <w:kern w:val="0"/>
          <w:lang w:val="en-GB" w:eastAsia="en-US"/>
          <w14:ligatures w14:val="none"/>
        </w:rPr>
        <w:t>, 1000 Pope Road, Honolulu, Hawaii 96822, USA</w:t>
      </w:r>
    </w:p>
    <w:p w14:paraId="29538E6F" w14:textId="77777777" w:rsidR="004D032F" w:rsidRDefault="004D032F" w:rsidP="004D032F">
      <w:pPr>
        <w:spacing w:after="0" w:line="480" w:lineRule="auto"/>
        <w:ind w:firstLine="284"/>
        <w:jc w:val="center"/>
        <w:rPr>
          <w:rFonts w:ascii="Times New Roman" w:eastAsia="Calibri" w:hAnsi="Times New Roman" w:cs="Times New Roman"/>
          <w:kern w:val="0"/>
          <w:lang w:eastAsia="en-US"/>
          <w14:ligatures w14:val="none"/>
        </w:rPr>
      </w:pPr>
      <w:bookmarkStart w:id="3" w:name="_Hlk175470418"/>
      <w:r>
        <w:rPr>
          <w:rFonts w:ascii="Times New Roman" w:eastAsia="Calibri" w:hAnsi="Times New Roman" w:cs="Times New Roman"/>
          <w:kern w:val="0"/>
          <w:vertAlign w:val="superscript"/>
          <w:lang w:eastAsia="en-US"/>
          <w14:ligatures w14:val="none"/>
        </w:rPr>
        <w:t>8</w:t>
      </w:r>
      <w:r w:rsidRPr="002C550C">
        <w:rPr>
          <w:rFonts w:ascii="Times New Roman" w:eastAsia="Calibri" w:hAnsi="Times New Roman" w:cs="Times New Roman"/>
          <w:kern w:val="0"/>
          <w:lang w:eastAsia="en-US"/>
          <w14:ligatures w14:val="none"/>
        </w:rPr>
        <w:t xml:space="preserve"> [C]Worthy, Boulder, Colorado 80302, USA</w:t>
      </w:r>
    </w:p>
    <w:bookmarkEnd w:id="3"/>
    <w:p w14:paraId="058BF326" w14:textId="77777777" w:rsidR="004D032F" w:rsidRDefault="004D032F" w:rsidP="004D032F">
      <w:pPr>
        <w:spacing w:after="0" w:line="480" w:lineRule="auto"/>
        <w:ind w:firstLine="284"/>
        <w:jc w:val="center"/>
        <w:rPr>
          <w:rFonts w:ascii="Times New Roman" w:eastAsia="Calibri" w:hAnsi="Times New Roman" w:cs="Times New Roman"/>
          <w:kern w:val="0"/>
          <w:lang w:eastAsia="en-US"/>
          <w14:ligatures w14:val="none"/>
        </w:rPr>
      </w:pPr>
      <w:r>
        <w:rPr>
          <w:rFonts w:ascii="Times New Roman" w:eastAsia="Calibri" w:hAnsi="Times New Roman" w:cs="Times New Roman"/>
          <w:kern w:val="0"/>
          <w:vertAlign w:val="superscript"/>
          <w:lang w:eastAsia="en-US"/>
          <w14:ligatures w14:val="none"/>
        </w:rPr>
        <w:t>9</w:t>
      </w:r>
      <w:r w:rsidRPr="002C550C">
        <w:rPr>
          <w:rFonts w:ascii="Times New Roman" w:eastAsia="Calibri" w:hAnsi="Times New Roman" w:cs="Times New Roman"/>
          <w:kern w:val="0"/>
          <w:lang w:eastAsia="en-US"/>
          <w14:ligatures w14:val="none"/>
        </w:rPr>
        <w:t xml:space="preserve"> </w:t>
      </w:r>
      <w:r w:rsidRPr="008E691B">
        <w:rPr>
          <w:rFonts w:ascii="Times New Roman" w:eastAsia="Calibri" w:hAnsi="Times New Roman" w:cs="Times New Roman"/>
          <w:kern w:val="0"/>
          <w:lang w:eastAsia="en-US"/>
          <w14:ligatures w14:val="none"/>
        </w:rPr>
        <w:t>College of Environmental Sciences and Engineering, Peking University, Beijing, China</w:t>
      </w:r>
    </w:p>
    <w:p w14:paraId="64FB9C78" w14:textId="77777777" w:rsidR="004D032F" w:rsidRPr="008E691B" w:rsidRDefault="004D032F" w:rsidP="004D032F">
      <w:pPr>
        <w:spacing w:after="0" w:line="480" w:lineRule="auto"/>
        <w:ind w:firstLine="284"/>
        <w:jc w:val="center"/>
        <w:rPr>
          <w:rFonts w:ascii="Times New Roman" w:eastAsia="Calibri" w:hAnsi="Times New Roman" w:cs="Times New Roman"/>
          <w:kern w:val="0"/>
          <w:lang w:val="en-GB" w:eastAsia="en-US"/>
          <w14:ligatures w14:val="none"/>
        </w:rPr>
      </w:pPr>
      <w:r>
        <w:rPr>
          <w:rFonts w:ascii="Times New Roman" w:eastAsia="Calibri" w:hAnsi="Times New Roman" w:cs="Times New Roman"/>
          <w:kern w:val="0"/>
          <w:vertAlign w:val="superscript"/>
          <w:lang w:val="en-GB" w:eastAsia="en-US"/>
          <w14:ligatures w14:val="none"/>
        </w:rPr>
        <w:t>10</w:t>
      </w:r>
      <w:r w:rsidRPr="002C550C">
        <w:rPr>
          <w:rFonts w:ascii="Times New Roman" w:eastAsia="Calibri" w:hAnsi="Times New Roman" w:cs="Times New Roman"/>
          <w:kern w:val="0"/>
          <w:lang w:val="en-GB" w:eastAsia="en-US"/>
          <w14:ligatures w14:val="none"/>
        </w:rPr>
        <w:t xml:space="preserve"> </w:t>
      </w:r>
      <w:r w:rsidRPr="008E691B">
        <w:rPr>
          <w:rFonts w:ascii="Times New Roman" w:eastAsia="Calibri" w:hAnsi="Times New Roman" w:cs="Times New Roman"/>
          <w:kern w:val="0"/>
          <w:lang w:val="en-GB" w:eastAsia="en-US"/>
          <w14:ligatures w14:val="none"/>
        </w:rPr>
        <w:t>Institute of Carbon Neutrality, Peking</w:t>
      </w:r>
    </w:p>
    <w:p w14:paraId="23AE931E" w14:textId="77777777" w:rsidR="004D032F" w:rsidRPr="002C550C" w:rsidRDefault="004D032F" w:rsidP="004D032F">
      <w:pPr>
        <w:spacing w:after="0" w:line="480" w:lineRule="auto"/>
        <w:ind w:firstLine="284"/>
        <w:jc w:val="center"/>
        <w:rPr>
          <w:rFonts w:ascii="Times New Roman" w:eastAsia="Calibri" w:hAnsi="Times New Roman" w:cs="Times New Roman"/>
          <w:kern w:val="0"/>
          <w:lang w:val="en-GB" w:eastAsia="en-US"/>
          <w14:ligatures w14:val="none"/>
        </w:rPr>
      </w:pPr>
      <w:r>
        <w:rPr>
          <w:rFonts w:ascii="Times New Roman" w:eastAsia="Calibri" w:hAnsi="Times New Roman" w:cs="Times New Roman"/>
          <w:kern w:val="0"/>
          <w:vertAlign w:val="superscript"/>
          <w:lang w:val="en-GB" w:eastAsia="en-US"/>
          <w14:ligatures w14:val="none"/>
        </w:rPr>
        <w:t>11</w:t>
      </w:r>
      <w:r w:rsidRPr="002C550C">
        <w:rPr>
          <w:rFonts w:ascii="Times New Roman" w:eastAsia="Calibri" w:hAnsi="Times New Roman" w:cs="Times New Roman"/>
          <w:kern w:val="0"/>
          <w:lang w:val="en-GB" w:eastAsia="en-US"/>
          <w14:ligatures w14:val="none"/>
        </w:rPr>
        <w:t xml:space="preserve"> KAIST Graduate School of Green Growth &amp; Sustainability, Daejeon 34141, Korea</w:t>
      </w:r>
    </w:p>
    <w:p w14:paraId="7B4EB279" w14:textId="77777777" w:rsidR="004D032F" w:rsidRDefault="004D032F" w:rsidP="004D032F">
      <w:pPr>
        <w:spacing w:after="0" w:line="480" w:lineRule="auto"/>
        <w:ind w:firstLine="284"/>
        <w:jc w:val="center"/>
        <w:rPr>
          <w:rFonts w:ascii="Times New Roman" w:eastAsia="DengXian" w:hAnsi="Times New Roman" w:cs="Times New Roman"/>
          <w:kern w:val="0"/>
          <w:lang w:val="en-GB" w:eastAsia="en-US"/>
          <w14:ligatures w14:val="none"/>
        </w:rPr>
      </w:pPr>
      <w:r w:rsidRPr="002C550C">
        <w:rPr>
          <w:rFonts w:ascii="Times New Roman" w:eastAsia="DengXian" w:hAnsi="Times New Roman" w:cs="Times New Roman"/>
          <w:kern w:val="0"/>
          <w:lang w:val="en-GB" w:eastAsia="en-US"/>
          <w14:ligatures w14:val="none"/>
        </w:rPr>
        <w:lastRenderedPageBreak/>
        <w:t>*Corresponding authors: Haifeng Liu (</w:t>
      </w:r>
      <w:hyperlink r:id="rId8" w:history="1">
        <w:r w:rsidRPr="002C550C">
          <w:rPr>
            <w:rStyle w:val="Hyperlink"/>
            <w:rFonts w:ascii="Times New Roman" w:hAnsi="Times New Roman" w:cs="Times New Roman"/>
          </w:rPr>
          <w:t>haifengliu@tju.edu.cn</w:t>
        </w:r>
      </w:hyperlink>
      <w:r w:rsidRPr="002C550C">
        <w:rPr>
          <w:rFonts w:ascii="Times New Roman" w:eastAsia="DengXian" w:hAnsi="Times New Roman" w:cs="Times New Roman"/>
          <w:kern w:val="0"/>
          <w:lang w:val="en-GB" w:eastAsia="en-US"/>
          <w14:ligatures w14:val="none"/>
        </w:rPr>
        <w:t xml:space="preserve">), </w:t>
      </w:r>
      <w:bookmarkStart w:id="4" w:name="_Hlk157883722"/>
      <w:r w:rsidRPr="002C550C">
        <w:rPr>
          <w:rFonts w:ascii="Times New Roman" w:eastAsia="DengXian" w:hAnsi="Times New Roman" w:cs="Times New Roman"/>
          <w:kern w:val="0"/>
          <w:lang w:val="en-GB" w:eastAsia="en-US"/>
          <w14:ligatures w14:val="none"/>
        </w:rPr>
        <w:t>Chao Jin (</w:t>
      </w:r>
      <w:hyperlink r:id="rId9" w:history="1">
        <w:r w:rsidRPr="002C550C">
          <w:rPr>
            <w:rStyle w:val="Hyperlink"/>
            <w:rFonts w:ascii="Times New Roman" w:eastAsia="DengXian" w:hAnsi="Times New Roman" w:cs="Times New Roman"/>
            <w:kern w:val="0"/>
            <w:lang w:val="en-GB" w:eastAsia="en-US"/>
            <w14:ligatures w14:val="none"/>
          </w:rPr>
          <w:t>jinchao@tju.edu.cn</w:t>
        </w:r>
      </w:hyperlink>
      <w:r w:rsidRPr="002C550C">
        <w:rPr>
          <w:rFonts w:ascii="Times New Roman" w:eastAsia="DengXian" w:hAnsi="Times New Roman" w:cs="Times New Roman"/>
          <w:kern w:val="0"/>
          <w:lang w:val="en-GB" w:eastAsia="en-US"/>
          <w14:ligatures w14:val="none"/>
        </w:rPr>
        <w:t>)</w:t>
      </w:r>
      <w:bookmarkEnd w:id="4"/>
      <w:r>
        <w:rPr>
          <w:rFonts w:ascii="Times New Roman" w:eastAsia="DengXian" w:hAnsi="Times New Roman" w:cs="Times New Roman"/>
          <w:kern w:val="0"/>
          <w:lang w:val="en-GB" w:eastAsia="en-US"/>
          <w14:ligatures w14:val="none"/>
        </w:rPr>
        <w:t>, Yan Yin (</w:t>
      </w:r>
      <w:hyperlink r:id="rId10" w:history="1">
        <w:r w:rsidRPr="00720921">
          <w:rPr>
            <w:rStyle w:val="Hyperlink"/>
            <w:rFonts w:ascii="Times New Roman" w:eastAsia="DengXian" w:hAnsi="Times New Roman" w:cs="Times New Roman"/>
            <w:kern w:val="0"/>
            <w:lang w:val="en-GB" w:eastAsia="en-US"/>
            <w14:ligatures w14:val="none"/>
          </w:rPr>
          <w:t>yanyin@tju.edu.cn</w:t>
        </w:r>
      </w:hyperlink>
      <w:r>
        <w:rPr>
          <w:rFonts w:ascii="Times New Roman" w:eastAsia="DengXian" w:hAnsi="Times New Roman" w:cs="Times New Roman"/>
          <w:kern w:val="0"/>
          <w:lang w:val="en-GB" w:eastAsia="en-US"/>
          <w14:ligatures w14:val="none"/>
        </w:rPr>
        <w:t xml:space="preserve">) </w:t>
      </w:r>
    </w:p>
    <w:p w14:paraId="2AD95CC0" w14:textId="77777777" w:rsidR="004D032F" w:rsidRDefault="004D032F" w:rsidP="006639D1">
      <w:pPr>
        <w:spacing w:after="0" w:line="480" w:lineRule="auto"/>
        <w:ind w:firstLine="284"/>
        <w:jc w:val="center"/>
        <w:rPr>
          <w:rFonts w:ascii="Times New Roman" w:eastAsia="DengXian" w:hAnsi="Times New Roman" w:cs="Times New Roman"/>
          <w:kern w:val="0"/>
          <w:lang w:val="en-GB" w:eastAsia="en-US"/>
          <w14:ligatures w14:val="none"/>
        </w:rPr>
      </w:pPr>
    </w:p>
    <w:p w14:paraId="63752AF2" w14:textId="77777777" w:rsidR="004D032F" w:rsidRDefault="004D032F" w:rsidP="006639D1">
      <w:pPr>
        <w:spacing w:after="0" w:line="480" w:lineRule="auto"/>
        <w:ind w:firstLine="284"/>
        <w:jc w:val="center"/>
        <w:rPr>
          <w:rFonts w:ascii="Times New Roman" w:eastAsia="DengXian" w:hAnsi="Times New Roman" w:cs="Times New Roman"/>
          <w:kern w:val="0"/>
          <w:lang w:val="en-GB" w:eastAsia="en-US"/>
          <w14:ligatures w14:val="none"/>
        </w:rPr>
      </w:pPr>
    </w:p>
    <w:p w14:paraId="37431343" w14:textId="77777777" w:rsidR="004D032F" w:rsidRDefault="004D032F" w:rsidP="006639D1">
      <w:pPr>
        <w:spacing w:after="0" w:line="480" w:lineRule="auto"/>
        <w:ind w:firstLine="284"/>
        <w:jc w:val="center"/>
        <w:rPr>
          <w:rFonts w:ascii="Times New Roman" w:eastAsia="DengXian" w:hAnsi="Times New Roman" w:cs="Times New Roman"/>
          <w:kern w:val="0"/>
          <w:lang w:val="en-GB" w:eastAsia="en-US"/>
          <w14:ligatures w14:val="none"/>
        </w:rPr>
      </w:pPr>
    </w:p>
    <w:p w14:paraId="6EF029BE" w14:textId="77777777" w:rsidR="004D032F" w:rsidRDefault="004D032F" w:rsidP="006639D1">
      <w:pPr>
        <w:spacing w:after="0" w:line="480" w:lineRule="auto"/>
        <w:ind w:firstLine="284"/>
        <w:jc w:val="center"/>
        <w:rPr>
          <w:rFonts w:ascii="Times New Roman" w:eastAsia="DengXian" w:hAnsi="Times New Roman" w:cs="Times New Roman"/>
          <w:kern w:val="0"/>
          <w:lang w:val="en-GB" w:eastAsia="en-US"/>
          <w14:ligatures w14:val="none"/>
        </w:rPr>
      </w:pPr>
    </w:p>
    <w:p w14:paraId="1D0955D3" w14:textId="77777777" w:rsidR="004D032F" w:rsidRDefault="004D032F" w:rsidP="006639D1">
      <w:pPr>
        <w:spacing w:after="0" w:line="480" w:lineRule="auto"/>
        <w:ind w:firstLine="284"/>
        <w:jc w:val="center"/>
        <w:rPr>
          <w:rFonts w:ascii="Times New Roman" w:eastAsia="DengXian" w:hAnsi="Times New Roman" w:cs="Times New Roman"/>
          <w:kern w:val="0"/>
          <w:lang w:val="en-GB" w:eastAsia="en-US"/>
          <w14:ligatures w14:val="none"/>
        </w:rPr>
      </w:pPr>
    </w:p>
    <w:p w14:paraId="2C99C610" w14:textId="77777777" w:rsidR="004D032F" w:rsidRDefault="004D032F" w:rsidP="006639D1">
      <w:pPr>
        <w:spacing w:after="0" w:line="480" w:lineRule="auto"/>
        <w:ind w:firstLine="284"/>
        <w:jc w:val="center"/>
        <w:rPr>
          <w:rFonts w:ascii="Times New Roman" w:eastAsia="DengXian" w:hAnsi="Times New Roman" w:cs="Times New Roman"/>
          <w:kern w:val="0"/>
          <w:lang w:val="en-GB" w:eastAsia="en-US"/>
          <w14:ligatures w14:val="none"/>
        </w:rPr>
      </w:pPr>
    </w:p>
    <w:p w14:paraId="7695ACA0" w14:textId="77777777" w:rsidR="004D032F" w:rsidRDefault="004D032F" w:rsidP="006639D1">
      <w:pPr>
        <w:spacing w:after="0" w:line="480" w:lineRule="auto"/>
        <w:ind w:firstLine="284"/>
        <w:jc w:val="center"/>
        <w:rPr>
          <w:rFonts w:ascii="Times New Roman" w:eastAsia="DengXian" w:hAnsi="Times New Roman" w:cs="Times New Roman"/>
          <w:kern w:val="0"/>
          <w:lang w:val="en-GB" w:eastAsia="en-US"/>
          <w14:ligatures w14:val="none"/>
        </w:rPr>
      </w:pPr>
    </w:p>
    <w:p w14:paraId="62277D3A" w14:textId="77777777" w:rsidR="004D032F" w:rsidRDefault="004D032F" w:rsidP="006639D1">
      <w:pPr>
        <w:spacing w:after="0" w:line="480" w:lineRule="auto"/>
        <w:ind w:firstLine="284"/>
        <w:jc w:val="center"/>
        <w:rPr>
          <w:rFonts w:ascii="Times New Roman" w:eastAsia="DengXian" w:hAnsi="Times New Roman" w:cs="Times New Roman"/>
          <w:kern w:val="0"/>
          <w:lang w:val="en-GB" w:eastAsia="en-US"/>
          <w14:ligatures w14:val="none"/>
        </w:rPr>
      </w:pPr>
    </w:p>
    <w:p w14:paraId="21E28B22" w14:textId="77777777" w:rsidR="004D032F" w:rsidRDefault="004D032F" w:rsidP="006639D1">
      <w:pPr>
        <w:spacing w:after="0" w:line="480" w:lineRule="auto"/>
        <w:ind w:firstLine="284"/>
        <w:jc w:val="center"/>
        <w:rPr>
          <w:rFonts w:ascii="Times New Roman" w:eastAsia="DengXian" w:hAnsi="Times New Roman" w:cs="Times New Roman"/>
          <w:kern w:val="0"/>
          <w:lang w:val="en-GB" w:eastAsia="en-US"/>
          <w14:ligatures w14:val="none"/>
        </w:rPr>
      </w:pPr>
    </w:p>
    <w:p w14:paraId="2A709D12" w14:textId="77777777" w:rsidR="004D032F" w:rsidRDefault="004D032F" w:rsidP="006639D1">
      <w:pPr>
        <w:spacing w:after="0" w:line="480" w:lineRule="auto"/>
        <w:ind w:firstLine="284"/>
        <w:jc w:val="center"/>
        <w:rPr>
          <w:rFonts w:ascii="Times New Roman" w:eastAsia="DengXian" w:hAnsi="Times New Roman" w:cs="Times New Roman"/>
          <w:kern w:val="0"/>
          <w:lang w:val="en-GB" w:eastAsia="en-US"/>
          <w14:ligatures w14:val="none"/>
        </w:rPr>
      </w:pPr>
    </w:p>
    <w:p w14:paraId="54CCBF37" w14:textId="77777777" w:rsidR="004D032F" w:rsidRDefault="004D032F" w:rsidP="006639D1">
      <w:pPr>
        <w:spacing w:after="0" w:line="480" w:lineRule="auto"/>
        <w:ind w:firstLine="284"/>
        <w:jc w:val="center"/>
        <w:rPr>
          <w:rFonts w:ascii="Times New Roman" w:eastAsia="DengXian" w:hAnsi="Times New Roman" w:cs="Times New Roman"/>
          <w:kern w:val="0"/>
          <w:lang w:val="en-GB" w:eastAsia="en-US"/>
          <w14:ligatures w14:val="none"/>
        </w:rPr>
      </w:pPr>
    </w:p>
    <w:p w14:paraId="53D36723" w14:textId="77777777" w:rsidR="004D032F" w:rsidRDefault="004D032F" w:rsidP="006639D1">
      <w:pPr>
        <w:spacing w:after="0" w:line="480" w:lineRule="auto"/>
        <w:ind w:firstLine="284"/>
        <w:jc w:val="center"/>
        <w:rPr>
          <w:rFonts w:ascii="Times New Roman" w:eastAsia="DengXian" w:hAnsi="Times New Roman" w:cs="Times New Roman"/>
          <w:kern w:val="0"/>
          <w:lang w:val="en-GB" w:eastAsia="en-US"/>
          <w14:ligatures w14:val="none"/>
        </w:rPr>
      </w:pPr>
    </w:p>
    <w:p w14:paraId="61482258" w14:textId="77777777" w:rsidR="004D032F" w:rsidRDefault="004D032F" w:rsidP="006639D1">
      <w:pPr>
        <w:spacing w:after="0" w:line="480" w:lineRule="auto"/>
        <w:ind w:firstLine="284"/>
        <w:jc w:val="center"/>
        <w:rPr>
          <w:rFonts w:ascii="Times New Roman" w:eastAsia="DengXian" w:hAnsi="Times New Roman" w:cs="Times New Roman"/>
          <w:kern w:val="0"/>
          <w:lang w:val="en-GB" w:eastAsia="en-US"/>
          <w14:ligatures w14:val="none"/>
        </w:rPr>
      </w:pPr>
    </w:p>
    <w:p w14:paraId="569ED53A" w14:textId="77777777" w:rsidR="004D032F" w:rsidRDefault="004D032F" w:rsidP="006639D1">
      <w:pPr>
        <w:spacing w:after="0" w:line="480" w:lineRule="auto"/>
        <w:ind w:firstLine="284"/>
        <w:jc w:val="center"/>
        <w:rPr>
          <w:rFonts w:ascii="Times New Roman" w:eastAsia="DengXian" w:hAnsi="Times New Roman" w:cs="Times New Roman"/>
          <w:kern w:val="0"/>
          <w:lang w:val="en-GB" w:eastAsia="en-US"/>
          <w14:ligatures w14:val="none"/>
        </w:rPr>
      </w:pPr>
    </w:p>
    <w:p w14:paraId="55191F74" w14:textId="77777777" w:rsidR="004D032F" w:rsidRDefault="004D032F" w:rsidP="006639D1">
      <w:pPr>
        <w:spacing w:after="0" w:line="480" w:lineRule="auto"/>
        <w:ind w:firstLine="284"/>
        <w:jc w:val="center"/>
        <w:rPr>
          <w:rFonts w:ascii="Times New Roman" w:eastAsia="DengXian" w:hAnsi="Times New Roman" w:cs="Times New Roman"/>
          <w:kern w:val="0"/>
          <w:lang w:val="en-GB" w:eastAsia="en-US"/>
          <w14:ligatures w14:val="none"/>
        </w:rPr>
      </w:pPr>
    </w:p>
    <w:p w14:paraId="71FED8A9" w14:textId="77777777" w:rsidR="004D032F" w:rsidRDefault="004D032F" w:rsidP="006639D1">
      <w:pPr>
        <w:spacing w:after="0" w:line="480" w:lineRule="auto"/>
        <w:ind w:firstLine="284"/>
        <w:jc w:val="center"/>
        <w:rPr>
          <w:rFonts w:ascii="Times New Roman" w:eastAsia="DengXian" w:hAnsi="Times New Roman" w:cs="Times New Roman"/>
          <w:kern w:val="0"/>
          <w:lang w:val="en-GB" w:eastAsia="en-US"/>
          <w14:ligatures w14:val="none"/>
        </w:rPr>
      </w:pPr>
    </w:p>
    <w:p w14:paraId="74791AC7" w14:textId="77777777" w:rsidR="004D032F" w:rsidRDefault="004D032F" w:rsidP="006639D1">
      <w:pPr>
        <w:spacing w:after="0" w:line="480" w:lineRule="auto"/>
        <w:ind w:firstLine="284"/>
        <w:jc w:val="center"/>
        <w:rPr>
          <w:rFonts w:ascii="Times New Roman" w:eastAsia="DengXian" w:hAnsi="Times New Roman" w:cs="Times New Roman"/>
          <w:kern w:val="0"/>
          <w:lang w:val="en-GB" w:eastAsia="en-US"/>
          <w14:ligatures w14:val="none"/>
        </w:rPr>
      </w:pPr>
    </w:p>
    <w:p w14:paraId="14FF3B06" w14:textId="77777777" w:rsidR="004D032F" w:rsidRDefault="004D032F" w:rsidP="006639D1">
      <w:pPr>
        <w:spacing w:after="0" w:line="480" w:lineRule="auto"/>
        <w:ind w:firstLine="284"/>
        <w:jc w:val="center"/>
        <w:rPr>
          <w:rFonts w:ascii="Times New Roman" w:eastAsia="DengXian" w:hAnsi="Times New Roman" w:cs="Times New Roman"/>
          <w:kern w:val="0"/>
          <w:lang w:val="en-GB" w:eastAsia="en-US"/>
          <w14:ligatures w14:val="none"/>
        </w:rPr>
      </w:pPr>
    </w:p>
    <w:p w14:paraId="64E8F961" w14:textId="77777777" w:rsidR="004D032F" w:rsidRDefault="004D032F" w:rsidP="006639D1">
      <w:pPr>
        <w:spacing w:after="0" w:line="480" w:lineRule="auto"/>
        <w:ind w:firstLine="284"/>
        <w:jc w:val="center"/>
        <w:rPr>
          <w:rFonts w:ascii="Times New Roman" w:eastAsia="DengXian" w:hAnsi="Times New Roman" w:cs="Times New Roman"/>
          <w:kern w:val="0"/>
          <w:lang w:val="en-GB" w:eastAsia="en-US"/>
          <w14:ligatures w14:val="none"/>
        </w:rPr>
      </w:pPr>
    </w:p>
    <w:p w14:paraId="0BC4EBC5" w14:textId="77777777" w:rsidR="004D032F" w:rsidRDefault="004D032F" w:rsidP="006639D1">
      <w:pPr>
        <w:spacing w:after="0" w:line="480" w:lineRule="auto"/>
        <w:ind w:firstLine="284"/>
        <w:jc w:val="center"/>
        <w:rPr>
          <w:rFonts w:ascii="Times New Roman" w:eastAsia="DengXian" w:hAnsi="Times New Roman" w:cs="Times New Roman"/>
          <w:kern w:val="0"/>
          <w:lang w:val="en-GB" w:eastAsia="en-US"/>
          <w14:ligatures w14:val="none"/>
        </w:rPr>
      </w:pPr>
    </w:p>
    <w:p w14:paraId="32FC43E7" w14:textId="77777777" w:rsidR="004D032F" w:rsidRDefault="004D032F" w:rsidP="006639D1">
      <w:pPr>
        <w:spacing w:after="0" w:line="480" w:lineRule="auto"/>
        <w:ind w:firstLine="284"/>
        <w:jc w:val="center"/>
        <w:rPr>
          <w:rFonts w:ascii="Times New Roman" w:eastAsia="DengXian" w:hAnsi="Times New Roman" w:cs="Times New Roman"/>
          <w:kern w:val="0"/>
          <w:lang w:val="en-GB" w:eastAsia="en-US"/>
          <w14:ligatures w14:val="none"/>
        </w:rPr>
      </w:pPr>
    </w:p>
    <w:p w14:paraId="196DDF7C" w14:textId="1C959EDD" w:rsidR="006639D1" w:rsidRDefault="006639D1" w:rsidP="006639D1">
      <w:pPr>
        <w:spacing w:after="0" w:line="480" w:lineRule="auto"/>
        <w:ind w:firstLine="284"/>
        <w:jc w:val="center"/>
        <w:rPr>
          <w:rFonts w:ascii="Times New Roman" w:eastAsia="DengXian" w:hAnsi="Times New Roman" w:cs="Times New Roman"/>
          <w:kern w:val="0"/>
          <w:lang w:val="en-GB" w:eastAsia="en-US"/>
          <w14:ligatures w14:val="none"/>
        </w:rPr>
      </w:pPr>
      <w:r>
        <w:rPr>
          <w:rFonts w:ascii="Times New Roman" w:eastAsia="DengXian" w:hAnsi="Times New Roman" w:cs="Times New Roman"/>
          <w:kern w:val="0"/>
          <w:lang w:val="en-GB" w:eastAsia="en-US"/>
          <w14:ligatures w14:val="none"/>
        </w:rPr>
        <w:t xml:space="preserve"> </w:t>
      </w:r>
    </w:p>
    <w:p w14:paraId="2FFB98E4" w14:textId="16AFF6E8" w:rsidR="00BC0568" w:rsidRPr="00EE41C6" w:rsidRDefault="00820C99" w:rsidP="001276EC">
      <w:pPr>
        <w:spacing w:after="0" w:line="480" w:lineRule="auto"/>
        <w:ind w:firstLine="284"/>
        <w:jc w:val="center"/>
        <w:rPr>
          <w:rFonts w:ascii="Times New Roman" w:eastAsia="DengXian" w:hAnsi="Times New Roman" w:cs="Times New Roman"/>
          <w:kern w:val="0"/>
          <w:lang w:val="en-GB" w:eastAsia="en-US"/>
          <w14:ligatures w14:val="none"/>
        </w:rPr>
      </w:pPr>
      <w:r w:rsidRPr="00EE41C6">
        <w:rPr>
          <w:rFonts w:ascii="Times New Roman" w:eastAsia="DengXian" w:hAnsi="Times New Roman" w:cs="Times New Roman"/>
          <w:kern w:val="0"/>
          <w:lang w:val="en-GB" w:eastAsia="en-US"/>
          <w14:ligatures w14:val="none"/>
        </w:rPr>
        <w:t xml:space="preserve"> </w:t>
      </w:r>
    </w:p>
    <w:sdt>
      <w:sdtPr>
        <w:rPr>
          <w:rFonts w:asciiTheme="minorHAnsi" w:eastAsiaTheme="minorEastAsia" w:hAnsiTheme="minorHAnsi" w:cstheme="minorBidi"/>
          <w:color w:val="auto"/>
          <w:kern w:val="2"/>
          <w:sz w:val="22"/>
          <w:szCs w:val="22"/>
          <w:lang w:eastAsia="zh-CN"/>
          <w14:ligatures w14:val="standardContextual"/>
        </w:rPr>
        <w:id w:val="-855583597"/>
        <w:docPartObj>
          <w:docPartGallery w:val="Table of Contents"/>
          <w:docPartUnique/>
        </w:docPartObj>
      </w:sdtPr>
      <w:sdtEndPr>
        <w:rPr>
          <w:b/>
          <w:bCs/>
          <w:noProof/>
        </w:rPr>
      </w:sdtEndPr>
      <w:sdtContent>
        <w:p w14:paraId="57930CC3" w14:textId="7A6A991A" w:rsidR="00BC0568" w:rsidRPr="00EE41C6" w:rsidRDefault="00BC0568">
          <w:pPr>
            <w:pStyle w:val="TOCHeading"/>
          </w:pPr>
          <w:r w:rsidRPr="00EE41C6">
            <w:t>Contents</w:t>
          </w:r>
        </w:p>
        <w:p w14:paraId="3DB834CF" w14:textId="6517B3DE" w:rsidR="004D032F" w:rsidRDefault="00BC0568">
          <w:pPr>
            <w:pStyle w:val="TOC1"/>
            <w:rPr>
              <w:noProof/>
            </w:rPr>
          </w:pPr>
          <w:r w:rsidRPr="00EE41C6">
            <w:fldChar w:fldCharType="begin"/>
          </w:r>
          <w:r w:rsidRPr="00EE41C6">
            <w:instrText xml:space="preserve"> TOC \o "1-3" \h \z \u </w:instrText>
          </w:r>
          <w:r w:rsidRPr="00EE41C6">
            <w:fldChar w:fldCharType="separate"/>
          </w:r>
          <w:hyperlink w:anchor="_Toc176517746" w:history="1">
            <w:r w:rsidR="004D032F" w:rsidRPr="0055040F">
              <w:rPr>
                <w:rStyle w:val="Hyperlink"/>
                <w:rFonts w:ascii="Times New Roman" w:hAnsi="Times New Roman" w:cs="Times New Roman"/>
                <w:noProof/>
              </w:rPr>
              <w:t>Supplementary Discussion 1</w:t>
            </w:r>
            <w:r w:rsidR="004D032F">
              <w:rPr>
                <w:noProof/>
                <w:webHidden/>
              </w:rPr>
              <w:tab/>
            </w:r>
            <w:r w:rsidR="004D032F">
              <w:rPr>
                <w:noProof/>
                <w:webHidden/>
              </w:rPr>
              <w:fldChar w:fldCharType="begin"/>
            </w:r>
            <w:r w:rsidR="004D032F">
              <w:rPr>
                <w:noProof/>
                <w:webHidden/>
              </w:rPr>
              <w:instrText xml:space="preserve"> PAGEREF _Toc176517746 \h </w:instrText>
            </w:r>
            <w:r w:rsidR="004D032F">
              <w:rPr>
                <w:noProof/>
                <w:webHidden/>
              </w:rPr>
            </w:r>
            <w:r w:rsidR="004D032F">
              <w:rPr>
                <w:noProof/>
                <w:webHidden/>
              </w:rPr>
              <w:fldChar w:fldCharType="separate"/>
            </w:r>
            <w:r w:rsidR="004D032F">
              <w:rPr>
                <w:noProof/>
                <w:webHidden/>
              </w:rPr>
              <w:t>3</w:t>
            </w:r>
            <w:r w:rsidR="004D032F">
              <w:rPr>
                <w:noProof/>
                <w:webHidden/>
              </w:rPr>
              <w:fldChar w:fldCharType="end"/>
            </w:r>
          </w:hyperlink>
        </w:p>
        <w:p w14:paraId="5ECECD4D" w14:textId="1CB68E3D" w:rsidR="004D032F" w:rsidRDefault="004D032F">
          <w:pPr>
            <w:pStyle w:val="TOC1"/>
            <w:rPr>
              <w:noProof/>
            </w:rPr>
          </w:pPr>
          <w:hyperlink w:anchor="_Toc176517747" w:history="1">
            <w:r w:rsidRPr="0055040F">
              <w:rPr>
                <w:rStyle w:val="Hyperlink"/>
                <w:rFonts w:ascii="Times New Roman" w:hAnsi="Times New Roman" w:cs="Times New Roman"/>
                <w:noProof/>
              </w:rPr>
              <w:t>Supplementary Discussion 2</w:t>
            </w:r>
            <w:r>
              <w:rPr>
                <w:noProof/>
                <w:webHidden/>
              </w:rPr>
              <w:tab/>
            </w:r>
            <w:r>
              <w:rPr>
                <w:noProof/>
                <w:webHidden/>
              </w:rPr>
              <w:fldChar w:fldCharType="begin"/>
            </w:r>
            <w:r>
              <w:rPr>
                <w:noProof/>
                <w:webHidden/>
              </w:rPr>
              <w:instrText xml:space="preserve"> PAGEREF _Toc176517747 \h </w:instrText>
            </w:r>
            <w:r>
              <w:rPr>
                <w:noProof/>
                <w:webHidden/>
              </w:rPr>
            </w:r>
            <w:r>
              <w:rPr>
                <w:noProof/>
                <w:webHidden/>
              </w:rPr>
              <w:fldChar w:fldCharType="separate"/>
            </w:r>
            <w:r>
              <w:rPr>
                <w:noProof/>
                <w:webHidden/>
              </w:rPr>
              <w:t>5</w:t>
            </w:r>
            <w:r>
              <w:rPr>
                <w:noProof/>
                <w:webHidden/>
              </w:rPr>
              <w:fldChar w:fldCharType="end"/>
            </w:r>
          </w:hyperlink>
        </w:p>
        <w:p w14:paraId="3EA6F696" w14:textId="7827F1D4" w:rsidR="004D032F" w:rsidRDefault="004D032F">
          <w:pPr>
            <w:pStyle w:val="TOC1"/>
            <w:rPr>
              <w:noProof/>
            </w:rPr>
          </w:pPr>
          <w:hyperlink w:anchor="_Toc176517748" w:history="1">
            <w:r w:rsidRPr="0055040F">
              <w:rPr>
                <w:rStyle w:val="Hyperlink"/>
                <w:rFonts w:ascii="Times New Roman" w:hAnsi="Times New Roman" w:cs="Times New Roman"/>
                <w:noProof/>
              </w:rPr>
              <w:t>Supplementary Discussion 3</w:t>
            </w:r>
            <w:r>
              <w:rPr>
                <w:noProof/>
                <w:webHidden/>
              </w:rPr>
              <w:tab/>
            </w:r>
            <w:r>
              <w:rPr>
                <w:noProof/>
                <w:webHidden/>
              </w:rPr>
              <w:fldChar w:fldCharType="begin"/>
            </w:r>
            <w:r>
              <w:rPr>
                <w:noProof/>
                <w:webHidden/>
              </w:rPr>
              <w:instrText xml:space="preserve"> PAGEREF _Toc176517748 \h </w:instrText>
            </w:r>
            <w:r>
              <w:rPr>
                <w:noProof/>
                <w:webHidden/>
              </w:rPr>
            </w:r>
            <w:r>
              <w:rPr>
                <w:noProof/>
                <w:webHidden/>
              </w:rPr>
              <w:fldChar w:fldCharType="separate"/>
            </w:r>
            <w:r>
              <w:rPr>
                <w:noProof/>
                <w:webHidden/>
              </w:rPr>
              <w:t>6</w:t>
            </w:r>
            <w:r>
              <w:rPr>
                <w:noProof/>
                <w:webHidden/>
              </w:rPr>
              <w:fldChar w:fldCharType="end"/>
            </w:r>
          </w:hyperlink>
        </w:p>
        <w:p w14:paraId="264EBCC0" w14:textId="79B8EC63" w:rsidR="004D032F" w:rsidRDefault="004D032F">
          <w:pPr>
            <w:pStyle w:val="TOC1"/>
            <w:rPr>
              <w:noProof/>
            </w:rPr>
          </w:pPr>
          <w:hyperlink w:anchor="_Toc176517749" w:history="1">
            <w:r w:rsidRPr="0055040F">
              <w:rPr>
                <w:rStyle w:val="Hyperlink"/>
                <w:rFonts w:ascii="Times New Roman" w:hAnsi="Times New Roman" w:cs="Times New Roman"/>
                <w:noProof/>
              </w:rPr>
              <w:t>Supplementary Discussion 4</w:t>
            </w:r>
            <w:r>
              <w:rPr>
                <w:noProof/>
                <w:webHidden/>
              </w:rPr>
              <w:tab/>
            </w:r>
            <w:r>
              <w:rPr>
                <w:noProof/>
                <w:webHidden/>
              </w:rPr>
              <w:fldChar w:fldCharType="begin"/>
            </w:r>
            <w:r>
              <w:rPr>
                <w:noProof/>
                <w:webHidden/>
              </w:rPr>
              <w:instrText xml:space="preserve"> PAGEREF _Toc176517749 \h </w:instrText>
            </w:r>
            <w:r>
              <w:rPr>
                <w:noProof/>
                <w:webHidden/>
              </w:rPr>
            </w:r>
            <w:r>
              <w:rPr>
                <w:noProof/>
                <w:webHidden/>
              </w:rPr>
              <w:fldChar w:fldCharType="separate"/>
            </w:r>
            <w:r>
              <w:rPr>
                <w:noProof/>
                <w:webHidden/>
              </w:rPr>
              <w:t>7</w:t>
            </w:r>
            <w:r>
              <w:rPr>
                <w:noProof/>
                <w:webHidden/>
              </w:rPr>
              <w:fldChar w:fldCharType="end"/>
            </w:r>
          </w:hyperlink>
        </w:p>
        <w:p w14:paraId="35ABC693" w14:textId="7B056AE7" w:rsidR="004D032F" w:rsidRDefault="004D032F">
          <w:pPr>
            <w:pStyle w:val="TOC1"/>
            <w:rPr>
              <w:noProof/>
            </w:rPr>
          </w:pPr>
          <w:hyperlink w:anchor="_Toc176517750" w:history="1">
            <w:r w:rsidRPr="0055040F">
              <w:rPr>
                <w:rStyle w:val="Hyperlink"/>
                <w:rFonts w:ascii="Times New Roman" w:hAnsi="Times New Roman" w:cs="Times New Roman"/>
                <w:noProof/>
              </w:rPr>
              <w:t>Additional results on climate, energy, land, water, and food</w:t>
            </w:r>
            <w:r>
              <w:rPr>
                <w:noProof/>
                <w:webHidden/>
              </w:rPr>
              <w:tab/>
            </w:r>
            <w:r>
              <w:rPr>
                <w:noProof/>
                <w:webHidden/>
              </w:rPr>
              <w:fldChar w:fldCharType="begin"/>
            </w:r>
            <w:r>
              <w:rPr>
                <w:noProof/>
                <w:webHidden/>
              </w:rPr>
              <w:instrText xml:space="preserve"> PAGEREF _Toc176517750 \h </w:instrText>
            </w:r>
            <w:r>
              <w:rPr>
                <w:noProof/>
                <w:webHidden/>
              </w:rPr>
            </w:r>
            <w:r>
              <w:rPr>
                <w:noProof/>
                <w:webHidden/>
              </w:rPr>
              <w:fldChar w:fldCharType="separate"/>
            </w:r>
            <w:r>
              <w:rPr>
                <w:noProof/>
                <w:webHidden/>
              </w:rPr>
              <w:t>9</w:t>
            </w:r>
            <w:r>
              <w:rPr>
                <w:noProof/>
                <w:webHidden/>
              </w:rPr>
              <w:fldChar w:fldCharType="end"/>
            </w:r>
          </w:hyperlink>
        </w:p>
        <w:p w14:paraId="19EDD16B" w14:textId="2399A414" w:rsidR="004D032F" w:rsidRDefault="004D032F">
          <w:pPr>
            <w:pStyle w:val="TOC1"/>
            <w:rPr>
              <w:noProof/>
            </w:rPr>
          </w:pPr>
          <w:hyperlink w:anchor="_Toc176517751" w:history="1">
            <w:r w:rsidRPr="0055040F">
              <w:rPr>
                <w:rStyle w:val="Hyperlink"/>
                <w:rFonts w:ascii="Times New Roman" w:hAnsi="Times New Roman" w:cs="Times New Roman"/>
                <w:noProof/>
              </w:rPr>
              <w:t>Supplementary Tables</w:t>
            </w:r>
            <w:r>
              <w:rPr>
                <w:noProof/>
                <w:webHidden/>
              </w:rPr>
              <w:tab/>
            </w:r>
            <w:r>
              <w:rPr>
                <w:noProof/>
                <w:webHidden/>
              </w:rPr>
              <w:fldChar w:fldCharType="begin"/>
            </w:r>
            <w:r>
              <w:rPr>
                <w:noProof/>
                <w:webHidden/>
              </w:rPr>
              <w:instrText xml:space="preserve"> PAGEREF _Toc176517751 \h </w:instrText>
            </w:r>
            <w:r>
              <w:rPr>
                <w:noProof/>
                <w:webHidden/>
              </w:rPr>
            </w:r>
            <w:r>
              <w:rPr>
                <w:noProof/>
                <w:webHidden/>
              </w:rPr>
              <w:fldChar w:fldCharType="separate"/>
            </w:r>
            <w:r>
              <w:rPr>
                <w:noProof/>
                <w:webHidden/>
              </w:rPr>
              <w:t>30</w:t>
            </w:r>
            <w:r>
              <w:rPr>
                <w:noProof/>
                <w:webHidden/>
              </w:rPr>
              <w:fldChar w:fldCharType="end"/>
            </w:r>
          </w:hyperlink>
        </w:p>
        <w:p w14:paraId="5387AB72" w14:textId="74A76505" w:rsidR="004D032F" w:rsidRDefault="004D032F">
          <w:pPr>
            <w:pStyle w:val="TOC1"/>
            <w:rPr>
              <w:noProof/>
            </w:rPr>
          </w:pPr>
          <w:hyperlink w:anchor="_Toc176517752" w:history="1">
            <w:r w:rsidRPr="0055040F">
              <w:rPr>
                <w:rStyle w:val="Hyperlink"/>
                <w:rFonts w:ascii="Times New Roman" w:hAnsi="Times New Roman" w:cs="Times New Roman"/>
                <w:noProof/>
              </w:rPr>
              <w:t>Supplementary Note 1: Land use change as a carbon dioxide removal method in GCAM</w:t>
            </w:r>
            <w:r>
              <w:rPr>
                <w:noProof/>
                <w:webHidden/>
              </w:rPr>
              <w:tab/>
            </w:r>
            <w:r>
              <w:rPr>
                <w:noProof/>
                <w:webHidden/>
              </w:rPr>
              <w:fldChar w:fldCharType="begin"/>
            </w:r>
            <w:r>
              <w:rPr>
                <w:noProof/>
                <w:webHidden/>
              </w:rPr>
              <w:instrText xml:space="preserve"> PAGEREF _Toc176517752 \h </w:instrText>
            </w:r>
            <w:r>
              <w:rPr>
                <w:noProof/>
                <w:webHidden/>
              </w:rPr>
            </w:r>
            <w:r>
              <w:rPr>
                <w:noProof/>
                <w:webHidden/>
              </w:rPr>
              <w:fldChar w:fldCharType="separate"/>
            </w:r>
            <w:r>
              <w:rPr>
                <w:noProof/>
                <w:webHidden/>
              </w:rPr>
              <w:t>33</w:t>
            </w:r>
            <w:r>
              <w:rPr>
                <w:noProof/>
                <w:webHidden/>
              </w:rPr>
              <w:fldChar w:fldCharType="end"/>
            </w:r>
          </w:hyperlink>
        </w:p>
        <w:p w14:paraId="16C90963" w14:textId="366258C5" w:rsidR="004D032F" w:rsidRDefault="004D032F">
          <w:pPr>
            <w:pStyle w:val="TOC1"/>
            <w:rPr>
              <w:noProof/>
            </w:rPr>
          </w:pPr>
          <w:hyperlink w:anchor="_Toc176517753" w:history="1">
            <w:r w:rsidRPr="0055040F">
              <w:rPr>
                <w:rStyle w:val="Hyperlink"/>
                <w:rFonts w:ascii="Times New Roman" w:hAnsi="Times New Roman" w:cs="Times New Roman"/>
                <w:noProof/>
              </w:rPr>
              <w:t>Supplementary Note 2: BECCS as a carbon dioxide removal method in GCAM</w:t>
            </w:r>
            <w:r>
              <w:rPr>
                <w:noProof/>
                <w:webHidden/>
              </w:rPr>
              <w:tab/>
            </w:r>
            <w:r>
              <w:rPr>
                <w:noProof/>
                <w:webHidden/>
              </w:rPr>
              <w:fldChar w:fldCharType="begin"/>
            </w:r>
            <w:r>
              <w:rPr>
                <w:noProof/>
                <w:webHidden/>
              </w:rPr>
              <w:instrText xml:space="preserve"> PAGEREF _Toc176517753 \h </w:instrText>
            </w:r>
            <w:r>
              <w:rPr>
                <w:noProof/>
                <w:webHidden/>
              </w:rPr>
            </w:r>
            <w:r>
              <w:rPr>
                <w:noProof/>
                <w:webHidden/>
              </w:rPr>
              <w:fldChar w:fldCharType="separate"/>
            </w:r>
            <w:r>
              <w:rPr>
                <w:noProof/>
                <w:webHidden/>
              </w:rPr>
              <w:t>33</w:t>
            </w:r>
            <w:r>
              <w:rPr>
                <w:noProof/>
                <w:webHidden/>
              </w:rPr>
              <w:fldChar w:fldCharType="end"/>
            </w:r>
          </w:hyperlink>
        </w:p>
        <w:p w14:paraId="3979CDB1" w14:textId="5CD472A3" w:rsidR="004D032F" w:rsidRDefault="004D032F">
          <w:pPr>
            <w:pStyle w:val="TOC1"/>
            <w:rPr>
              <w:noProof/>
            </w:rPr>
          </w:pPr>
          <w:hyperlink w:anchor="_Toc176517754" w:history="1">
            <w:r w:rsidRPr="0055040F">
              <w:rPr>
                <w:rStyle w:val="Hyperlink"/>
                <w:rFonts w:ascii="Times New Roman" w:hAnsi="Times New Roman" w:cs="Times New Roman"/>
                <w:noProof/>
              </w:rPr>
              <w:t>Supplementary Note 3: DACCS as a carbon dioxide removal method in GCAM</w:t>
            </w:r>
            <w:r>
              <w:rPr>
                <w:noProof/>
                <w:webHidden/>
              </w:rPr>
              <w:tab/>
            </w:r>
            <w:r>
              <w:rPr>
                <w:noProof/>
                <w:webHidden/>
              </w:rPr>
              <w:fldChar w:fldCharType="begin"/>
            </w:r>
            <w:r>
              <w:rPr>
                <w:noProof/>
                <w:webHidden/>
              </w:rPr>
              <w:instrText xml:space="preserve"> PAGEREF _Toc176517754 \h </w:instrText>
            </w:r>
            <w:r>
              <w:rPr>
                <w:noProof/>
                <w:webHidden/>
              </w:rPr>
            </w:r>
            <w:r>
              <w:rPr>
                <w:noProof/>
                <w:webHidden/>
              </w:rPr>
              <w:fldChar w:fldCharType="separate"/>
            </w:r>
            <w:r>
              <w:rPr>
                <w:noProof/>
                <w:webHidden/>
              </w:rPr>
              <w:t>34</w:t>
            </w:r>
            <w:r>
              <w:rPr>
                <w:noProof/>
                <w:webHidden/>
              </w:rPr>
              <w:fldChar w:fldCharType="end"/>
            </w:r>
          </w:hyperlink>
        </w:p>
        <w:p w14:paraId="10D4D805" w14:textId="41680635" w:rsidR="004D032F" w:rsidRDefault="004D032F">
          <w:pPr>
            <w:pStyle w:val="TOC1"/>
            <w:rPr>
              <w:noProof/>
            </w:rPr>
          </w:pPr>
          <w:hyperlink w:anchor="_Toc176517755" w:history="1">
            <w:r w:rsidRPr="0055040F">
              <w:rPr>
                <w:rStyle w:val="Hyperlink"/>
                <w:rFonts w:ascii="Times New Roman" w:hAnsi="Times New Roman" w:cs="Times New Roman"/>
                <w:noProof/>
              </w:rPr>
              <w:t>Supplementary Note 4: ERW as a carbon dioxide removal method in GCAM</w:t>
            </w:r>
            <w:r>
              <w:rPr>
                <w:noProof/>
                <w:webHidden/>
              </w:rPr>
              <w:tab/>
            </w:r>
            <w:r>
              <w:rPr>
                <w:noProof/>
                <w:webHidden/>
              </w:rPr>
              <w:fldChar w:fldCharType="begin"/>
            </w:r>
            <w:r>
              <w:rPr>
                <w:noProof/>
                <w:webHidden/>
              </w:rPr>
              <w:instrText xml:space="preserve"> PAGEREF _Toc176517755 \h </w:instrText>
            </w:r>
            <w:r>
              <w:rPr>
                <w:noProof/>
                <w:webHidden/>
              </w:rPr>
            </w:r>
            <w:r>
              <w:rPr>
                <w:noProof/>
                <w:webHidden/>
              </w:rPr>
              <w:fldChar w:fldCharType="separate"/>
            </w:r>
            <w:r>
              <w:rPr>
                <w:noProof/>
                <w:webHidden/>
              </w:rPr>
              <w:t>34</w:t>
            </w:r>
            <w:r>
              <w:rPr>
                <w:noProof/>
                <w:webHidden/>
              </w:rPr>
              <w:fldChar w:fldCharType="end"/>
            </w:r>
          </w:hyperlink>
        </w:p>
        <w:p w14:paraId="506FEDB0" w14:textId="4691004F" w:rsidR="004D032F" w:rsidRDefault="004D032F">
          <w:pPr>
            <w:pStyle w:val="TOC1"/>
            <w:rPr>
              <w:noProof/>
            </w:rPr>
          </w:pPr>
          <w:hyperlink w:anchor="_Toc176517756" w:history="1">
            <w:r w:rsidRPr="0055040F">
              <w:rPr>
                <w:rStyle w:val="Hyperlink"/>
                <w:rFonts w:ascii="Times New Roman" w:hAnsi="Times New Roman" w:cs="Times New Roman"/>
                <w:noProof/>
              </w:rPr>
              <w:t>Supplementary Note 5: GCAM’s land module</w:t>
            </w:r>
            <w:r>
              <w:rPr>
                <w:noProof/>
                <w:webHidden/>
              </w:rPr>
              <w:tab/>
            </w:r>
            <w:r>
              <w:rPr>
                <w:noProof/>
                <w:webHidden/>
              </w:rPr>
              <w:fldChar w:fldCharType="begin"/>
            </w:r>
            <w:r>
              <w:rPr>
                <w:noProof/>
                <w:webHidden/>
              </w:rPr>
              <w:instrText xml:space="preserve"> PAGEREF _Toc176517756 \h </w:instrText>
            </w:r>
            <w:r>
              <w:rPr>
                <w:noProof/>
                <w:webHidden/>
              </w:rPr>
            </w:r>
            <w:r>
              <w:rPr>
                <w:noProof/>
                <w:webHidden/>
              </w:rPr>
              <w:fldChar w:fldCharType="separate"/>
            </w:r>
            <w:r>
              <w:rPr>
                <w:noProof/>
                <w:webHidden/>
              </w:rPr>
              <w:t>35</w:t>
            </w:r>
            <w:r>
              <w:rPr>
                <w:noProof/>
                <w:webHidden/>
              </w:rPr>
              <w:fldChar w:fldCharType="end"/>
            </w:r>
          </w:hyperlink>
        </w:p>
        <w:p w14:paraId="70FE69C7" w14:textId="62C27C24" w:rsidR="004D032F" w:rsidRDefault="004D032F">
          <w:pPr>
            <w:pStyle w:val="TOC1"/>
            <w:rPr>
              <w:noProof/>
            </w:rPr>
          </w:pPr>
          <w:hyperlink w:anchor="_Toc176517757" w:history="1">
            <w:r w:rsidRPr="0055040F">
              <w:rPr>
                <w:rStyle w:val="Hyperlink"/>
                <w:rFonts w:ascii="Times New Roman" w:hAnsi="Times New Roman" w:cs="Times New Roman"/>
                <w:noProof/>
              </w:rPr>
              <w:t>Supplementary Note 6: GCAM’s water module</w:t>
            </w:r>
            <w:r>
              <w:rPr>
                <w:noProof/>
                <w:webHidden/>
              </w:rPr>
              <w:tab/>
            </w:r>
            <w:r>
              <w:rPr>
                <w:noProof/>
                <w:webHidden/>
              </w:rPr>
              <w:fldChar w:fldCharType="begin"/>
            </w:r>
            <w:r>
              <w:rPr>
                <w:noProof/>
                <w:webHidden/>
              </w:rPr>
              <w:instrText xml:space="preserve"> PAGEREF _Toc176517757 \h </w:instrText>
            </w:r>
            <w:r>
              <w:rPr>
                <w:noProof/>
                <w:webHidden/>
              </w:rPr>
            </w:r>
            <w:r>
              <w:rPr>
                <w:noProof/>
                <w:webHidden/>
              </w:rPr>
              <w:fldChar w:fldCharType="separate"/>
            </w:r>
            <w:r>
              <w:rPr>
                <w:noProof/>
                <w:webHidden/>
              </w:rPr>
              <w:t>39</w:t>
            </w:r>
            <w:r>
              <w:rPr>
                <w:noProof/>
                <w:webHidden/>
              </w:rPr>
              <w:fldChar w:fldCharType="end"/>
            </w:r>
          </w:hyperlink>
        </w:p>
        <w:p w14:paraId="6B2CE642" w14:textId="63B685F2" w:rsidR="004D032F" w:rsidRDefault="004D032F">
          <w:pPr>
            <w:pStyle w:val="TOC1"/>
            <w:rPr>
              <w:noProof/>
            </w:rPr>
          </w:pPr>
          <w:hyperlink w:anchor="_Toc176517758" w:history="1">
            <w:r w:rsidRPr="0055040F">
              <w:rPr>
                <w:rStyle w:val="Hyperlink"/>
                <w:rFonts w:ascii="Times New Roman" w:hAnsi="Times New Roman" w:cs="Times New Roman"/>
                <w:noProof/>
              </w:rPr>
              <w:t>Supplementary Note 7: GCAM’s fertilizer module</w:t>
            </w:r>
            <w:r>
              <w:rPr>
                <w:noProof/>
                <w:webHidden/>
              </w:rPr>
              <w:tab/>
            </w:r>
            <w:r>
              <w:rPr>
                <w:noProof/>
                <w:webHidden/>
              </w:rPr>
              <w:fldChar w:fldCharType="begin"/>
            </w:r>
            <w:r>
              <w:rPr>
                <w:noProof/>
                <w:webHidden/>
              </w:rPr>
              <w:instrText xml:space="preserve"> PAGEREF _Toc176517758 \h </w:instrText>
            </w:r>
            <w:r>
              <w:rPr>
                <w:noProof/>
                <w:webHidden/>
              </w:rPr>
            </w:r>
            <w:r>
              <w:rPr>
                <w:noProof/>
                <w:webHidden/>
              </w:rPr>
              <w:fldChar w:fldCharType="separate"/>
            </w:r>
            <w:r>
              <w:rPr>
                <w:noProof/>
                <w:webHidden/>
              </w:rPr>
              <w:t>41</w:t>
            </w:r>
            <w:r>
              <w:rPr>
                <w:noProof/>
                <w:webHidden/>
              </w:rPr>
              <w:fldChar w:fldCharType="end"/>
            </w:r>
          </w:hyperlink>
        </w:p>
        <w:p w14:paraId="348A72A1" w14:textId="7985F043" w:rsidR="004D032F" w:rsidRDefault="004D032F">
          <w:pPr>
            <w:pStyle w:val="TOC1"/>
            <w:rPr>
              <w:noProof/>
            </w:rPr>
          </w:pPr>
          <w:hyperlink w:anchor="_Toc176517759" w:history="1">
            <w:r w:rsidRPr="0055040F">
              <w:rPr>
                <w:rStyle w:val="Hyperlink"/>
                <w:rFonts w:ascii="Times New Roman" w:hAnsi="Times New Roman" w:cs="Times New Roman"/>
                <w:noProof/>
              </w:rPr>
              <w:t>Supplementary Note 8: Model parameterization</w:t>
            </w:r>
            <w:r>
              <w:rPr>
                <w:noProof/>
                <w:webHidden/>
              </w:rPr>
              <w:tab/>
            </w:r>
            <w:r>
              <w:rPr>
                <w:noProof/>
                <w:webHidden/>
              </w:rPr>
              <w:fldChar w:fldCharType="begin"/>
            </w:r>
            <w:r>
              <w:rPr>
                <w:noProof/>
                <w:webHidden/>
              </w:rPr>
              <w:instrText xml:space="preserve"> PAGEREF _Toc176517759 \h </w:instrText>
            </w:r>
            <w:r>
              <w:rPr>
                <w:noProof/>
                <w:webHidden/>
              </w:rPr>
            </w:r>
            <w:r>
              <w:rPr>
                <w:noProof/>
                <w:webHidden/>
              </w:rPr>
              <w:fldChar w:fldCharType="separate"/>
            </w:r>
            <w:r>
              <w:rPr>
                <w:noProof/>
                <w:webHidden/>
              </w:rPr>
              <w:t>42</w:t>
            </w:r>
            <w:r>
              <w:rPr>
                <w:noProof/>
                <w:webHidden/>
              </w:rPr>
              <w:fldChar w:fldCharType="end"/>
            </w:r>
          </w:hyperlink>
        </w:p>
        <w:p w14:paraId="3E5C5FAF" w14:textId="19A9D15B" w:rsidR="004D032F" w:rsidRDefault="004D032F">
          <w:pPr>
            <w:pStyle w:val="TOC1"/>
            <w:rPr>
              <w:noProof/>
            </w:rPr>
          </w:pPr>
          <w:hyperlink w:anchor="_Toc176517760" w:history="1">
            <w:r w:rsidRPr="0055040F">
              <w:rPr>
                <w:rStyle w:val="Hyperlink"/>
                <w:rFonts w:ascii="Times New Roman" w:hAnsi="Times New Roman" w:cs="Times New Roman"/>
                <w:noProof/>
              </w:rPr>
              <w:t>Supplementary Method 1: Global Change Assessment Model (GCAM)</w:t>
            </w:r>
            <w:r>
              <w:rPr>
                <w:noProof/>
                <w:webHidden/>
              </w:rPr>
              <w:tab/>
            </w:r>
            <w:r>
              <w:rPr>
                <w:noProof/>
                <w:webHidden/>
              </w:rPr>
              <w:fldChar w:fldCharType="begin"/>
            </w:r>
            <w:r>
              <w:rPr>
                <w:noProof/>
                <w:webHidden/>
              </w:rPr>
              <w:instrText xml:space="preserve"> PAGEREF _Toc176517760 \h </w:instrText>
            </w:r>
            <w:r>
              <w:rPr>
                <w:noProof/>
                <w:webHidden/>
              </w:rPr>
            </w:r>
            <w:r>
              <w:rPr>
                <w:noProof/>
                <w:webHidden/>
              </w:rPr>
              <w:fldChar w:fldCharType="separate"/>
            </w:r>
            <w:r>
              <w:rPr>
                <w:noProof/>
                <w:webHidden/>
              </w:rPr>
              <w:t>50</w:t>
            </w:r>
            <w:r>
              <w:rPr>
                <w:noProof/>
                <w:webHidden/>
              </w:rPr>
              <w:fldChar w:fldCharType="end"/>
            </w:r>
          </w:hyperlink>
        </w:p>
        <w:p w14:paraId="78CF8434" w14:textId="1F5E1C7B" w:rsidR="004D032F" w:rsidRDefault="004D032F">
          <w:pPr>
            <w:pStyle w:val="TOC1"/>
            <w:rPr>
              <w:noProof/>
            </w:rPr>
          </w:pPr>
          <w:hyperlink w:anchor="_Toc176517761" w:history="1">
            <w:r w:rsidRPr="0055040F">
              <w:rPr>
                <w:rStyle w:val="Hyperlink"/>
                <w:rFonts w:ascii="Times New Roman" w:hAnsi="Times New Roman" w:cs="Times New Roman"/>
                <w:noProof/>
              </w:rPr>
              <w:t>Supplementary Method 2: Demand for energy services in GCAM</w:t>
            </w:r>
            <w:r>
              <w:rPr>
                <w:noProof/>
                <w:webHidden/>
              </w:rPr>
              <w:tab/>
            </w:r>
            <w:r>
              <w:rPr>
                <w:noProof/>
                <w:webHidden/>
              </w:rPr>
              <w:fldChar w:fldCharType="begin"/>
            </w:r>
            <w:r>
              <w:rPr>
                <w:noProof/>
                <w:webHidden/>
              </w:rPr>
              <w:instrText xml:space="preserve"> PAGEREF _Toc176517761 \h </w:instrText>
            </w:r>
            <w:r>
              <w:rPr>
                <w:noProof/>
                <w:webHidden/>
              </w:rPr>
            </w:r>
            <w:r>
              <w:rPr>
                <w:noProof/>
                <w:webHidden/>
              </w:rPr>
              <w:fldChar w:fldCharType="separate"/>
            </w:r>
            <w:r>
              <w:rPr>
                <w:noProof/>
                <w:webHidden/>
              </w:rPr>
              <w:t>51</w:t>
            </w:r>
            <w:r>
              <w:rPr>
                <w:noProof/>
                <w:webHidden/>
              </w:rPr>
              <w:fldChar w:fldCharType="end"/>
            </w:r>
          </w:hyperlink>
        </w:p>
        <w:p w14:paraId="4C0FB19B" w14:textId="41203F41" w:rsidR="004D032F" w:rsidRDefault="004D032F">
          <w:pPr>
            <w:pStyle w:val="TOC1"/>
            <w:rPr>
              <w:noProof/>
            </w:rPr>
          </w:pPr>
          <w:hyperlink w:anchor="_Toc176517762" w:history="1">
            <w:r w:rsidRPr="0055040F">
              <w:rPr>
                <w:rStyle w:val="Hyperlink"/>
                <w:rFonts w:ascii="Times New Roman" w:hAnsi="Times New Roman" w:cs="Times New Roman"/>
                <w:noProof/>
              </w:rPr>
              <w:t>Supplementary Method 3: Economic choice function in GCAM</w:t>
            </w:r>
            <w:r>
              <w:rPr>
                <w:noProof/>
                <w:webHidden/>
              </w:rPr>
              <w:tab/>
            </w:r>
            <w:r>
              <w:rPr>
                <w:noProof/>
                <w:webHidden/>
              </w:rPr>
              <w:fldChar w:fldCharType="begin"/>
            </w:r>
            <w:r>
              <w:rPr>
                <w:noProof/>
                <w:webHidden/>
              </w:rPr>
              <w:instrText xml:space="preserve"> PAGEREF _Toc176517762 \h </w:instrText>
            </w:r>
            <w:r>
              <w:rPr>
                <w:noProof/>
                <w:webHidden/>
              </w:rPr>
            </w:r>
            <w:r>
              <w:rPr>
                <w:noProof/>
                <w:webHidden/>
              </w:rPr>
              <w:fldChar w:fldCharType="separate"/>
            </w:r>
            <w:r>
              <w:rPr>
                <w:noProof/>
                <w:webHidden/>
              </w:rPr>
              <w:t>52</w:t>
            </w:r>
            <w:r>
              <w:rPr>
                <w:noProof/>
                <w:webHidden/>
              </w:rPr>
              <w:fldChar w:fldCharType="end"/>
            </w:r>
          </w:hyperlink>
        </w:p>
        <w:p w14:paraId="111D64BF" w14:textId="5E8A3445" w:rsidR="004D032F" w:rsidRDefault="004D032F">
          <w:pPr>
            <w:pStyle w:val="TOC1"/>
            <w:rPr>
              <w:noProof/>
            </w:rPr>
          </w:pPr>
          <w:hyperlink w:anchor="_Toc176517763" w:history="1">
            <w:r w:rsidRPr="0055040F">
              <w:rPr>
                <w:rStyle w:val="Hyperlink"/>
                <w:rFonts w:ascii="Times New Roman" w:hAnsi="Times New Roman" w:cs="Times New Roman"/>
                <w:noProof/>
              </w:rPr>
              <w:t>Supplementary Method 4: Total technology cost in GCAM</w:t>
            </w:r>
            <w:r>
              <w:rPr>
                <w:noProof/>
                <w:webHidden/>
              </w:rPr>
              <w:tab/>
            </w:r>
            <w:r>
              <w:rPr>
                <w:noProof/>
                <w:webHidden/>
              </w:rPr>
              <w:fldChar w:fldCharType="begin"/>
            </w:r>
            <w:r>
              <w:rPr>
                <w:noProof/>
                <w:webHidden/>
              </w:rPr>
              <w:instrText xml:space="preserve"> PAGEREF _Toc176517763 \h </w:instrText>
            </w:r>
            <w:r>
              <w:rPr>
                <w:noProof/>
                <w:webHidden/>
              </w:rPr>
            </w:r>
            <w:r>
              <w:rPr>
                <w:noProof/>
                <w:webHidden/>
              </w:rPr>
              <w:fldChar w:fldCharType="separate"/>
            </w:r>
            <w:r>
              <w:rPr>
                <w:noProof/>
                <w:webHidden/>
              </w:rPr>
              <w:t>55</w:t>
            </w:r>
            <w:r>
              <w:rPr>
                <w:noProof/>
                <w:webHidden/>
              </w:rPr>
              <w:fldChar w:fldCharType="end"/>
            </w:r>
          </w:hyperlink>
        </w:p>
        <w:p w14:paraId="2FAEBA45" w14:textId="7837D1A0" w:rsidR="004D032F" w:rsidRDefault="004D032F">
          <w:pPr>
            <w:pStyle w:val="TOC1"/>
            <w:rPr>
              <w:noProof/>
            </w:rPr>
          </w:pPr>
          <w:hyperlink w:anchor="_Toc176517764" w:history="1">
            <w:r w:rsidRPr="0055040F">
              <w:rPr>
                <w:rStyle w:val="Hyperlink"/>
                <w:rFonts w:ascii="Times New Roman" w:hAnsi="Times New Roman" w:cs="Times New Roman"/>
                <w:noProof/>
              </w:rPr>
              <w:t>Supplementary Method 5: Renewable resource supply in GCAM</w:t>
            </w:r>
            <w:r>
              <w:rPr>
                <w:noProof/>
                <w:webHidden/>
              </w:rPr>
              <w:tab/>
            </w:r>
            <w:r>
              <w:rPr>
                <w:noProof/>
                <w:webHidden/>
              </w:rPr>
              <w:fldChar w:fldCharType="begin"/>
            </w:r>
            <w:r>
              <w:rPr>
                <w:noProof/>
                <w:webHidden/>
              </w:rPr>
              <w:instrText xml:space="preserve"> PAGEREF _Toc176517764 \h </w:instrText>
            </w:r>
            <w:r>
              <w:rPr>
                <w:noProof/>
                <w:webHidden/>
              </w:rPr>
            </w:r>
            <w:r>
              <w:rPr>
                <w:noProof/>
                <w:webHidden/>
              </w:rPr>
              <w:fldChar w:fldCharType="separate"/>
            </w:r>
            <w:r>
              <w:rPr>
                <w:noProof/>
                <w:webHidden/>
              </w:rPr>
              <w:t>55</w:t>
            </w:r>
            <w:r>
              <w:rPr>
                <w:noProof/>
                <w:webHidden/>
              </w:rPr>
              <w:fldChar w:fldCharType="end"/>
            </w:r>
          </w:hyperlink>
        </w:p>
        <w:p w14:paraId="5D2CBC76" w14:textId="69D17380" w:rsidR="004D032F" w:rsidRDefault="004D032F">
          <w:pPr>
            <w:pStyle w:val="TOC1"/>
            <w:rPr>
              <w:noProof/>
            </w:rPr>
          </w:pPr>
          <w:hyperlink w:anchor="_Toc176517765" w:history="1">
            <w:r w:rsidRPr="0055040F">
              <w:rPr>
                <w:rStyle w:val="Hyperlink"/>
                <w:rFonts w:ascii="Times New Roman" w:hAnsi="Times New Roman" w:cs="Times New Roman"/>
                <w:noProof/>
              </w:rPr>
              <w:t>Supplementary References</w:t>
            </w:r>
            <w:r>
              <w:rPr>
                <w:noProof/>
                <w:webHidden/>
              </w:rPr>
              <w:tab/>
            </w:r>
            <w:r>
              <w:rPr>
                <w:noProof/>
                <w:webHidden/>
              </w:rPr>
              <w:fldChar w:fldCharType="begin"/>
            </w:r>
            <w:r>
              <w:rPr>
                <w:noProof/>
                <w:webHidden/>
              </w:rPr>
              <w:instrText xml:space="preserve"> PAGEREF _Toc176517765 \h </w:instrText>
            </w:r>
            <w:r>
              <w:rPr>
                <w:noProof/>
                <w:webHidden/>
              </w:rPr>
            </w:r>
            <w:r>
              <w:rPr>
                <w:noProof/>
                <w:webHidden/>
              </w:rPr>
              <w:fldChar w:fldCharType="separate"/>
            </w:r>
            <w:r>
              <w:rPr>
                <w:noProof/>
                <w:webHidden/>
              </w:rPr>
              <w:t>56</w:t>
            </w:r>
            <w:r>
              <w:rPr>
                <w:noProof/>
                <w:webHidden/>
              </w:rPr>
              <w:fldChar w:fldCharType="end"/>
            </w:r>
          </w:hyperlink>
        </w:p>
        <w:p w14:paraId="5B8C6A0B" w14:textId="1846DB14" w:rsidR="008F0A73" w:rsidRPr="00EE41C6" w:rsidRDefault="00BC0568" w:rsidP="00D54823">
          <w:r w:rsidRPr="00EE41C6">
            <w:rPr>
              <w:b/>
              <w:bCs/>
              <w:noProof/>
            </w:rPr>
            <w:fldChar w:fldCharType="end"/>
          </w:r>
        </w:p>
      </w:sdtContent>
    </w:sdt>
    <w:bookmarkEnd w:id="2" w:displacedByCustomXml="prev"/>
    <w:bookmarkEnd w:id="1" w:displacedByCustomXml="prev"/>
    <w:bookmarkStart w:id="5" w:name="_Hlk149120424" w:displacedByCustomXml="prev"/>
    <w:p w14:paraId="7D7C5504" w14:textId="77777777" w:rsidR="009E56AD" w:rsidRPr="00EE41C6" w:rsidRDefault="009E56AD" w:rsidP="00820C99">
      <w:pPr>
        <w:pStyle w:val="Heading1"/>
        <w:rPr>
          <w:rFonts w:ascii="Times New Roman" w:hAnsi="Times New Roman" w:cs="Times New Roman"/>
        </w:rPr>
      </w:pPr>
      <w:bookmarkStart w:id="6" w:name="_Hlk168424676"/>
      <w:bookmarkStart w:id="7" w:name="_Toc157938553"/>
      <w:bookmarkEnd w:id="5"/>
    </w:p>
    <w:p w14:paraId="2E212851" w14:textId="77777777" w:rsidR="009E56AD" w:rsidRPr="00EE41C6" w:rsidRDefault="009E56AD" w:rsidP="00820C99">
      <w:pPr>
        <w:pStyle w:val="Heading1"/>
        <w:rPr>
          <w:rFonts w:ascii="Times New Roman" w:hAnsi="Times New Roman" w:cs="Times New Roman"/>
        </w:rPr>
      </w:pPr>
    </w:p>
    <w:p w14:paraId="7B1C28EE" w14:textId="77777777" w:rsidR="009E56AD" w:rsidRPr="00EE41C6" w:rsidRDefault="009E56AD" w:rsidP="00820C99">
      <w:pPr>
        <w:pStyle w:val="Heading1"/>
        <w:rPr>
          <w:rFonts w:ascii="Times New Roman" w:hAnsi="Times New Roman" w:cs="Times New Roman"/>
        </w:rPr>
      </w:pPr>
    </w:p>
    <w:p w14:paraId="7E51E555" w14:textId="77777777" w:rsidR="009E56AD" w:rsidRPr="00EE41C6" w:rsidRDefault="009E56AD" w:rsidP="009E56AD"/>
    <w:p w14:paraId="45FD970F" w14:textId="77777777" w:rsidR="009E56AD" w:rsidRPr="00EE41C6" w:rsidRDefault="009E56AD" w:rsidP="009E56AD"/>
    <w:p w14:paraId="3671F2D2" w14:textId="77777777" w:rsidR="001276EC" w:rsidRPr="00EE41C6" w:rsidRDefault="001276EC" w:rsidP="009E56AD"/>
    <w:p w14:paraId="51AB2706" w14:textId="77777777" w:rsidR="001276EC" w:rsidRPr="00EE41C6" w:rsidRDefault="001276EC" w:rsidP="009E56AD"/>
    <w:p w14:paraId="2ED4194F" w14:textId="05BB3CE7" w:rsidR="00820C99" w:rsidRPr="00EE41C6" w:rsidRDefault="001C6AEE" w:rsidP="00820C99">
      <w:pPr>
        <w:pStyle w:val="Heading1"/>
        <w:rPr>
          <w:rFonts w:ascii="Times New Roman" w:hAnsi="Times New Roman" w:cs="Times New Roman"/>
        </w:rPr>
      </w:pPr>
      <w:bookmarkStart w:id="8" w:name="_Toc176517746"/>
      <w:r w:rsidRPr="00EE41C6">
        <w:rPr>
          <w:rFonts w:ascii="Times New Roman" w:hAnsi="Times New Roman" w:cs="Times New Roman"/>
        </w:rPr>
        <w:lastRenderedPageBreak/>
        <w:t xml:space="preserve">Supplementary Discussion </w:t>
      </w:r>
      <w:bookmarkStart w:id="9" w:name="_Hlk169014816"/>
      <w:bookmarkEnd w:id="6"/>
      <w:bookmarkEnd w:id="7"/>
      <w:r w:rsidR="00176F76" w:rsidRPr="00EE41C6">
        <w:rPr>
          <w:rFonts w:ascii="Times New Roman" w:hAnsi="Times New Roman" w:cs="Times New Roman"/>
        </w:rPr>
        <w:t>1</w:t>
      </w:r>
      <w:bookmarkEnd w:id="8"/>
    </w:p>
    <w:p w14:paraId="0976881A" w14:textId="77777777" w:rsidR="00176F76" w:rsidRPr="00EE41C6" w:rsidRDefault="00176F76" w:rsidP="00176F76"/>
    <w:p w14:paraId="7FD5970C" w14:textId="7A30332F" w:rsidR="00820C99" w:rsidRPr="00EE41C6" w:rsidRDefault="00820C99" w:rsidP="00820C99">
      <w:pPr>
        <w:spacing w:line="480" w:lineRule="auto"/>
        <w:ind w:firstLine="288"/>
        <w:jc w:val="both"/>
        <w:rPr>
          <w:rFonts w:ascii="Times New Roman" w:hAnsi="Times New Roman" w:cs="Times New Roman"/>
        </w:rPr>
      </w:pPr>
      <w:bookmarkStart w:id="10" w:name="_Hlk170805376"/>
      <w:bookmarkEnd w:id="9"/>
      <w:r w:rsidRPr="00EE41C6">
        <w:rPr>
          <w:rFonts w:ascii="Times New Roman" w:hAnsi="Times New Roman" w:cs="Times New Roman"/>
        </w:rPr>
        <w:t>The sectoral scenarios consistently exhibit substantially lower residual CO</w:t>
      </w:r>
      <w:r w:rsidRPr="00EE41C6">
        <w:rPr>
          <w:rFonts w:ascii="Times New Roman" w:hAnsi="Times New Roman" w:cs="Times New Roman"/>
          <w:vertAlign w:val="subscript"/>
        </w:rPr>
        <w:t>2</w:t>
      </w:r>
      <w:r w:rsidRPr="00EE41C6">
        <w:rPr>
          <w:rFonts w:ascii="Times New Roman" w:hAnsi="Times New Roman" w:cs="Times New Roman"/>
        </w:rPr>
        <w:t xml:space="preserve"> emissions from transportation and electricity sectors compared to the conventional scenario (</w:t>
      </w:r>
      <w:r w:rsidR="00316F95" w:rsidRPr="00EE41C6">
        <w:rPr>
          <w:rFonts w:ascii="Times New Roman" w:hAnsi="Times New Roman" w:cs="Times New Roman"/>
        </w:rPr>
        <w:t xml:space="preserve">Supplementary </w:t>
      </w:r>
      <w:r w:rsidRPr="00EE41C6">
        <w:rPr>
          <w:rFonts w:ascii="Times New Roman" w:hAnsi="Times New Roman" w:cs="Times New Roman"/>
        </w:rPr>
        <w:t>Fig.</w:t>
      </w:r>
      <w:r w:rsidR="00316F95" w:rsidRPr="00EE41C6">
        <w:rPr>
          <w:rFonts w:ascii="Times New Roman" w:hAnsi="Times New Roman" w:cs="Times New Roman"/>
        </w:rPr>
        <w:t xml:space="preserve"> 1</w:t>
      </w:r>
      <w:r w:rsidRPr="00EE41C6">
        <w:rPr>
          <w:rFonts w:ascii="Times New Roman" w:hAnsi="Times New Roman" w:cs="Times New Roman"/>
        </w:rPr>
        <w:t xml:space="preserve">).  Fig. </w:t>
      </w:r>
      <w:r w:rsidR="006639D1">
        <w:rPr>
          <w:rFonts w:ascii="Times New Roman" w:hAnsi="Times New Roman" w:cs="Times New Roman"/>
        </w:rPr>
        <w:t>2</w:t>
      </w:r>
      <w:r w:rsidRPr="00EE41C6">
        <w:rPr>
          <w:rFonts w:ascii="Times New Roman" w:hAnsi="Times New Roman" w:cs="Times New Roman"/>
        </w:rPr>
        <w:t xml:space="preserve"> shows different pathways to net zero CO</w:t>
      </w:r>
      <w:r w:rsidRPr="00EE41C6">
        <w:rPr>
          <w:rFonts w:ascii="Times New Roman" w:hAnsi="Times New Roman" w:cs="Times New Roman"/>
          <w:vertAlign w:val="subscript"/>
        </w:rPr>
        <w:t>2</w:t>
      </w:r>
      <w:r w:rsidRPr="00EE41C6">
        <w:rPr>
          <w:rFonts w:ascii="Times New Roman" w:hAnsi="Times New Roman" w:cs="Times New Roman"/>
        </w:rPr>
        <w:t xml:space="preserve"> emissions by mid-century. </w:t>
      </w:r>
      <w:bookmarkEnd w:id="10"/>
      <w:r w:rsidRPr="00EE41C6">
        <w:rPr>
          <w:rFonts w:ascii="Times New Roman" w:hAnsi="Times New Roman" w:cs="Times New Roman"/>
        </w:rPr>
        <w:t>All scenarios attain net-zero CO</w:t>
      </w:r>
      <w:r w:rsidRPr="00EE41C6">
        <w:rPr>
          <w:rFonts w:ascii="Times New Roman" w:hAnsi="Times New Roman" w:cs="Times New Roman"/>
          <w:vertAlign w:val="subscript"/>
        </w:rPr>
        <w:t>2</w:t>
      </w:r>
      <w:r w:rsidRPr="00EE41C6">
        <w:rPr>
          <w:rFonts w:ascii="Times New Roman" w:hAnsi="Times New Roman" w:cs="Times New Roman"/>
        </w:rPr>
        <w:t xml:space="preserve"> emissions after 2050 but before 2055, with the sectoral scenarios reaching this climate milestone a few years earlier than CONV does. By 2050, CONV will still be about 6 Gt/yr away from transitioning from net positive to net zero, while the sectoral scenarios are only less than 1 Gt away. The CONV pathway leads to the lowest reduction in residual CO</w:t>
      </w:r>
      <w:r w:rsidRPr="00EE41C6">
        <w:rPr>
          <w:rFonts w:ascii="Times New Roman" w:hAnsi="Times New Roman" w:cs="Times New Roman"/>
          <w:vertAlign w:val="subscript"/>
        </w:rPr>
        <w:t>2</w:t>
      </w:r>
      <w:r w:rsidRPr="00EE41C6">
        <w:rPr>
          <w:rFonts w:ascii="Times New Roman" w:hAnsi="Times New Roman" w:cs="Times New Roman"/>
        </w:rPr>
        <w:t xml:space="preserve"> emissions from fossil fuel and industry between 2015 and 2055, at 55%, compared to over 80% reductions under the sectoral scenarios (Fig. </w:t>
      </w:r>
      <w:r w:rsidR="006639D1">
        <w:rPr>
          <w:rFonts w:ascii="Times New Roman" w:hAnsi="Times New Roman" w:cs="Times New Roman"/>
        </w:rPr>
        <w:t>2</w:t>
      </w:r>
      <w:r w:rsidRPr="00EE41C6">
        <w:rPr>
          <w:rFonts w:ascii="Times New Roman" w:hAnsi="Times New Roman" w:cs="Times New Roman"/>
        </w:rPr>
        <w:t>a). Following CONV’s emission reduction pathway, the electricity sector undergoes an 85% reduction, while the transport sector sees only a 35% reduction between 2015 and 2050. LULUCF emissions would have to reduce by 8 GtCO</w:t>
      </w:r>
      <w:r w:rsidRPr="00EE41C6">
        <w:rPr>
          <w:rFonts w:ascii="Times New Roman" w:hAnsi="Times New Roman" w:cs="Times New Roman"/>
          <w:vertAlign w:val="subscript"/>
        </w:rPr>
        <w:t>2</w:t>
      </w:r>
      <w:r w:rsidRPr="00EE41C6">
        <w:rPr>
          <w:rFonts w:ascii="Times New Roman" w:hAnsi="Times New Roman" w:cs="Times New Roman"/>
        </w:rPr>
        <w:t>/yr to transition from net positive in 2015 (3.6 GtCO</w:t>
      </w:r>
      <w:r w:rsidRPr="00EE41C6">
        <w:rPr>
          <w:rFonts w:ascii="Times New Roman" w:hAnsi="Times New Roman" w:cs="Times New Roman"/>
          <w:vertAlign w:val="subscript"/>
        </w:rPr>
        <w:t>2</w:t>
      </w:r>
      <w:r w:rsidRPr="00EE41C6">
        <w:rPr>
          <w:rFonts w:ascii="Times New Roman" w:hAnsi="Times New Roman" w:cs="Times New Roman"/>
        </w:rPr>
        <w:t>/yr) to net negative emissions by 2050 (-4.3 GtCO</w:t>
      </w:r>
      <w:r w:rsidRPr="00EE41C6">
        <w:rPr>
          <w:rFonts w:ascii="Times New Roman" w:hAnsi="Times New Roman" w:cs="Times New Roman"/>
          <w:vertAlign w:val="subscript"/>
        </w:rPr>
        <w:t>2</w:t>
      </w:r>
      <w:r w:rsidRPr="00EE41C6">
        <w:rPr>
          <w:rFonts w:ascii="Times New Roman" w:hAnsi="Times New Roman" w:cs="Times New Roman"/>
        </w:rPr>
        <w:t>/yr).</w:t>
      </w:r>
    </w:p>
    <w:p w14:paraId="40109CC6" w14:textId="7A5BA3BF" w:rsidR="00820C99" w:rsidRPr="00EE41C6" w:rsidRDefault="00820C99" w:rsidP="00820C99">
      <w:pPr>
        <w:spacing w:line="480" w:lineRule="auto"/>
        <w:ind w:firstLine="288"/>
        <w:jc w:val="both"/>
        <w:rPr>
          <w:rFonts w:ascii="Times New Roman" w:hAnsi="Times New Roman" w:cs="Times New Roman"/>
        </w:rPr>
      </w:pPr>
      <w:r w:rsidRPr="00EE41C6">
        <w:rPr>
          <w:rFonts w:ascii="Times New Roman" w:hAnsi="Times New Roman" w:cs="Times New Roman"/>
        </w:rPr>
        <w:t>The explicit sectoral targets from major emitters, coupled with limited CDR availability (SECT), would ensure an additional 15% and 45% decarbonization in the electricity and transport sectors, respectively, compared to CONV between 2015 and 2050. Compared to CONV, the SECT pathway reduces the reliance on "CO</w:t>
      </w:r>
      <w:r w:rsidRPr="00EE41C6">
        <w:rPr>
          <w:rFonts w:ascii="Times New Roman" w:hAnsi="Times New Roman" w:cs="Times New Roman"/>
          <w:vertAlign w:val="subscript"/>
        </w:rPr>
        <w:t>2</w:t>
      </w:r>
      <w:r w:rsidRPr="00EE41C6">
        <w:rPr>
          <w:rFonts w:ascii="Times New Roman" w:hAnsi="Times New Roman" w:cs="Times New Roman"/>
        </w:rPr>
        <w:t xml:space="preserve"> removal" by 4 Gt/yr by 2050, leading to higher prioritization of non-CDR mitigation measures such as electrification, energy efficiency, and hydrogen deployment </w:t>
      </w:r>
      <w:r w:rsidRPr="00EE41C6">
        <w:rPr>
          <w:rFonts w:ascii="Times New Roman" w:hAnsi="Times New Roman" w:cs="Times New Roman"/>
        </w:rPr>
        <w:fldChar w:fldCharType="begin"/>
      </w:r>
      <w:r w:rsidR="008409AF" w:rsidRPr="00EE41C6">
        <w:rPr>
          <w:rFonts w:ascii="Times New Roman" w:hAnsi="Times New Roman" w:cs="Times New Roman"/>
        </w:rPr>
        <w:instrText xml:space="preserve"> ADDIN ZOTERO_ITEM CSL_CITATION {"citationID":"Ewv2LD3N","properties":{"formattedCitation":"\\super 1\\nosupersub{}","plainCitation":"1","noteIndex":0},"citationItems":[{"id":1598,"uris":["http://zotero.org/users/local/YcBHrSK0/items/WNEJAXW4"],"itemData":{"id":1598,"type":"article-journal","abstract":"Carbon dioxide removal (CDR) is necessary for reaching net zero emissions, with studies showing potential deployment at multi-GtCO2 scale by 2050. However, excessive reliance on future CDR entails serious r</w:instrText>
      </w:r>
      <w:r w:rsidR="008409AF" w:rsidRPr="00EE41C6">
        <w:rPr>
          <w:rFonts w:ascii="Times New Roman" w:hAnsi="Times New Roman" w:cs="Times New Roman" w:hint="eastAsia"/>
        </w:rPr>
        <w:instrText>isks, including delayed emissions cuts, lock-in of fossil infrastructure, and threats to sustainability from increased resource competition. This study highlights an alternative pathway</w:instrText>
      </w:r>
      <w:r w:rsidR="008409AF" w:rsidRPr="00EE41C6">
        <w:rPr>
          <w:rFonts w:ascii="Times New Roman" w:hAnsi="Times New Roman" w:cs="Times New Roman" w:hint="eastAsia"/>
        </w:rPr>
        <w:instrText>─</w:instrText>
      </w:r>
      <w:r w:rsidR="008409AF" w:rsidRPr="00EE41C6">
        <w:rPr>
          <w:rFonts w:ascii="Times New Roman" w:hAnsi="Times New Roman" w:cs="Times New Roman" w:hint="eastAsia"/>
        </w:rPr>
        <w:instrText>prioritizing near-term non-CDR mitigation and minimizing CDR dependen</w:instrText>
      </w:r>
      <w:r w:rsidR="008409AF" w:rsidRPr="00EE41C6">
        <w:rPr>
          <w:rFonts w:ascii="Times New Roman" w:hAnsi="Times New Roman" w:cs="Times New Roman"/>
        </w:rPr>
        <w:instrText xml:space="preserve">ce. We impose a 1 GtCO2 limit on global novel CDR deployment by 2050, forcing aggressive early emissions reductions compared to 8–22 GtCO2 in higher CDR scenarios. Our results reveal that this low CDR pathway significantly decreases fossil fuel use, greenhouse gas (GHG) emissions, and air pollutants compared to higher CDR pathways. Driving rapid energy transitions eases pressures on land (including food cropland), water, and fertilizer resources required for energy and negative emissions. However, these sustainability gains come with higher mitigation costs from greater near-term low/zero-carbon technology deployment for decarbonization. Overall, this work provides strong evidence for maximizing non-CDR strategies such as renewables, electrification, carbon neutral/negative fuels, and efficiency now rather than betting on uncertain future CDR scaling. Ambitious near-term mitigation in this decade is essential to prevent lock-in and offer the best chance of successful deep decarbonization. Our constrained CDR scenario offers a robust pathway to achieving net zero emissions with limited sustainability impacts.","container-title":"Environmental Science &amp; Technology","DOI":"10.1021/acs.est.3c06866","ISSN":"0013-936X","journalAbbreviation":"Environ. Sci. Technol.","note":"publisher: American Chemical Society","source":"ACS Publications","title":"Prioritizing Non-Carbon Dioxide Removal Mitigation Strategies Could Reduce the Negative Impacts Associated with Large-Scale Reliance on Negative Emissions","URL":"https://doi.org/10.1021/acs.est.3c06866","author":[{"family":"Ampah","given":"Jeffrey Dankwa"},{"family":"Jin","given":"Chao"},{"family":"Liu","given":"Haifeng"},{"family":"Afrane","given":"Sandylove"},{"family":"Adun","given":"Humphrey"},{"family":"Morrow","given":"David"},{"family":"Ho","given":"David T."}],"accessed":{"date-parts":[["2024",1,30]]},"issued":{"date-parts":[["2024",1,29]]}}}],"schema":"https://github.com/citation-style-language/schema/raw/master/csl-citation.json"} </w:instrText>
      </w:r>
      <w:r w:rsidRPr="00EE41C6">
        <w:rPr>
          <w:rFonts w:ascii="Times New Roman" w:hAnsi="Times New Roman" w:cs="Times New Roman"/>
        </w:rPr>
        <w:fldChar w:fldCharType="separate"/>
      </w:r>
      <w:r w:rsidR="008409AF" w:rsidRPr="00EE41C6">
        <w:rPr>
          <w:rFonts w:ascii="Times New Roman" w:hAnsi="Times New Roman" w:cs="Times New Roman"/>
          <w:kern w:val="0"/>
          <w:szCs w:val="24"/>
          <w:vertAlign w:val="superscript"/>
        </w:rPr>
        <w:t>1</w:t>
      </w:r>
      <w:r w:rsidRPr="00EE41C6">
        <w:rPr>
          <w:rFonts w:ascii="Times New Roman" w:hAnsi="Times New Roman" w:cs="Times New Roman"/>
          <w:lang w:val="en-GB"/>
        </w:rPr>
        <w:fldChar w:fldCharType="end"/>
      </w:r>
      <w:r w:rsidRPr="00EE41C6">
        <w:rPr>
          <w:rFonts w:ascii="Times New Roman" w:hAnsi="Times New Roman" w:cs="Times New Roman"/>
        </w:rPr>
        <w:t xml:space="preserve">. However, LULUCF removals would have to increase by 1 Gt/yr to support the limited availability of novel removal approaches and deliver net zero emissions (Fig. </w:t>
      </w:r>
      <w:r w:rsidR="006639D1">
        <w:rPr>
          <w:rFonts w:ascii="Times New Roman" w:hAnsi="Times New Roman" w:cs="Times New Roman"/>
        </w:rPr>
        <w:t>2</w:t>
      </w:r>
      <w:r w:rsidRPr="00EE41C6">
        <w:rPr>
          <w:rFonts w:ascii="Times New Roman" w:hAnsi="Times New Roman" w:cs="Times New Roman"/>
        </w:rPr>
        <w:t>b).</w:t>
      </w:r>
    </w:p>
    <w:p w14:paraId="585B23AE" w14:textId="7E934040" w:rsidR="00820C99" w:rsidRPr="00EE41C6" w:rsidRDefault="00820C99" w:rsidP="00820C99">
      <w:pPr>
        <w:spacing w:line="480" w:lineRule="auto"/>
        <w:ind w:firstLine="288"/>
        <w:jc w:val="both"/>
        <w:rPr>
          <w:rFonts w:ascii="Times New Roman" w:hAnsi="Times New Roman" w:cs="Times New Roman"/>
        </w:rPr>
      </w:pPr>
      <w:r w:rsidRPr="00EE41C6">
        <w:rPr>
          <w:rFonts w:ascii="Times New Roman" w:hAnsi="Times New Roman" w:cs="Times New Roman"/>
        </w:rPr>
        <w:t xml:space="preserve">If every country/region were to provide explicit emission reduction targets for electricity and transport alongside moderate CDR proposals but in an equitable manner (SECT-FAIR), an additional 15% decarbonization of the transport sector could be achieved between 2015-2050 compared to SECT. However, such an equitable sectoral approach could inadvertently slightly slow down decarbonization in other sectors </w:t>
      </w:r>
      <w:r w:rsidRPr="00EE41C6">
        <w:rPr>
          <w:rFonts w:ascii="Times New Roman" w:hAnsi="Times New Roman" w:cs="Times New Roman"/>
        </w:rPr>
        <w:lastRenderedPageBreak/>
        <w:t xml:space="preserve">like buildings, industry, and agriculture, compared to SECT, although about 0.7 Gt/yr of LULUCF removals could be avoided by pursuing SECT-FAIR over SECT (Fig. </w:t>
      </w:r>
      <w:r w:rsidR="006639D1">
        <w:rPr>
          <w:rFonts w:ascii="Times New Roman" w:hAnsi="Times New Roman" w:cs="Times New Roman"/>
        </w:rPr>
        <w:t>2</w:t>
      </w:r>
      <w:r w:rsidRPr="00EE41C6">
        <w:rPr>
          <w:rFonts w:ascii="Times New Roman" w:hAnsi="Times New Roman" w:cs="Times New Roman"/>
        </w:rPr>
        <w:t>c).</w:t>
      </w:r>
    </w:p>
    <w:p w14:paraId="3B74BC8D" w14:textId="22EE023C" w:rsidR="00820C99" w:rsidRPr="00EE41C6" w:rsidRDefault="00820C99" w:rsidP="00820C99">
      <w:pPr>
        <w:spacing w:line="480" w:lineRule="auto"/>
        <w:ind w:firstLine="288"/>
        <w:jc w:val="both"/>
        <w:rPr>
          <w:rFonts w:ascii="Times New Roman" w:hAnsi="Times New Roman" w:cs="Times New Roman"/>
        </w:rPr>
      </w:pPr>
      <w:r w:rsidRPr="00EE41C6">
        <w:rPr>
          <w:rFonts w:ascii="Times New Roman" w:hAnsi="Times New Roman" w:cs="Times New Roman"/>
        </w:rPr>
        <w:t xml:space="preserve">While SECT-AMB represents the ‘most’ ambitious pathway, it is noteworthy that the level of decarbonization achieved across the various sectors under this pathway is largely comparable to the outcomes under the SECT-FAIR pathway (see Fig. </w:t>
      </w:r>
      <w:r w:rsidR="006639D1">
        <w:rPr>
          <w:rFonts w:ascii="Times New Roman" w:hAnsi="Times New Roman" w:cs="Times New Roman"/>
        </w:rPr>
        <w:t>2</w:t>
      </w:r>
      <w:r w:rsidRPr="00EE41C6">
        <w:rPr>
          <w:rFonts w:ascii="Times New Roman" w:hAnsi="Times New Roman" w:cs="Times New Roman"/>
        </w:rPr>
        <w:t>d). This observation further emphasizes the critical need for more equitable climate action pathways, rather than relying solely on universally ratcheted ambition levels. If explicit sectoral targets were announced universally in upcoming LTS for major-emitting sectors beyond electricity and transport, the ambitious and fair pathways could be the quickest to achieve net zero and net-negative GHG emissions.</w:t>
      </w:r>
    </w:p>
    <w:p w14:paraId="08724E1C" w14:textId="77777777" w:rsidR="00820C99" w:rsidRPr="00EE41C6" w:rsidRDefault="00820C99" w:rsidP="00820C99">
      <w:pPr>
        <w:spacing w:line="480" w:lineRule="auto"/>
        <w:ind w:firstLine="288"/>
        <w:jc w:val="both"/>
        <w:rPr>
          <w:rFonts w:ascii="Times New Roman" w:hAnsi="Times New Roman" w:cs="Times New Roman"/>
        </w:rPr>
      </w:pPr>
      <w:r w:rsidRPr="00EE41C6">
        <w:rPr>
          <w:rFonts w:ascii="Times New Roman" w:hAnsi="Times New Roman" w:cs="Times New Roman"/>
        </w:rPr>
        <w:t>Higher energy demands for zero and low carbon energy-carriers would cause increased emissions from gas and hydrogen supply between 2015-2050 across all four pathways. SECT-AMB would result in the highest emissions growth during the period for gas and hydrogen supply, mainly due to its higher requirement for hydrogen to facilitate complete transport sector decarbonization by 2050.</w:t>
      </w:r>
    </w:p>
    <w:p w14:paraId="6136FB1F" w14:textId="569ACDF9" w:rsidR="00F02FE6" w:rsidRPr="00EE41C6" w:rsidRDefault="00BE5223" w:rsidP="00176F76">
      <w:pPr>
        <w:pStyle w:val="Heading1"/>
        <w:rPr>
          <w:rFonts w:ascii="Times New Roman" w:hAnsi="Times New Roman" w:cs="Times New Roman"/>
        </w:rPr>
      </w:pPr>
      <w:bookmarkStart w:id="11" w:name="_Toc176517747"/>
      <w:r w:rsidRPr="00EE41C6">
        <w:rPr>
          <w:rFonts w:ascii="Times New Roman" w:hAnsi="Times New Roman" w:cs="Times New Roman"/>
        </w:rPr>
        <w:t>Supplementary Discussion 2</w:t>
      </w:r>
      <w:bookmarkEnd w:id="11"/>
    </w:p>
    <w:p w14:paraId="083577D0" w14:textId="77777777" w:rsidR="00BE5223" w:rsidRPr="00EE41C6" w:rsidRDefault="00BE5223" w:rsidP="00BE5223">
      <w:pPr>
        <w:rPr>
          <w:rFonts w:ascii="Times New Roman" w:hAnsi="Times New Roman" w:cs="Times New Roman"/>
          <w:u w:val="single"/>
        </w:rPr>
      </w:pPr>
    </w:p>
    <w:p w14:paraId="67C27D70" w14:textId="4EA9164E" w:rsidR="00820C99" w:rsidRPr="00EE41C6" w:rsidRDefault="00820C99" w:rsidP="00820C99">
      <w:pPr>
        <w:spacing w:line="480" w:lineRule="auto"/>
        <w:ind w:firstLine="288"/>
        <w:jc w:val="both"/>
        <w:rPr>
          <w:rFonts w:ascii="Times New Roman" w:hAnsi="Times New Roman" w:cs="Times New Roman"/>
        </w:rPr>
      </w:pPr>
      <w:r w:rsidRPr="00EE41C6">
        <w:rPr>
          <w:rFonts w:ascii="Times New Roman" w:hAnsi="Times New Roman" w:cs="Times New Roman"/>
        </w:rPr>
        <w:t xml:space="preserve">The magnitude and regional distribution of CDR deployment vary significantly across 1.5°C scenarios. By 2050, gross CDR under CONV reaches 10 Gt/yr, approximately double that of the sectoral scenarios. Under CONV, the US, China, and EU collectively contribute 50% of global novel CDR by mid-century, while emerging economies in Africa and Asia (excluding China) contribute 25%. Under SECT-AMB, the contribution from major emitters increases to 45%, while those from emerging economies remain consistent with CONV (Fig. </w:t>
      </w:r>
      <w:r w:rsidR="006639D1">
        <w:rPr>
          <w:rFonts w:ascii="Times New Roman" w:hAnsi="Times New Roman" w:cs="Times New Roman"/>
        </w:rPr>
        <w:t>3</w:t>
      </w:r>
      <w:r w:rsidRPr="00EE41C6">
        <w:rPr>
          <w:rFonts w:ascii="Times New Roman" w:hAnsi="Times New Roman" w:cs="Times New Roman"/>
        </w:rPr>
        <w:t>a). This novel CDR burden on emerging economies with no or limited experience with such technologies could risk higher residual emissions uncompensated for by mid-century if expectations are not met, consequently delaying net zero and subsequent net-negative emissions. The SECT-FAIR scenario shifts around 80% of the mid-century novel CDR burden to major emitters, with emerging economies relying solely on LULUCF negative emissions.</w:t>
      </w:r>
    </w:p>
    <w:p w14:paraId="2B53200F" w14:textId="1AC1A947" w:rsidR="00820C99" w:rsidRPr="00EE41C6" w:rsidRDefault="00820C99" w:rsidP="00820C99">
      <w:pPr>
        <w:spacing w:line="480" w:lineRule="auto"/>
        <w:ind w:firstLine="288"/>
        <w:jc w:val="both"/>
        <w:rPr>
          <w:rFonts w:ascii="Times New Roman" w:hAnsi="Times New Roman" w:cs="Times New Roman"/>
        </w:rPr>
      </w:pPr>
      <w:r w:rsidRPr="00EE41C6">
        <w:rPr>
          <w:rFonts w:ascii="Times New Roman" w:hAnsi="Times New Roman" w:cs="Times New Roman"/>
        </w:rPr>
        <w:lastRenderedPageBreak/>
        <w:t xml:space="preserve">Regarding removals by LULUCF, the trends vary significantly across scenarios (Fig. </w:t>
      </w:r>
      <w:r w:rsidR="006639D1">
        <w:rPr>
          <w:rFonts w:ascii="Times New Roman" w:hAnsi="Times New Roman" w:cs="Times New Roman"/>
        </w:rPr>
        <w:t>3</w:t>
      </w:r>
      <w:r w:rsidRPr="00EE41C6">
        <w:rPr>
          <w:rFonts w:ascii="Times New Roman" w:hAnsi="Times New Roman" w:cs="Times New Roman"/>
        </w:rPr>
        <w:t>b). The sectoral scenarios exhibit increased reliance on LULUCF removals compared to CONV due to their lower dependence on novel CDR technologies. This emphasis on LULUCF aims to facilitate near-term emission reductions and aid in achieving net-zero emissions by mid-century. An ambitious pathway with all countries setting explicit sectoral and CDR targets would lead to the highest utilization of LULUCF removals over the course of the remaining century.</w:t>
      </w:r>
    </w:p>
    <w:p w14:paraId="2F01A848" w14:textId="77777777" w:rsidR="00820C99" w:rsidRPr="00EE41C6" w:rsidRDefault="00820C99" w:rsidP="00820C99">
      <w:pPr>
        <w:spacing w:line="480" w:lineRule="auto"/>
        <w:ind w:firstLine="288"/>
        <w:jc w:val="both"/>
        <w:rPr>
          <w:rFonts w:ascii="Times New Roman" w:hAnsi="Times New Roman" w:cs="Times New Roman"/>
        </w:rPr>
      </w:pPr>
      <w:r w:rsidRPr="00EE41C6">
        <w:rPr>
          <w:rFonts w:ascii="Times New Roman" w:hAnsi="Times New Roman" w:cs="Times New Roman"/>
        </w:rPr>
        <w:t>Across scenarios, the US, EU, and China collectively contribute 10-15% of total LULUCF deployment by 2050, while emerging economies in Africa and Asia (excluding China) Asia contribute a substantial 30-35%. This disparity implies that countries in the Global North (including China in this case) may find emerging novel CDR technologies more economically viable, while emerging economies in the Global South would likely lean more heavily towards removals by LULUCF.</w:t>
      </w:r>
    </w:p>
    <w:p w14:paraId="6DA19AE9" w14:textId="075D3BD9" w:rsidR="00820C99" w:rsidRPr="00EE41C6" w:rsidRDefault="00820C99" w:rsidP="00820C99">
      <w:pPr>
        <w:spacing w:line="480" w:lineRule="auto"/>
        <w:ind w:firstLine="288"/>
        <w:jc w:val="both"/>
        <w:rPr>
          <w:rFonts w:ascii="Times New Roman" w:hAnsi="Times New Roman" w:cs="Times New Roman"/>
        </w:rPr>
      </w:pPr>
      <w:r w:rsidRPr="00EE41C6">
        <w:rPr>
          <w:rFonts w:ascii="Times New Roman" w:hAnsi="Times New Roman" w:cs="Times New Roman"/>
        </w:rPr>
        <w:t xml:space="preserve">Limiting novel CDR deployment to 1Gt by 2050 presents climate and environmental benefits </w:t>
      </w:r>
      <w:r w:rsidRPr="00EE41C6">
        <w:rPr>
          <w:rFonts w:ascii="Times New Roman" w:hAnsi="Times New Roman" w:cs="Times New Roman"/>
        </w:rPr>
        <w:fldChar w:fldCharType="begin"/>
      </w:r>
      <w:r w:rsidR="008409AF" w:rsidRPr="00EE41C6">
        <w:rPr>
          <w:rFonts w:ascii="Times New Roman" w:hAnsi="Times New Roman" w:cs="Times New Roman"/>
        </w:rPr>
        <w:instrText xml:space="preserve"> ADDIN ZOTERO_ITEM CSL_CITATION {"citationID":"UUoFOxiR","properties":{"formattedCitation":"\\super 1,2\\nosupersub{}","plainCitation":"1,2","noteIndex":0},"citationItems":[{"id":1002,"uris":["http://zotero.org/users/local/YcBHrSK0/items/AV9CV877"],"itemData":{"id":1002,"type":"article-journal","abstract":"The decarbonization of hard-to-abate transport sectors presents a significant barrier to climate mitigation necessitating the deployment of hydrogen and carbon dioxide removal (CDR) methods. Existing studies are yet to look at the combined implications of these two carbon mitigation solutions on global climate-energy-land-water system. Using an integrated assessment model, several hydrogen transition scenarios for hard-to-abate transport sectors have been developed in the current study against a pathway with just fossil and biofuels. All pathways have been modelled to achieve below 1.5 and 2 °C global mean temperature by 2100. Results show that the transition of hard-to-abate transport sectors to hydrogen would lead to reduction in emissions from the transport sector but resulting emissions from other sectors such as buildings, industry, and power would increase compared to a pathway with just fossil and biofuels. Considering the amount of energy required to transition the hard-to-abate transport sectors to hydrogen, the transition would cause an increase in land use for cultivating energy crops while reducing land allocated for food crops and pastures. Water and fertilizer demand for hydrogen production and energy crop cultivation is another issue to expect from the transition. Transitioning the hard-to-abate transport sectors to hydrogen under limited reliance on CDRs (1.8–2 GtCO2yr−1 until mid-century) could lead to a reduction in primary energy consumption, CO2 emissions, CDR deployment, land expansion for bioenergy crops, water (for bioenergy crops, CDR, and hydrogen production), and fertilizer consumption by 3%, 13%, 14%, 22%, 23%, and 2%, respectively compared to a transition under an unlimited availability of CDRs.","container-title":"Renewable and Sustainable Energy Reviews","DOI":"10.1016/j.rser.2023.113578","ISSN":"1364-0321","journalAbbreviation":"Renewable and Sustainable Energy Reviews","language":"en","page":"113578","source":"ScienceDirect","title":"Deployment of hydrogen in hard-to-abate transport sectors under limited carbon dioxide removal (CDR): Implications on global energy-land-water system","title-short":"Deployment of hydrogen in hard-to-abate transport sectors under limited carbon dioxide removal (CDR)","volume":"184","author":[{"family":"Liu","given":"Haifeng"},{"family":"Ampah","given":"Jeffrey Dankwa"},{"family":"Afrane","given":"Sandylove"},{"family":"Adun","given":"Humphrey"},{"family":"Jin","given":"Chao"},{"family":"Yao","given":"Mingfa"}],"issued":{"date-parts":[["2023",9,1]]}}},{"id":1598,"uris":["http://zotero.org/users/local/YcBHrSK0/items/WNEJAXW4"],"itemData":{"id":1598,"type":"article-journal","abstract":"Carbon dioxide removal (CDR) is necessary for reaching net zero emissions, with studies showing potential deployment at multi-GtCO2 scale by 2050. However, excessive reliance on future CDR entails serious risks, including delayed emissions cuts, lock-in of fossil infrastructure, and threats to sustainability from </w:instrText>
      </w:r>
      <w:r w:rsidR="008409AF" w:rsidRPr="00EE41C6">
        <w:rPr>
          <w:rFonts w:ascii="Times New Roman" w:hAnsi="Times New Roman" w:cs="Times New Roman" w:hint="eastAsia"/>
        </w:rPr>
        <w:instrText>increased resource competition. This study highlights an alternative pathway</w:instrText>
      </w:r>
      <w:r w:rsidR="008409AF" w:rsidRPr="00EE41C6">
        <w:rPr>
          <w:rFonts w:ascii="Times New Roman" w:hAnsi="Times New Roman" w:cs="Times New Roman" w:hint="eastAsia"/>
        </w:rPr>
        <w:instrText>─</w:instrText>
      </w:r>
      <w:r w:rsidR="008409AF" w:rsidRPr="00EE41C6">
        <w:rPr>
          <w:rFonts w:ascii="Times New Roman" w:hAnsi="Times New Roman" w:cs="Times New Roman" w:hint="eastAsia"/>
        </w:rPr>
        <w:instrText>prioritizing near-term non-CDR mitigation and minimizing CDR dependence. We impose a 1 GtCO2 limit on global novel CDR deployment by 2050, forcing aggressive early emissions redu</w:instrText>
      </w:r>
      <w:r w:rsidR="008409AF" w:rsidRPr="00EE41C6">
        <w:rPr>
          <w:rFonts w:ascii="Times New Roman" w:hAnsi="Times New Roman" w:cs="Times New Roman"/>
        </w:rPr>
        <w:instrText xml:space="preserve">ctions compared to 8–22 GtCO2 in higher CDR scenarios. Our results reveal that this low CDR pathway significantly decreases fossil fuel use, greenhouse gas (GHG) emissions, and air pollutants compared to higher CDR pathways. Driving rapid energy transitions eases pressures on land (including food cropland), water, and fertilizer resources required for energy and negative emissions. However, these sustainability gains come with higher mitigation costs from greater near-term low/zero-carbon technology deployment for decarbonization. Overall, this work provides strong evidence for maximizing non-CDR strategies such as renewables, electrification, carbon neutral/negative fuels, and efficiency now rather than betting on uncertain future CDR scaling. Ambitious near-term mitigation in this decade is essential to prevent lock-in and offer the best chance of successful deep decarbonization. Our constrained CDR scenario offers a robust pathway to achieving net zero emissions with limited sustainability impacts.","container-title":"Environmental Science &amp; Technology","DOI":"10.1021/acs.est.3c06866","ISSN":"0013-936X","journalAbbreviation":"Environ. Sci. Technol.","note":"publisher: American Chemical Society","source":"ACS Publications","title":"Prioritizing Non-Carbon Dioxide Removal Mitigation Strategies Could Reduce the Negative Impacts Associated with Large-Scale Reliance on Negative Emissions","URL":"https://doi.org/10.1021/acs.est.3c06866","author":[{"family":"Ampah","given":"Jeffrey Dankwa"},{"family":"Jin","given":"Chao"},{"family":"Liu","given":"Haifeng"},{"family":"Afrane","given":"Sandylove"},{"family":"Adun","given":"Humphrey"},{"family":"Morrow","given":"David"},{"family":"Ho","given":"David T."}],"accessed":{"date-parts":[["2024",1,30]]},"issued":{"date-parts":[["2024",1,29]]}}}],"schema":"https://github.com/citation-style-language/schema/raw/master/csl-citation.json"} </w:instrText>
      </w:r>
      <w:r w:rsidRPr="00EE41C6">
        <w:rPr>
          <w:rFonts w:ascii="Times New Roman" w:hAnsi="Times New Roman" w:cs="Times New Roman"/>
        </w:rPr>
        <w:fldChar w:fldCharType="separate"/>
      </w:r>
      <w:r w:rsidR="008409AF" w:rsidRPr="00EE41C6">
        <w:rPr>
          <w:rFonts w:ascii="Times New Roman" w:hAnsi="Times New Roman" w:cs="Times New Roman"/>
          <w:kern w:val="0"/>
          <w:szCs w:val="24"/>
          <w:vertAlign w:val="superscript"/>
        </w:rPr>
        <w:t>1,2</w:t>
      </w:r>
      <w:r w:rsidRPr="00EE41C6">
        <w:rPr>
          <w:rFonts w:ascii="Times New Roman" w:hAnsi="Times New Roman" w:cs="Times New Roman"/>
          <w:lang w:val="en-GB"/>
        </w:rPr>
        <w:fldChar w:fldCharType="end"/>
      </w:r>
      <w:r w:rsidRPr="00EE41C6">
        <w:rPr>
          <w:rFonts w:ascii="Times New Roman" w:hAnsi="Times New Roman" w:cs="Times New Roman"/>
        </w:rPr>
        <w:t xml:space="preserve">, but rapid scale-up in the second half of the century may become costly and challenging. Under CONV, novel CDR deployment only grows by 2x from 2050-2055 and 3x from 2050-2060. However, the sectoral scenarios necessitate a significantly more accelerated growth trajectory during these periods, increasing by approximately 4-7 times. Regions' ability to meet their CDR needs would heavily depend on geological storage potential, sustainability impacts, costs, and governance factors. Without equity considerations for carbon removal, low-income regions facing little historical responsibility could become unfairly burdened by unsustainable CDR competition for land, water, and other resources </w:t>
      </w:r>
      <w:r w:rsidRPr="00EE41C6">
        <w:rPr>
          <w:rFonts w:ascii="Times New Roman" w:hAnsi="Times New Roman" w:cs="Times New Roman"/>
        </w:rPr>
        <w:fldChar w:fldCharType="begin"/>
      </w:r>
      <w:r w:rsidR="008409AF" w:rsidRPr="00EE41C6">
        <w:rPr>
          <w:rFonts w:ascii="Times New Roman" w:hAnsi="Times New Roman" w:cs="Times New Roman"/>
        </w:rPr>
        <w:instrText xml:space="preserve"> ADDIN ZOTERO_ITEM CSL_CITATION {"citationID":"FzfQwtj7","properties":{"formattedCitation":"\\super 3\\uc0\\u8211{}7\\nosupersub{}","plainCitation":"3–7","noteIndex":0},"citationItems":[{"id":1719,"uris":["http://zotero.org/users/local/YcBHrSK0/items/8MR2M8E5"],"itemData":{"id":1719,"type":"article-journal","abstract":"The Paris Agreement long-term temperature goal is to be achieved on the basis of equity. Accomplishing this goal will require carbon dioxide removal (CDR), yet existing plans for CDR deployment are insufficient to meet potential global needs, and equitable approaches for distributing CDR responsibilities between nations are lacking. Here we apply two common burden-sharing principles to show how CDR responsibility could be shared between regions in 1.5 °C and 2 °C mitigation pathways. We find that fair-share outcomes for the United States, the European Union and China could imply 2–3 times larger CDR responsibilities this century compared with a global least-cost approach. We illustrate how delaying near-term mitigation affects the CDR responsibilities of major emitters: raising emission levels in 2030 by one gigatonne generates about 20–70 additional gigatonnes of CDR responsibility over this century. An informed debate about equitable CDR contributions will be essential to achieve much-needed progress in this area.","container-title":"Nature Climate Change","DOI":"10.1038/s41558-020-0857-2","ISSN":"1758-6798","issue":"9","journalAbbreviation":"Nat. Clim. Chang.","language":"en","license":"2020 The Author(s), under exclusive licence to Springer Nature Limited","note":"publisher: Nature Publishing Group","page":"836-841","source":"www.nature.com","title":"Fair-share carbon dioxide removal increases major emitter responsibility","volume":"10","author":[{"family":"Fyson","given":"Claire L."},{"family":"Baur","given":"Susanne"},{"family":"Gidden","given":"Matthew"},{"family":"Schleussner","given":"Carl-Friedrich"}],"issued":{"date-parts":[["2020",9]]}}},{"id":664,"uris":["http://zotero.org/users/local/YcBHrSK0/items/3798HZYQ"],"itemData":{"id":664,"type":"article-journal","container-title":"Environmental Research Letters","DOI":"10.1088/1748-9326/aabf9f","ISSN":"1748-9326","issue":"6","journalAbbreviation":"Environ. Res. Lett.","note":"number: 6","page":"063002","source":"DOI.org (Crossref)","title":"Negative emissions—Part 2: Costs, potentials and side effects","title-short":"Negative emissions—Part 2","volume":"13","author":[{"family":"Fuss","given":"Sabine"},{"family":"Lamb","given":"William F"},{"family":"Callaghan","given":"Max W"},{"family":"Hilaire","given":"Jérôme"},{"family":"Creutzig","given":"Felix"},{"family":"Amann","given":"Thorben"},{"family":"Beringer","given":"Tim"},{"family":"Oliveira Garcia","given":"Wagner","non-dropping-particle":"de"},{"family":"Hartmann","given":"Jens"},{"family":"Khanna","given":"Tarun"},{"family":"Luderer","given":"Gunnar"},{"family":"Nemet","given":"Gregory F"},{"family":"Rogelj","given":"Joeri"},{"family":"Smith","given":"Pete"},{"family":"Vicente","given":"José Luis Vicente"},{"family":"Wilcox","given":"Jennifer"},{"family":"Mar Zamora Dominguez","given":"Maria","non-dropping-particle":"del"},{"family":"Minx","given":"Jan C"}],"issued":{"date-parts":[["2018",6,1]]}}},{"id":1253,"uris":["http://zotero.org/users/local/YcBHrSK0/items/ILPVSK9Z"],"itemData":{"id":1253,"type":"article-journal","abstract":"Bioenergy with carbon capture and storage could be used to remove carbon dioxide from the atmosphere. However, its credibility as a climate change mitigation option is unproven and its widespread deployment in climate stabilization scenarios might become a dangerous distraction.","container-title":"Nature Climate Change","DOI":"10.1038/nclimate2392","ISSN":"1758-6798","issue":"10","journalAbbreviation":"Nature Clim Change","language":"en","license":"2014 Springer Nature Limited","note":"number: 10\npublisher: Nature Publishing Group","page":"850-853","source":"www.nature.com","title":"Betting on negative emissions","volume":"4","author":[{"family":"Fuss","given":"Sabine"},{"family":"Canadell","given":"Josep G."},{"family":"Peters","given":"Glen P."},{"family":"Tavoni","given":"Massimo"},{"family":"Andrew","given":"Robbie M."},{"family":"Ciais","given":"Philippe"},{"family":"Jackson","given":"Robert B."},{"family":"Jones","given":"Chris D."},{"family":"Kraxner","given":"Florian"},{"family":"Nakicenovic","given":"Nebosja"},{"family":"Le Quéré","given":"Corinne"},{"family":"Raupach","given":"Michael R."},{"family":"Sharifi","given":"Ayyoob"},{"family":"Smith","given":"Pete"},{"family":"Yamagata","given":"Yoshiki"}],"issued":{"date-parts":[["2014",10]]}}},{"id":1731,"uris":["http://zotero.org/users/local/YcBHrSK0/items/QIG5SSRX"],"itemData":{"id":1731,"type":"article-journal","abstract":"Climate mitigation will have significant impacts on government spending necessary to finance large-scale deployment of Negative Emission Technologies (NETs). The required expenditure might consume up to a third of general government expenditure in advanced economies.","container-title":"Nature Communications","DOI":"10.1038/s41467-019-09782-x","ISSN":"2041-1723","issue":"1","journalAbbreviation":"Nat Commun","language":"en","license":"2019 The Author(s)","note":"publisher: Nature Publishing Group","page":"1783","source":"www.nature.com","title":"On the financial viability of negative emissions","volume":"10","author":[{"family":"Bednar","given":"Johannes"},{"family":"Obersteiner","given":"Michael"},{"family":"Wagner","given":"Fabian"}],"issued":{"date-parts":[["2019",4,16]]}}},{"id":1730,"uris":["http://zotero.org/users/local/YcBHrSK0/items/MG6CMUMZ"],"itemData":{"id":1730,"type":"article-journal","abstract":"With the Paris Agreement’s ambition of limiting climate change to well below 2 °C, negative emission technologies (NETs) have moved into the limelight of discussions in climate science and policy. Despite several assessments, the current knowledge on NETs is still diffuse and incomplete, but also growing fast. Here, we synthesize a comprehensive body of NETs literature, using scientometric tools and performing an in-depth assessment of the quantitative and qualitative evidence therein. We clarify the role of NETs in climate change mitigation scenarios, their ethical implications, as well as the challenges involved in bringing the various NETs to the market and scaling them up in time. There are six major findings arising from our assessment: first, keeping warming below 1.5 °C requires the large-scale deployment of NETs, but this dependency can still be kept to a minimum for the 2 °C warming limit. Second, accounting for economic and biophysical limits, we identify relevant potentials for all NETs except ocean fertilization. Third, any single NET is unlikely to sustainably achieve the large NETs deployment observed in many 1.5 °C and 2 °C mitigation scenarios. Yet, portfolios of multiple NETs, each deployed at modest scales, could be invaluable for reaching the climate goals. Fourth, a substantial gap exists between the upscaling and rapid diffusion of NETs implied in scenarios and progress in actual innovation and deployment. If NETs are required at the scales currently discussed, the resulting urgency of implementation is currently neither reflected in science nor policy. Fifth, NETs face severe barriers to implementation and are only weakly incentivized so far. Finally, we identify distinct ethical discourses relevant for NETs, but highlight the need to root them firmly in the available evidence in order to render such discussions relevant in practice.","container-title":"Environmental Research Letters","DOI":"10.1088/1748-9326/aabf9b","ISSN":"1748-9326","issue":"6","journalAbbreviation":"Environ. Res. Lett.","language":"en","note":"publisher: IOP Publishing","page":"063001","source":"Institute of Physics","title":"Negative emissions—Part 1: Research landscape and synthesis","title-short":"Negative emissions—Part 1","volume":"13","author":[{"family":"Minx","given":"Jan C."},{"family":"Lamb","given":"William F."},{"family":"Callaghan","given":"Max W."},{"family":"Fuss","given":"Sabine"},{"family":"Hilaire","given":"Jérôme"},{"family":"Creutzig","given":"Felix"},{"family":"Amann","given":"Thorben"},{"family":"Beringer","given":"Tim"},{"family":"Garcia","given":"Wagner de Oliveira"},{"family":"Hartmann","given":"Jens"},{"family":"Khanna","given":"Tarun"},{"family":"Lenzi","given":"Dominic"},{"family":"Luderer","given":"Gunnar"},{"family":"Nemet","given":"Gregory F."},{"family":"Rogelj","given":"Joeri"},{"family":"Smith","given":"Pete"},{"family":"Vicente","given":"Jose Luis Vicente"},{"family":"Wilcox","given":"Jennifer"},{"family":"Dominguez","given":"Maria del Mar Zamora"}],"issued":{"date-parts":[["2018",5]]}}}],"schema":"https://github.com/citation-style-language/schema/raw/master/csl-citation.json"} </w:instrText>
      </w:r>
      <w:r w:rsidRPr="00EE41C6">
        <w:rPr>
          <w:rFonts w:ascii="Times New Roman" w:hAnsi="Times New Roman" w:cs="Times New Roman"/>
        </w:rPr>
        <w:fldChar w:fldCharType="separate"/>
      </w:r>
      <w:r w:rsidR="008409AF" w:rsidRPr="00EE41C6">
        <w:rPr>
          <w:rFonts w:ascii="Times New Roman" w:hAnsi="Times New Roman" w:cs="Times New Roman"/>
          <w:kern w:val="0"/>
          <w:szCs w:val="24"/>
          <w:vertAlign w:val="superscript"/>
        </w:rPr>
        <w:t>3–7</w:t>
      </w:r>
      <w:r w:rsidRPr="00EE41C6">
        <w:rPr>
          <w:rFonts w:ascii="Times New Roman" w:hAnsi="Times New Roman" w:cs="Times New Roman"/>
          <w:lang w:val="en-GB"/>
        </w:rPr>
        <w:fldChar w:fldCharType="end"/>
      </w:r>
      <w:r w:rsidRPr="00EE41C6">
        <w:rPr>
          <w:rFonts w:ascii="Times New Roman" w:hAnsi="Times New Roman" w:cs="Times New Roman"/>
        </w:rPr>
        <w:t>.</w:t>
      </w:r>
    </w:p>
    <w:p w14:paraId="5D78A9BB" w14:textId="12F6E50A" w:rsidR="00FF009F" w:rsidRPr="00EE41C6" w:rsidRDefault="001C6AEE" w:rsidP="00176F76">
      <w:pPr>
        <w:pStyle w:val="Heading1"/>
        <w:rPr>
          <w:rFonts w:ascii="Times New Roman" w:hAnsi="Times New Roman" w:cs="Times New Roman"/>
        </w:rPr>
      </w:pPr>
      <w:bookmarkStart w:id="12" w:name="_Toc157938555"/>
      <w:bookmarkStart w:id="13" w:name="_Toc176517748"/>
      <w:r w:rsidRPr="00EE41C6">
        <w:rPr>
          <w:rFonts w:ascii="Times New Roman" w:hAnsi="Times New Roman" w:cs="Times New Roman"/>
        </w:rPr>
        <w:t xml:space="preserve">Supplementary Discussion </w:t>
      </w:r>
      <w:r w:rsidR="00BE5223" w:rsidRPr="00EE41C6">
        <w:rPr>
          <w:rFonts w:ascii="Times New Roman" w:hAnsi="Times New Roman" w:cs="Times New Roman"/>
        </w:rPr>
        <w:t>3</w:t>
      </w:r>
      <w:bookmarkEnd w:id="12"/>
      <w:bookmarkEnd w:id="13"/>
    </w:p>
    <w:p w14:paraId="60A78245" w14:textId="77777777" w:rsidR="00BE5223" w:rsidRPr="00EE41C6" w:rsidRDefault="00BE5223" w:rsidP="00BE5223">
      <w:pPr>
        <w:rPr>
          <w:rFonts w:ascii="Times New Roman" w:hAnsi="Times New Roman" w:cs="Times New Roman"/>
          <w:u w:val="single"/>
        </w:rPr>
      </w:pPr>
    </w:p>
    <w:p w14:paraId="24BD73D8" w14:textId="77777777" w:rsidR="00820C99" w:rsidRPr="00EE41C6" w:rsidRDefault="00820C99" w:rsidP="00820C99">
      <w:pPr>
        <w:spacing w:line="480" w:lineRule="auto"/>
        <w:ind w:firstLine="288"/>
        <w:jc w:val="both"/>
        <w:rPr>
          <w:rFonts w:ascii="Times New Roman" w:hAnsi="Times New Roman" w:cs="Times New Roman"/>
        </w:rPr>
      </w:pPr>
      <w:r w:rsidRPr="00EE41C6">
        <w:rPr>
          <w:rFonts w:ascii="Times New Roman" w:hAnsi="Times New Roman" w:cs="Times New Roman"/>
        </w:rPr>
        <w:t>The analysis shows that setting explicit sectoral targets for electricity and transport decarbonization, coupled with constrained CDR deployment (sectoral scenarios), enables more rapid near-term net CO</w:t>
      </w:r>
      <w:r w:rsidRPr="00EE41C6">
        <w:rPr>
          <w:rFonts w:ascii="Times New Roman" w:hAnsi="Times New Roman" w:cs="Times New Roman"/>
          <w:vertAlign w:val="subscript"/>
        </w:rPr>
        <w:t>2</w:t>
      </w:r>
      <w:r w:rsidRPr="00EE41C6">
        <w:rPr>
          <w:rFonts w:ascii="Times New Roman" w:hAnsi="Times New Roman" w:cs="Times New Roman"/>
        </w:rPr>
        <w:t xml:space="preserve"> emissions reductions compared to conventional economy-wide carbon pricing. Between 2020-2050, major </w:t>
      </w:r>
      <w:r w:rsidRPr="00EE41C6">
        <w:rPr>
          <w:rFonts w:ascii="Times New Roman" w:hAnsi="Times New Roman" w:cs="Times New Roman"/>
        </w:rPr>
        <w:lastRenderedPageBreak/>
        <w:t>emitters like the US and China achieve 95-110% net CO</w:t>
      </w:r>
      <w:r w:rsidRPr="00EE41C6">
        <w:rPr>
          <w:rFonts w:ascii="Times New Roman" w:hAnsi="Times New Roman" w:cs="Times New Roman"/>
          <w:vertAlign w:val="subscript"/>
        </w:rPr>
        <w:t>2</w:t>
      </w:r>
      <w:r w:rsidRPr="00EE41C6">
        <w:rPr>
          <w:rFonts w:ascii="Times New Roman" w:hAnsi="Times New Roman" w:cs="Times New Roman"/>
        </w:rPr>
        <w:t xml:space="preserve"> reductions under sectoral scenarios, versus 80-85% under CONV which relies heavily on future large-scale CDR implementation.</w:t>
      </w:r>
    </w:p>
    <w:p w14:paraId="1311FCB0" w14:textId="0092C399" w:rsidR="00820C99" w:rsidRPr="00EE41C6" w:rsidRDefault="00820C99" w:rsidP="00820C99">
      <w:pPr>
        <w:spacing w:line="480" w:lineRule="auto"/>
        <w:ind w:firstLine="288"/>
        <w:jc w:val="both"/>
        <w:rPr>
          <w:rFonts w:ascii="Times New Roman" w:hAnsi="Times New Roman" w:cs="Times New Roman"/>
        </w:rPr>
      </w:pPr>
      <w:bookmarkStart w:id="14" w:name="_Hlk162937081"/>
      <w:r w:rsidRPr="00EE41C6">
        <w:rPr>
          <w:rFonts w:ascii="Times New Roman" w:hAnsi="Times New Roman" w:cs="Times New Roman"/>
        </w:rPr>
        <w:t>Under CONV, several regions may find it more economically advantageous to rely on CDR rather than rapidly decarbonize, delaying their domestic net-zero CO</w:t>
      </w:r>
      <w:r w:rsidRPr="00EE41C6">
        <w:rPr>
          <w:rFonts w:ascii="Times New Roman" w:hAnsi="Times New Roman" w:cs="Times New Roman"/>
          <w:vertAlign w:val="subscript"/>
        </w:rPr>
        <w:t>2</w:t>
      </w:r>
      <w:r w:rsidRPr="00EE41C6">
        <w:rPr>
          <w:rFonts w:ascii="Times New Roman" w:hAnsi="Times New Roman" w:cs="Times New Roman"/>
        </w:rPr>
        <w:t xml:space="preserve"> emissions beyond this century. In contrast, SECT-AMB leads to several countries attaining domestic net-zero earlier due to rapid reduction in net emissions and limited negative emissions reliance</w:t>
      </w:r>
      <w:bookmarkEnd w:id="14"/>
      <w:r w:rsidRPr="00EE41C6">
        <w:rPr>
          <w:rFonts w:ascii="Times New Roman" w:hAnsi="Times New Roman" w:cs="Times New Roman"/>
        </w:rPr>
        <w:t xml:space="preserve">. While availability of CDR may help accelerate reductions in net emissions (aligning with </w:t>
      </w:r>
      <w:proofErr w:type="spellStart"/>
      <w:r w:rsidRPr="00EE41C6">
        <w:rPr>
          <w:rFonts w:ascii="Times New Roman" w:hAnsi="Times New Roman" w:cs="Times New Roman"/>
        </w:rPr>
        <w:t>Strefler</w:t>
      </w:r>
      <w:proofErr w:type="spellEnd"/>
      <w:r w:rsidRPr="00EE41C6">
        <w:rPr>
          <w:rFonts w:ascii="Times New Roman" w:hAnsi="Times New Roman" w:cs="Times New Roman"/>
        </w:rPr>
        <w:t xml:space="preserve"> et al. </w:t>
      </w:r>
      <w:r w:rsidRPr="00EE41C6">
        <w:rPr>
          <w:rFonts w:ascii="Times New Roman" w:hAnsi="Times New Roman" w:cs="Times New Roman"/>
        </w:rPr>
        <w:fldChar w:fldCharType="begin"/>
      </w:r>
      <w:r w:rsidR="008409AF" w:rsidRPr="00EE41C6">
        <w:rPr>
          <w:rFonts w:ascii="Times New Roman" w:hAnsi="Times New Roman" w:cs="Times New Roman"/>
        </w:rPr>
        <w:instrText xml:space="preserve"> ADDIN ZOTERO_ITEM CSL_CITATION {"citationID":"r9BzCtlL","properties":{"formattedCitation":"\\super 8\\nosupersub{}","plainCitation":"8","noteIndex":0},"citationItems":[{"id":688,"uris":["http://zotero.org/users/local/YcBHrSK0/items/PPWBLMTE"],"itemData":{"id":688,"type":"article-journal","abstract":"Abstract\n            \n              Technologies for carbon dioxide removal (CDR) from the atmosphere have been recognized as an important part of limiting warming to well below 2 °C called for in the Paris Agreement. However, many scenarios so far rely on bioenergy in combination with carbon capture and storage as the only CDR technology. Various other options have been proposed, but have scarcely been taken up in an integrated assessment of mitigation pathways. In this study we analyze a comprehensive portfolio of CDR options in terms of their regional and temporal deployment patterns in climate change mitigation pathways and the resulting challenges. We show that any CDR option with sufficient potential can reduce the economic costs of achieving the 1.5 °C target substantially without increasing the temperature overshoot. CDR helps to reduce net CO\n              2\n              emissions faster and achieve carbon neutrality earlier. The regional distribution of CDR deployment in cost-effective mitigation pathways depends on which options are available. If only enhanced weathering of rocks on croplands or re- and afforestation are available, Latin America and Asia cover nearly all of global CDR deployment. Besides fairness and sustainability concerns, such a regional concentration would require large international transfers and thus strong international institutions. In our study, the full portfolio scenario is the most balanced from a regional perspective. This indicates that different CDR options should be developed such that all regions can contribute according to their regional potentials.","container-title":"Environmental Research Letters","DOI":"10.1088/1748-9326/ac0a11","ISSN":"1748-9326","issue":"7","journalAbbreviation":"Environ. Res. Lett.","note":"number: 7","page":"074021","source":"DOI.org (Crossref)","title":"Carbon dioxide removal technologies are not born equal","volume":"16","author":[{"family":"Strefler","given":"Jessica"},{"family":"Bauer","given":"Nico"},{"family":"Humpenöder","given":"Florian"},{"family":"Klein","given":"David"},{"family":"Popp","given":"Alexander"},{"family":"Kriegler","given":"Elmar"}],"issued":{"date-parts":[["2021",7,1]]}}}],"schema":"https://github.com/citation-style-language/schema/raw/master/csl-citation.json"} </w:instrText>
      </w:r>
      <w:r w:rsidRPr="00EE41C6">
        <w:rPr>
          <w:rFonts w:ascii="Times New Roman" w:hAnsi="Times New Roman" w:cs="Times New Roman"/>
        </w:rPr>
        <w:fldChar w:fldCharType="separate"/>
      </w:r>
      <w:r w:rsidR="008409AF" w:rsidRPr="00EE41C6">
        <w:rPr>
          <w:rFonts w:ascii="Times New Roman" w:hAnsi="Times New Roman" w:cs="Times New Roman"/>
          <w:kern w:val="0"/>
          <w:szCs w:val="24"/>
          <w:vertAlign w:val="superscript"/>
        </w:rPr>
        <w:t>8</w:t>
      </w:r>
      <w:r w:rsidRPr="00EE41C6">
        <w:rPr>
          <w:rFonts w:ascii="Times New Roman" w:hAnsi="Times New Roman" w:cs="Times New Roman"/>
        </w:rPr>
        <w:fldChar w:fldCharType="end"/>
      </w:r>
      <w:r w:rsidRPr="00EE41C6">
        <w:rPr>
          <w:rFonts w:ascii="Times New Roman" w:hAnsi="Times New Roman" w:cs="Times New Roman"/>
        </w:rPr>
        <w:t>), our analysis shows a different trend for most. For example, for EU-15, total net zero CO</w:t>
      </w:r>
      <w:r w:rsidRPr="00EE41C6">
        <w:rPr>
          <w:rFonts w:ascii="Times New Roman" w:hAnsi="Times New Roman" w:cs="Times New Roman"/>
          <w:vertAlign w:val="subscript"/>
        </w:rPr>
        <w:t>2</w:t>
      </w:r>
      <w:r w:rsidRPr="00EE41C6">
        <w:rPr>
          <w:rFonts w:ascii="Times New Roman" w:hAnsi="Times New Roman" w:cs="Times New Roman"/>
        </w:rPr>
        <w:t xml:space="preserve"> will be reached in 2095 compared to 2050-2055 under the sectoral scenarios. Similarly, EU-12 and Indonesia will reach total net zero CO</w:t>
      </w:r>
      <w:r w:rsidRPr="00EE41C6">
        <w:rPr>
          <w:rFonts w:ascii="Times New Roman" w:hAnsi="Times New Roman" w:cs="Times New Roman"/>
          <w:vertAlign w:val="subscript"/>
        </w:rPr>
        <w:t>2</w:t>
      </w:r>
      <w:r w:rsidRPr="00EE41C6">
        <w:rPr>
          <w:rFonts w:ascii="Times New Roman" w:hAnsi="Times New Roman" w:cs="Times New Roman"/>
        </w:rPr>
        <w:t xml:space="preserve"> at least 10 and 30 years earlier under sectoral scenarios compared to the attainment years under CONV, respectively. South Korea does not achieve net zero in the 21</w:t>
      </w:r>
      <w:r w:rsidRPr="00EE41C6">
        <w:rPr>
          <w:rFonts w:ascii="Times New Roman" w:hAnsi="Times New Roman" w:cs="Times New Roman"/>
          <w:vertAlign w:val="superscript"/>
        </w:rPr>
        <w:t>st</w:t>
      </w:r>
      <w:r w:rsidRPr="00EE41C6">
        <w:rPr>
          <w:rFonts w:ascii="Times New Roman" w:hAnsi="Times New Roman" w:cs="Times New Roman"/>
        </w:rPr>
        <w:t xml:space="preserve"> century under CONV but could be realized before 2065 under SECT-AMB/FAIR scenarios. Regions with high carbon lock-in such as the India, Pakistan, and South Africa may not attain domestic net-zero CO</w:t>
      </w:r>
      <w:r w:rsidRPr="00EE41C6">
        <w:rPr>
          <w:rFonts w:ascii="Times New Roman" w:hAnsi="Times New Roman" w:cs="Times New Roman"/>
          <w:vertAlign w:val="subscript"/>
        </w:rPr>
        <w:t>2</w:t>
      </w:r>
      <w:r w:rsidRPr="00EE41C6">
        <w:rPr>
          <w:rFonts w:ascii="Times New Roman" w:hAnsi="Times New Roman" w:cs="Times New Roman"/>
        </w:rPr>
        <w:t xml:space="preserve"> emissions within this century, regardless of the pathway (Fig. </w:t>
      </w:r>
      <w:r w:rsidR="006639D1">
        <w:rPr>
          <w:rFonts w:ascii="Times New Roman" w:hAnsi="Times New Roman" w:cs="Times New Roman"/>
        </w:rPr>
        <w:t>3</w:t>
      </w:r>
      <w:r w:rsidRPr="00EE41C6">
        <w:rPr>
          <w:rFonts w:ascii="Times New Roman" w:hAnsi="Times New Roman" w:cs="Times New Roman"/>
        </w:rPr>
        <w:t>c).</w:t>
      </w:r>
    </w:p>
    <w:p w14:paraId="3417AFE6" w14:textId="77777777" w:rsidR="00820C99" w:rsidRPr="00EE41C6" w:rsidRDefault="00820C99" w:rsidP="00820C99">
      <w:pPr>
        <w:spacing w:line="480" w:lineRule="auto"/>
        <w:ind w:firstLine="288"/>
        <w:jc w:val="both"/>
        <w:rPr>
          <w:rFonts w:ascii="Times New Roman" w:hAnsi="Times New Roman" w:cs="Times New Roman"/>
        </w:rPr>
      </w:pPr>
      <w:r w:rsidRPr="00EE41C6">
        <w:rPr>
          <w:rFonts w:ascii="Times New Roman" w:hAnsi="Times New Roman" w:cs="Times New Roman"/>
        </w:rPr>
        <w:t>Interestingly, all pathways lead to China and the United States individually achieving net-zero emissions before 2055. However, the trajectories for most regions in Africa exhibit a distinct pattern. While these regions may attain net-zero emissions earlier in the century, they face challenges in sustaining this status throughout the entire period, potentially exhibiting net positive emissions later on.</w:t>
      </w:r>
    </w:p>
    <w:p w14:paraId="0BC3DABB" w14:textId="77777777" w:rsidR="00820C99" w:rsidRPr="00EE41C6" w:rsidRDefault="00820C99" w:rsidP="00820C99">
      <w:pPr>
        <w:spacing w:line="480" w:lineRule="auto"/>
        <w:ind w:firstLine="288"/>
        <w:jc w:val="both"/>
        <w:rPr>
          <w:rFonts w:ascii="Times New Roman" w:hAnsi="Times New Roman" w:cs="Times New Roman"/>
        </w:rPr>
      </w:pPr>
      <w:r w:rsidRPr="00EE41C6">
        <w:rPr>
          <w:rFonts w:ascii="Times New Roman" w:hAnsi="Times New Roman" w:cs="Times New Roman"/>
        </w:rPr>
        <w:t>While an equitable mitigation approach reduces emission reduction and CDR burden on emerging economies, delaying their decarbonization and excusing them from novel CDR participation risks several of these regions failing to achieve net-zero emissions this century.</w:t>
      </w:r>
    </w:p>
    <w:p w14:paraId="0DBA0E4B" w14:textId="16E2AD80" w:rsidR="00820C99" w:rsidRPr="00EE41C6" w:rsidRDefault="00820C99" w:rsidP="00820C99">
      <w:pPr>
        <w:pStyle w:val="Heading1"/>
        <w:rPr>
          <w:rFonts w:ascii="Times New Roman" w:hAnsi="Times New Roman" w:cs="Times New Roman"/>
        </w:rPr>
      </w:pPr>
      <w:bookmarkStart w:id="15" w:name="_Toc176517749"/>
      <w:r w:rsidRPr="00EE41C6">
        <w:rPr>
          <w:rFonts w:ascii="Times New Roman" w:hAnsi="Times New Roman" w:cs="Times New Roman"/>
        </w:rPr>
        <w:t>Supplementary Discussion 4</w:t>
      </w:r>
      <w:bookmarkEnd w:id="15"/>
    </w:p>
    <w:p w14:paraId="689E14FB" w14:textId="77777777" w:rsidR="00820C99" w:rsidRPr="00EE41C6" w:rsidRDefault="00820C99" w:rsidP="00820C99"/>
    <w:p w14:paraId="232BC497" w14:textId="35C9F5C9" w:rsidR="00820C99" w:rsidRPr="00EE41C6" w:rsidRDefault="00820C99" w:rsidP="00820C99">
      <w:pPr>
        <w:spacing w:line="480" w:lineRule="auto"/>
        <w:ind w:firstLine="288"/>
        <w:jc w:val="both"/>
        <w:rPr>
          <w:rFonts w:ascii="Times New Roman" w:hAnsi="Times New Roman" w:cs="Times New Roman"/>
        </w:rPr>
      </w:pPr>
      <w:r w:rsidRPr="00EE41C6">
        <w:rPr>
          <w:rFonts w:ascii="Times New Roman" w:hAnsi="Times New Roman" w:cs="Times New Roman"/>
        </w:rPr>
        <w:t xml:space="preserve">Pursuing explicit sectoral and separate CDR targets promotes energy efficiency in end-use sectors. Electricity is characterized by high exergy, implying that 1 EJ of electricity can produce more usable work than an equivalent amount of liquid, solid, or gaseous fuel or heat </w:t>
      </w:r>
      <w:r w:rsidRPr="00EE41C6">
        <w:rPr>
          <w:rFonts w:ascii="Times New Roman" w:hAnsi="Times New Roman" w:cs="Times New Roman"/>
        </w:rPr>
        <w:fldChar w:fldCharType="begin"/>
      </w:r>
      <w:r w:rsidR="008409AF" w:rsidRPr="00EE41C6">
        <w:rPr>
          <w:rFonts w:ascii="Times New Roman" w:hAnsi="Times New Roman" w:cs="Times New Roman"/>
        </w:rPr>
        <w:instrText xml:space="preserve"> ADDIN ZOTERO_ITEM CSL_CITATION {"citationID":"olitzSlf","properties":{"formattedCitation":"\\super 9\\nosupersub{}","plainCitation":"9","noteIndex":0},"citationItems":[{"id":1196,"uris":["http://zotero.org/users/local/YcBHrSK0/items/PU5QJHES"],"itemData":{"id":1196,"type":"article-journal","abstract":"Cost degression in photovoltaics, wind-power and battery storage has been faster than previously anticipated. In the future, climate policy to limit global warming to 1.5–2 °C will make carbon-based fuels increasingly scarce and expensive. Here we show that further progress in solar- and wind-power technology along with carbon pricing to reach the Paris Climate targets could make electricity cheaper than carbon-based fuels. In combination with demand-side innovation, for instance in e-mobility and heat pumps, this is likely to induce a fundamental transformation of energy systems towards a dominance of electricity-based end uses. In a 1.5 °C scenario with limited availability of bioenergy and carbon dioxide removal, electricity could account for 66% of final energy by mid-century, three times the current levels and substantially higher than in previous climate policy scenarios assessed by the Intergovernmental Panel on Climate Change. The lower production of bioenergy in our high-electrification scenarios markedly reduces energy-related land and water requirements.","container-title":"Nature Energy","DOI":"10.1038/s41560-021-00937-z","ISSN":"2058-7546","issue":"1","journalAbbreviation":"Nat Energy","language":"en","license":"2021 The Author(s), under exclusive licence to Springer Nature Limited","note":"number: 1\npublisher: Nature Publishing Group","page":"32-42","source":"www.nature.com","title":"Impact of declining renewable energy costs on electrification in low-emission scenarios","volume":"7","author":[{"family":"Luderer","given":"Gunnar"},{"family":"Madeddu","given":"Silvia"},{"family":"Merfort","given":"Leon"},{"family":"Ueckerdt","given":"Falko"},{"family":"Pehl","given":"Michaja"},{"family":"Pietzcker","given":"Robert"},{"family":"Rottoli","given":"Marianna"},{"family":"Schreyer","given":"Felix"},{"family":"Bauer","given":"Nico"},{"family":"Baumstark","given":"Lavinia"},{"family":"Bertram","given":"Christoph"},{"family":"Dirnaichner","given":"Alois"},{"family":"Humpenöder","given":"Florian"},{"family":"Levesque","given":"Antoine"},{"family":"Popp","given":"Alexander"},{"family":"Rodrigues","given":"Renato"},{"family":"Strefler","given":"Jessica"},{"family":"Kriegler","given":"Elmar"}],"issued":{"date-parts":[["2022",1]]}}}],"schema":"https://github.com/citation-style-language/schema/raw/master/csl-citation.json"} </w:instrText>
      </w:r>
      <w:r w:rsidRPr="00EE41C6">
        <w:rPr>
          <w:rFonts w:ascii="Times New Roman" w:hAnsi="Times New Roman" w:cs="Times New Roman"/>
        </w:rPr>
        <w:fldChar w:fldCharType="separate"/>
      </w:r>
      <w:r w:rsidR="008409AF" w:rsidRPr="00EE41C6">
        <w:rPr>
          <w:rFonts w:ascii="Times New Roman" w:hAnsi="Times New Roman" w:cs="Times New Roman"/>
          <w:kern w:val="0"/>
          <w:szCs w:val="24"/>
          <w:vertAlign w:val="superscript"/>
        </w:rPr>
        <w:t>9</w:t>
      </w:r>
      <w:r w:rsidRPr="00EE41C6">
        <w:rPr>
          <w:rFonts w:ascii="Times New Roman" w:hAnsi="Times New Roman" w:cs="Times New Roman"/>
        </w:rPr>
        <w:fldChar w:fldCharType="end"/>
      </w:r>
      <w:r w:rsidRPr="00EE41C6">
        <w:rPr>
          <w:rFonts w:ascii="Times New Roman" w:hAnsi="Times New Roman" w:cs="Times New Roman"/>
        </w:rPr>
        <w:t xml:space="preserve">. Thus, the higher electrification and </w:t>
      </w:r>
      <w:proofErr w:type="spellStart"/>
      <w:r w:rsidRPr="00EE41C6">
        <w:rPr>
          <w:rFonts w:ascii="Times New Roman" w:hAnsi="Times New Roman" w:cs="Times New Roman"/>
        </w:rPr>
        <w:lastRenderedPageBreak/>
        <w:t>defossilization</w:t>
      </w:r>
      <w:proofErr w:type="spellEnd"/>
      <w:r w:rsidRPr="00EE41C6">
        <w:rPr>
          <w:rFonts w:ascii="Times New Roman" w:hAnsi="Times New Roman" w:cs="Times New Roman"/>
        </w:rPr>
        <w:t xml:space="preserve"> leads to lower total energy demand under the sectoral scenarios especially before mid-century. Between 2020 and 2050, the sectoral scenarios can provide an additional 10% phase-down in coal and a 40% rise in electrification compared to the conventional pathway's. Compared to the CONV scenario, the sectoral scenarios show a more rapid phase-down of coal consumption for end-use applications in key regions such as North America, Asia, and the European Union, accelerating the reduction of coal consumption in these regions by an additional 25-30%, during the 2020-2050 timeframe. </w:t>
      </w:r>
    </w:p>
    <w:p w14:paraId="61218B07" w14:textId="0C0FDE01" w:rsidR="00820C99" w:rsidRPr="00EE41C6" w:rsidRDefault="00820C99" w:rsidP="00820C99">
      <w:pPr>
        <w:spacing w:line="480" w:lineRule="auto"/>
        <w:ind w:firstLine="288"/>
        <w:jc w:val="both"/>
        <w:rPr>
          <w:rFonts w:ascii="Times New Roman" w:hAnsi="Times New Roman" w:cs="Times New Roman"/>
        </w:rPr>
      </w:pPr>
      <w:r w:rsidRPr="00EE41C6">
        <w:rPr>
          <w:rFonts w:ascii="Times New Roman" w:hAnsi="Times New Roman" w:cs="Times New Roman"/>
        </w:rPr>
        <w:t xml:space="preserve">The </w:t>
      </w:r>
      <w:bookmarkStart w:id="16" w:name="_Hlk162935778"/>
      <w:r w:rsidRPr="00EE41C6">
        <w:rPr>
          <w:rFonts w:ascii="Times New Roman" w:hAnsi="Times New Roman" w:cs="Times New Roman"/>
        </w:rPr>
        <w:t xml:space="preserve">transformations in global energy supply and demand between the conventional pathway and the sectoral scenarios by 2050 </w:t>
      </w:r>
      <w:bookmarkEnd w:id="16"/>
      <w:r w:rsidRPr="00EE41C6">
        <w:rPr>
          <w:rFonts w:ascii="Times New Roman" w:hAnsi="Times New Roman" w:cs="Times New Roman"/>
        </w:rPr>
        <w:t xml:space="preserve">are depicted in Fig. </w:t>
      </w:r>
      <w:r w:rsidR="006639D1">
        <w:rPr>
          <w:rFonts w:ascii="Times New Roman" w:hAnsi="Times New Roman" w:cs="Times New Roman"/>
        </w:rPr>
        <w:t>6</w:t>
      </w:r>
      <w:r w:rsidRPr="00EE41C6">
        <w:rPr>
          <w:rFonts w:ascii="Times New Roman" w:hAnsi="Times New Roman" w:cs="Times New Roman"/>
        </w:rPr>
        <w:t xml:space="preserve">. Under the conventional pathway, carbon-based sources, including biomass and fossil fuels, provide approximately 70% of total primary energy consumption, which is reduced to 50-55% when explicit emission reduction targets for electricity and transport sectors are pursued alongside separate CDR targets. In an ambitious sectoral pathway (SECT-AMB), renewables’ and </w:t>
      </w:r>
      <w:proofErr w:type="spellStart"/>
      <w:r w:rsidRPr="00EE41C6">
        <w:rPr>
          <w:rFonts w:ascii="Times New Roman" w:hAnsi="Times New Roman" w:cs="Times New Roman"/>
        </w:rPr>
        <w:t>nuclear’s</w:t>
      </w:r>
      <w:proofErr w:type="spellEnd"/>
      <w:r w:rsidRPr="00EE41C6">
        <w:rPr>
          <w:rFonts w:ascii="Times New Roman" w:hAnsi="Times New Roman" w:cs="Times New Roman"/>
        </w:rPr>
        <w:t xml:space="preserve"> contribution could reach 50% of the energy mix by 2050, respectively, compared to less than 30% under CONV.</w:t>
      </w:r>
    </w:p>
    <w:p w14:paraId="5EDF71E5" w14:textId="0C495489" w:rsidR="00820C99" w:rsidRPr="00EE41C6" w:rsidRDefault="00820C99" w:rsidP="00820C99">
      <w:pPr>
        <w:spacing w:line="480" w:lineRule="auto"/>
        <w:ind w:firstLine="288"/>
        <w:jc w:val="both"/>
        <w:rPr>
          <w:rFonts w:ascii="Times New Roman" w:hAnsi="Times New Roman" w:cs="Times New Roman"/>
        </w:rPr>
      </w:pPr>
      <w:r w:rsidRPr="00EE41C6">
        <w:rPr>
          <w:rFonts w:ascii="Times New Roman" w:hAnsi="Times New Roman" w:cs="Times New Roman"/>
        </w:rPr>
        <w:t xml:space="preserve">As electricity decarbonization is the ‘heart’ of any 1.5°C pathway, despite higher electrification rates under SECT-AMB and other sectoral pathways, it leads to an increase of less than 20% over the rates under CONV. The transport sector covers some of the world's most hard-to-abate sectors, such as aviation and shipping. Pursuing SECT-AMB would present significant energy demand reductions in transport, approximately 40% lower than demands compared to CONV, attributable to the sectoral pathway's rapid electrification (electricity and hydrogen) and the phase-out of fossil fuels from the transport sector. Furthermore, by 2050, a lower reliance on CDR and rapid cuts in sector emissions could lower energy demand for carbon removal. Without explicit targets for other sectors, such as industry and buildings, the two pathways (CONV vs SECT-AMB) result in similar energy demands in these two sectors. If countries were to provide explicit emission reduction targets for each sector of their economy, significant cuts in energy demands in end-use sectors could be realized, albeit at the expense of higher mitigation costs. </w:t>
      </w:r>
      <w:r w:rsidRPr="00EE41C6">
        <w:rPr>
          <w:rFonts w:ascii="Times New Roman" w:hAnsi="Times New Roman" w:cs="Times New Roman"/>
        </w:rPr>
        <w:lastRenderedPageBreak/>
        <w:t xml:space="preserve">However, countries can take advantage of the most cost-effective abatement opportunities within each sector to mitigate costs to some extent </w:t>
      </w:r>
      <w:r w:rsidRPr="00EE41C6">
        <w:rPr>
          <w:rFonts w:ascii="Times New Roman" w:hAnsi="Times New Roman" w:cs="Times New Roman"/>
        </w:rPr>
        <w:fldChar w:fldCharType="begin"/>
      </w:r>
      <w:r w:rsidR="008409AF" w:rsidRPr="00EE41C6">
        <w:rPr>
          <w:rFonts w:ascii="Times New Roman" w:hAnsi="Times New Roman" w:cs="Times New Roman"/>
        </w:rPr>
        <w:instrText xml:space="preserve"> ADDIN ZOTERO_ITEM CSL_CITATION {"citationID":"Xc59gtmb","properties":{"formattedCitation":"\\super 10\\nosupersub{}","plainCitation":"10","noteIndex":0},"citationItems":[{"id":1454,"uris":["http://zotero.org/users/local/YcBHrSK0/items/69II5IIP"],"itemData":{"id":1454,"type":"article-journal","container-title":"Grathan Institute","language":"en","source":"Zotero","title":"Towards net zero: Practical policies to reduce industrial emissions","URL":"https://apo.org.au/sites/default/files/resource-files/2021-08/apo-nid313659.pdf","author":[{"family":"Wood","given":"Tony"},{"family":"Reeve","given":"Alison"},{"family":"Ha","given":"James"}],"issued":{"date-parts":[["2021"]]}}}],"schema":"https://github.com/citation-style-language/schema/raw/master/csl-citation.json"} </w:instrText>
      </w:r>
      <w:r w:rsidRPr="00EE41C6">
        <w:rPr>
          <w:rFonts w:ascii="Times New Roman" w:hAnsi="Times New Roman" w:cs="Times New Roman"/>
        </w:rPr>
        <w:fldChar w:fldCharType="separate"/>
      </w:r>
      <w:r w:rsidR="008409AF" w:rsidRPr="00EE41C6">
        <w:rPr>
          <w:rFonts w:ascii="Times New Roman" w:hAnsi="Times New Roman" w:cs="Times New Roman"/>
          <w:kern w:val="0"/>
          <w:szCs w:val="24"/>
          <w:vertAlign w:val="superscript"/>
        </w:rPr>
        <w:t>10</w:t>
      </w:r>
      <w:r w:rsidRPr="00EE41C6">
        <w:rPr>
          <w:rFonts w:ascii="Times New Roman" w:hAnsi="Times New Roman" w:cs="Times New Roman"/>
        </w:rPr>
        <w:fldChar w:fldCharType="end"/>
      </w:r>
      <w:r w:rsidRPr="00EE41C6">
        <w:rPr>
          <w:rFonts w:ascii="Times New Roman" w:hAnsi="Times New Roman" w:cs="Times New Roman"/>
        </w:rPr>
        <w:t>.</w:t>
      </w:r>
    </w:p>
    <w:p w14:paraId="3F1077C1" w14:textId="77777777" w:rsidR="00820C99" w:rsidRPr="00EE41C6" w:rsidRDefault="00820C99" w:rsidP="00820C99">
      <w:pPr>
        <w:spacing w:line="480" w:lineRule="auto"/>
        <w:ind w:firstLine="288"/>
        <w:jc w:val="both"/>
        <w:rPr>
          <w:rFonts w:ascii="Times New Roman" w:hAnsi="Times New Roman" w:cs="Times New Roman"/>
        </w:rPr>
      </w:pPr>
      <w:r w:rsidRPr="00EE41C6">
        <w:rPr>
          <w:rFonts w:ascii="Times New Roman" w:hAnsi="Times New Roman" w:cs="Times New Roman"/>
        </w:rPr>
        <w:t xml:space="preserve">Moreover, an additional 10-17 EJ/yr of hydrogen consumption, primarily to deep-decarbonize the transport sector, would be achieved by 2050 under the sectoral scenarios. Nonetheless, the most significant reduction between CONV and the sectoral scenarios in energy carriers would occur in refined liquids. Refined liquids here comprise oil refining, biomass liquids, coal-to-liquids, and gas-to-liquids, and their demand could be reduced by 50% under SECT-AMB compared to demands under CONV. </w:t>
      </w:r>
    </w:p>
    <w:p w14:paraId="2A6F96A0" w14:textId="77777777" w:rsidR="00683EC7" w:rsidRPr="00EE41C6" w:rsidRDefault="00683EC7" w:rsidP="008409AF">
      <w:pPr>
        <w:pStyle w:val="Heading1"/>
        <w:rPr>
          <w:rFonts w:ascii="Times New Roman" w:hAnsi="Times New Roman" w:cs="Times New Roman"/>
        </w:rPr>
      </w:pPr>
      <w:bookmarkStart w:id="17" w:name="_Toc157938551"/>
    </w:p>
    <w:p w14:paraId="090087C8" w14:textId="77777777" w:rsidR="00683EC7" w:rsidRPr="00EE41C6" w:rsidRDefault="00683EC7" w:rsidP="008409AF">
      <w:pPr>
        <w:pStyle w:val="Heading1"/>
        <w:rPr>
          <w:rFonts w:ascii="Times New Roman" w:hAnsi="Times New Roman" w:cs="Times New Roman"/>
        </w:rPr>
      </w:pPr>
    </w:p>
    <w:p w14:paraId="7D6042D2" w14:textId="77777777" w:rsidR="00683EC7" w:rsidRPr="00EE41C6" w:rsidRDefault="00683EC7" w:rsidP="008409AF">
      <w:pPr>
        <w:pStyle w:val="Heading1"/>
        <w:rPr>
          <w:rFonts w:ascii="Times New Roman" w:hAnsi="Times New Roman" w:cs="Times New Roman"/>
        </w:rPr>
      </w:pPr>
    </w:p>
    <w:p w14:paraId="545692A8" w14:textId="77777777" w:rsidR="00683EC7" w:rsidRPr="00EE41C6" w:rsidRDefault="00683EC7" w:rsidP="008409AF">
      <w:pPr>
        <w:pStyle w:val="Heading1"/>
        <w:rPr>
          <w:rFonts w:ascii="Times New Roman" w:hAnsi="Times New Roman" w:cs="Times New Roman"/>
        </w:rPr>
      </w:pPr>
    </w:p>
    <w:p w14:paraId="2D7F82DB" w14:textId="77777777" w:rsidR="00683EC7" w:rsidRPr="00EE41C6" w:rsidRDefault="00683EC7" w:rsidP="008409AF">
      <w:pPr>
        <w:pStyle w:val="Heading1"/>
        <w:rPr>
          <w:rFonts w:ascii="Times New Roman" w:hAnsi="Times New Roman" w:cs="Times New Roman"/>
        </w:rPr>
      </w:pPr>
    </w:p>
    <w:p w14:paraId="1B29975E" w14:textId="77777777" w:rsidR="00683EC7" w:rsidRPr="00EE41C6" w:rsidRDefault="00683EC7" w:rsidP="008409AF">
      <w:pPr>
        <w:pStyle w:val="Heading1"/>
        <w:rPr>
          <w:rFonts w:ascii="Times New Roman" w:hAnsi="Times New Roman" w:cs="Times New Roman"/>
        </w:rPr>
      </w:pPr>
    </w:p>
    <w:p w14:paraId="229E3458" w14:textId="77777777" w:rsidR="00683EC7" w:rsidRPr="00EE41C6" w:rsidRDefault="00683EC7" w:rsidP="008409AF">
      <w:pPr>
        <w:pStyle w:val="Heading1"/>
        <w:rPr>
          <w:rFonts w:ascii="Times New Roman" w:hAnsi="Times New Roman" w:cs="Times New Roman"/>
        </w:rPr>
      </w:pPr>
    </w:p>
    <w:p w14:paraId="16F6B6DC" w14:textId="77777777" w:rsidR="00683EC7" w:rsidRPr="00EE41C6" w:rsidRDefault="00683EC7" w:rsidP="008409AF">
      <w:pPr>
        <w:pStyle w:val="Heading1"/>
        <w:rPr>
          <w:rFonts w:ascii="Times New Roman" w:hAnsi="Times New Roman" w:cs="Times New Roman"/>
        </w:rPr>
      </w:pPr>
    </w:p>
    <w:p w14:paraId="36F1ADB2" w14:textId="77777777" w:rsidR="00683EC7" w:rsidRPr="00EE41C6" w:rsidRDefault="00683EC7" w:rsidP="008409AF">
      <w:pPr>
        <w:pStyle w:val="Heading1"/>
        <w:rPr>
          <w:rFonts w:ascii="Times New Roman" w:hAnsi="Times New Roman" w:cs="Times New Roman"/>
        </w:rPr>
      </w:pPr>
    </w:p>
    <w:p w14:paraId="777E04B1" w14:textId="77777777" w:rsidR="00683EC7" w:rsidRPr="00EE41C6" w:rsidRDefault="00683EC7" w:rsidP="008409AF">
      <w:pPr>
        <w:pStyle w:val="Heading1"/>
        <w:rPr>
          <w:rFonts w:ascii="Times New Roman" w:hAnsi="Times New Roman" w:cs="Times New Roman"/>
        </w:rPr>
      </w:pPr>
    </w:p>
    <w:p w14:paraId="2AAA169E" w14:textId="77777777" w:rsidR="00683EC7" w:rsidRPr="00EE41C6" w:rsidRDefault="00683EC7" w:rsidP="008409AF">
      <w:pPr>
        <w:pStyle w:val="Heading1"/>
        <w:rPr>
          <w:rFonts w:ascii="Times New Roman" w:hAnsi="Times New Roman" w:cs="Times New Roman"/>
        </w:rPr>
      </w:pPr>
    </w:p>
    <w:p w14:paraId="59F5A2F8" w14:textId="77777777" w:rsidR="00683EC7" w:rsidRPr="00EE41C6" w:rsidRDefault="00683EC7" w:rsidP="008409AF">
      <w:pPr>
        <w:pStyle w:val="Heading1"/>
        <w:rPr>
          <w:rFonts w:ascii="Times New Roman" w:hAnsi="Times New Roman" w:cs="Times New Roman"/>
        </w:rPr>
      </w:pPr>
    </w:p>
    <w:p w14:paraId="02B092FD" w14:textId="77777777" w:rsidR="00683EC7" w:rsidRPr="00EE41C6" w:rsidRDefault="00683EC7" w:rsidP="008409AF">
      <w:pPr>
        <w:pStyle w:val="Heading1"/>
        <w:rPr>
          <w:rFonts w:ascii="Times New Roman" w:hAnsi="Times New Roman" w:cs="Times New Roman"/>
        </w:rPr>
      </w:pPr>
    </w:p>
    <w:p w14:paraId="6339D52B" w14:textId="77777777" w:rsidR="00683EC7" w:rsidRPr="00EE41C6" w:rsidRDefault="00683EC7" w:rsidP="00683EC7"/>
    <w:p w14:paraId="5578AAB1" w14:textId="77777777" w:rsidR="00683EC7" w:rsidRPr="00EE41C6" w:rsidRDefault="00683EC7" w:rsidP="00683EC7"/>
    <w:p w14:paraId="4D53BFED" w14:textId="49E2D059" w:rsidR="008409AF" w:rsidRPr="00EE41C6" w:rsidRDefault="004801F3" w:rsidP="008409AF">
      <w:pPr>
        <w:pStyle w:val="Heading1"/>
        <w:rPr>
          <w:rFonts w:ascii="Times New Roman" w:hAnsi="Times New Roman" w:cs="Times New Roman"/>
        </w:rPr>
      </w:pPr>
      <w:bookmarkStart w:id="18" w:name="_Toc176517750"/>
      <w:bookmarkEnd w:id="17"/>
      <w:r w:rsidRPr="00EE41C6">
        <w:rPr>
          <w:rFonts w:ascii="Times New Roman" w:hAnsi="Times New Roman" w:cs="Times New Roman"/>
        </w:rPr>
        <w:lastRenderedPageBreak/>
        <w:t>Additional results</w:t>
      </w:r>
      <w:r w:rsidR="0056387E" w:rsidRPr="00EE41C6">
        <w:rPr>
          <w:rFonts w:ascii="Times New Roman" w:hAnsi="Times New Roman" w:cs="Times New Roman"/>
        </w:rPr>
        <w:t xml:space="preserve"> on climate, energy, land, water, and food</w:t>
      </w:r>
      <w:bookmarkEnd w:id="18"/>
    </w:p>
    <w:p w14:paraId="35041437" w14:textId="77777777" w:rsidR="00DA6FD7" w:rsidRPr="00EE41C6" w:rsidRDefault="00DA6FD7" w:rsidP="00DA6FD7"/>
    <w:p w14:paraId="7BD5E2BA" w14:textId="1CA0E95C" w:rsidR="00316F95" w:rsidRPr="00EE41C6" w:rsidRDefault="00316F95" w:rsidP="00316F95">
      <w:pPr>
        <w:spacing w:line="480" w:lineRule="auto"/>
        <w:ind w:firstLine="288"/>
        <w:jc w:val="both"/>
        <w:rPr>
          <w:rFonts w:ascii="Times New Roman" w:hAnsi="Times New Roman" w:cs="Times New Roman"/>
        </w:rPr>
      </w:pPr>
      <w:r w:rsidRPr="00EE41C6">
        <w:rPr>
          <w:rFonts w:ascii="Times New Roman" w:hAnsi="Times New Roman" w:cs="Times New Roman"/>
        </w:rPr>
        <w:t xml:space="preserve">The supplementary figures are additional results related to climate-energy-land-water-food system. Our comparison here is between </w:t>
      </w:r>
      <w:r w:rsidR="00A632AE" w:rsidRPr="00EE41C6">
        <w:rPr>
          <w:rFonts w:ascii="Times New Roman" w:hAnsi="Times New Roman" w:cs="Times New Roman"/>
        </w:rPr>
        <w:t xml:space="preserve">the </w:t>
      </w:r>
      <w:r w:rsidRPr="00EE41C6">
        <w:rPr>
          <w:rFonts w:ascii="Times New Roman" w:hAnsi="Times New Roman" w:cs="Times New Roman"/>
        </w:rPr>
        <w:t xml:space="preserve">conventional pathway and our alternative sectoral pathways. Thus, our sectoral </w:t>
      </w:r>
      <w:r w:rsidR="00A632AE" w:rsidRPr="00EE41C6">
        <w:rPr>
          <w:rFonts w:ascii="Times New Roman" w:hAnsi="Times New Roman" w:cs="Times New Roman"/>
        </w:rPr>
        <w:t>pathways</w:t>
      </w:r>
      <w:r w:rsidRPr="00EE41C6">
        <w:rPr>
          <w:rFonts w:ascii="Times New Roman" w:hAnsi="Times New Roman" w:cs="Times New Roman"/>
        </w:rPr>
        <w:t xml:space="preserve"> are represented by the most ambitious scenario (AMB) and it is compared against CONV. </w:t>
      </w:r>
    </w:p>
    <w:p w14:paraId="071424A1" w14:textId="77777777" w:rsidR="00534CD6" w:rsidRPr="00EE41C6" w:rsidRDefault="00534CD6" w:rsidP="00316F95">
      <w:pPr>
        <w:spacing w:line="480" w:lineRule="auto"/>
        <w:ind w:firstLine="288"/>
        <w:jc w:val="both"/>
        <w:rPr>
          <w:rFonts w:ascii="Times New Roman" w:hAnsi="Times New Roman" w:cs="Times New Roman"/>
        </w:rPr>
      </w:pPr>
    </w:p>
    <w:p w14:paraId="35BF34A0" w14:textId="77777777" w:rsidR="00534CD6" w:rsidRPr="00EE41C6" w:rsidRDefault="00534CD6" w:rsidP="00316F95">
      <w:pPr>
        <w:spacing w:line="480" w:lineRule="auto"/>
        <w:ind w:firstLine="288"/>
        <w:jc w:val="both"/>
        <w:rPr>
          <w:rFonts w:ascii="Times New Roman" w:hAnsi="Times New Roman" w:cs="Times New Roman"/>
        </w:rPr>
      </w:pPr>
    </w:p>
    <w:p w14:paraId="154A78D2" w14:textId="77777777" w:rsidR="00534CD6" w:rsidRPr="00EE41C6" w:rsidRDefault="00534CD6" w:rsidP="00316F95">
      <w:pPr>
        <w:spacing w:line="480" w:lineRule="auto"/>
        <w:ind w:firstLine="288"/>
        <w:jc w:val="both"/>
        <w:rPr>
          <w:rFonts w:ascii="Times New Roman" w:hAnsi="Times New Roman" w:cs="Times New Roman"/>
        </w:rPr>
      </w:pPr>
    </w:p>
    <w:p w14:paraId="448B0927" w14:textId="77777777" w:rsidR="00534CD6" w:rsidRPr="00EE41C6" w:rsidRDefault="00534CD6" w:rsidP="00316F95">
      <w:pPr>
        <w:spacing w:line="480" w:lineRule="auto"/>
        <w:ind w:firstLine="288"/>
        <w:jc w:val="both"/>
        <w:rPr>
          <w:rFonts w:ascii="Times New Roman" w:hAnsi="Times New Roman" w:cs="Times New Roman"/>
        </w:rPr>
      </w:pPr>
    </w:p>
    <w:p w14:paraId="6360CCED" w14:textId="77777777" w:rsidR="00534CD6" w:rsidRPr="00EE41C6" w:rsidRDefault="00534CD6" w:rsidP="00316F95">
      <w:pPr>
        <w:spacing w:line="480" w:lineRule="auto"/>
        <w:ind w:firstLine="288"/>
        <w:jc w:val="both"/>
        <w:rPr>
          <w:rFonts w:ascii="Times New Roman" w:hAnsi="Times New Roman" w:cs="Times New Roman"/>
        </w:rPr>
      </w:pPr>
    </w:p>
    <w:p w14:paraId="5C605005" w14:textId="77777777" w:rsidR="00534CD6" w:rsidRPr="00EE41C6" w:rsidRDefault="00534CD6" w:rsidP="00316F95">
      <w:pPr>
        <w:spacing w:line="480" w:lineRule="auto"/>
        <w:ind w:firstLine="288"/>
        <w:jc w:val="both"/>
        <w:rPr>
          <w:rFonts w:ascii="Times New Roman" w:hAnsi="Times New Roman" w:cs="Times New Roman"/>
        </w:rPr>
      </w:pPr>
    </w:p>
    <w:p w14:paraId="58D105E3" w14:textId="77777777" w:rsidR="00683EC7" w:rsidRPr="00EE41C6" w:rsidRDefault="00683EC7" w:rsidP="00316F95">
      <w:pPr>
        <w:spacing w:line="480" w:lineRule="auto"/>
        <w:ind w:firstLine="288"/>
        <w:jc w:val="both"/>
        <w:rPr>
          <w:rFonts w:ascii="Times New Roman" w:hAnsi="Times New Roman" w:cs="Times New Roman"/>
        </w:rPr>
      </w:pPr>
    </w:p>
    <w:p w14:paraId="791B0689" w14:textId="7271BFE1" w:rsidR="00316F95" w:rsidRPr="00EE41C6" w:rsidRDefault="002B78C5" w:rsidP="00683EC7">
      <w:pPr>
        <w:spacing w:line="480" w:lineRule="auto"/>
        <w:ind w:firstLine="288"/>
        <w:jc w:val="center"/>
        <w:rPr>
          <w:rFonts w:ascii="Times New Roman" w:hAnsi="Times New Roman" w:cs="Times New Roman"/>
        </w:rPr>
      </w:pPr>
      <w:r w:rsidRPr="00EE41C6">
        <w:rPr>
          <w:rFonts w:ascii="Times New Roman" w:hAnsi="Times New Roman" w:cs="Times New Roman"/>
          <w:noProof/>
        </w:rPr>
        <w:lastRenderedPageBreak/>
        <w:drawing>
          <wp:inline distT="0" distB="0" distL="0" distR="0" wp14:anchorId="10DB1CD1" wp14:editId="1F614CAE">
            <wp:extent cx="5943600" cy="4456430"/>
            <wp:effectExtent l="0" t="0" r="0" b="1270"/>
            <wp:docPr id="1519247972"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47972" name="Graphic 1519247972"/>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943600" cy="4456430"/>
                    </a:xfrm>
                    <a:prstGeom prst="rect">
                      <a:avLst/>
                    </a:prstGeom>
                  </pic:spPr>
                </pic:pic>
              </a:graphicData>
            </a:graphic>
          </wp:inline>
        </w:drawing>
      </w:r>
    </w:p>
    <w:p w14:paraId="1CD6A7D0" w14:textId="1DC8C09F" w:rsidR="00316F95" w:rsidRPr="00EE41C6" w:rsidRDefault="009D7DD4" w:rsidP="00005AF3">
      <w:pPr>
        <w:pStyle w:val="Caption"/>
        <w:jc w:val="center"/>
        <w:rPr>
          <w:rFonts w:ascii="Times New Roman" w:hAnsi="Times New Roman" w:cs="Times New Roman"/>
        </w:rPr>
      </w:pPr>
      <w:r w:rsidRPr="00EE41C6">
        <w:t xml:space="preserve">Supplementary Figure </w:t>
      </w:r>
      <w:fldSimple w:instr=" SEQ Supplementary_Figure \* ARABIC ">
        <w:r w:rsidR="00830047" w:rsidRPr="00EE41C6">
          <w:rPr>
            <w:noProof/>
          </w:rPr>
          <w:t>1</w:t>
        </w:r>
      </w:fldSimple>
      <w:r w:rsidRPr="00EE41C6">
        <w:t xml:space="preserve"> </w:t>
      </w:r>
      <w:r w:rsidRPr="00EE41C6">
        <w:rPr>
          <w:rFonts w:ascii="Times New Roman" w:hAnsi="Times New Roman" w:cs="Times New Roman"/>
        </w:rPr>
        <w:t xml:space="preserve">Impact on </w:t>
      </w:r>
      <w:r w:rsidR="002B78C5" w:rsidRPr="00EE41C6">
        <w:rPr>
          <w:rFonts w:ascii="Times New Roman" w:hAnsi="Times New Roman" w:cs="Times New Roman"/>
        </w:rPr>
        <w:t>GHG emissions. Positive GHG emissions and gross CDR under AMB and CONV. Non-CO</w:t>
      </w:r>
      <w:r w:rsidR="002B78C5" w:rsidRPr="00EE41C6">
        <w:rPr>
          <w:rFonts w:ascii="Times New Roman" w:hAnsi="Times New Roman" w:cs="Times New Roman"/>
          <w:vertAlign w:val="subscript"/>
        </w:rPr>
        <w:t>2</w:t>
      </w:r>
      <w:r w:rsidR="002B78C5" w:rsidRPr="00EE41C6">
        <w:rPr>
          <w:rFonts w:ascii="Times New Roman" w:hAnsi="Times New Roman" w:cs="Times New Roman"/>
        </w:rPr>
        <w:t xml:space="preserve"> GHGs are calculated based on 100-year GWP equivalents. Novel CDR includes ERW: enhanced rock weathering, BECCS: bioenergy with carbon capture and storage, DACCS: direct air capture and carbon storage. “Other” </w:t>
      </w:r>
      <w:r w:rsidR="00005AF3" w:rsidRPr="00EE41C6">
        <w:rPr>
          <w:rFonts w:ascii="Times New Roman" w:hAnsi="Times New Roman" w:cs="Times New Roman"/>
        </w:rPr>
        <w:t>includes</w:t>
      </w:r>
      <w:r w:rsidR="002B78C5" w:rsidRPr="00EE41C6">
        <w:rPr>
          <w:rFonts w:ascii="Times New Roman" w:hAnsi="Times New Roman" w:cs="Times New Roman"/>
        </w:rPr>
        <w:t xml:space="preserve"> residual CO</w:t>
      </w:r>
      <w:r w:rsidR="002B78C5" w:rsidRPr="00EE41C6">
        <w:rPr>
          <w:rFonts w:ascii="Times New Roman" w:hAnsi="Times New Roman" w:cs="Times New Roman"/>
          <w:vertAlign w:val="subscript"/>
        </w:rPr>
        <w:t>2</w:t>
      </w:r>
      <w:r w:rsidR="002B78C5" w:rsidRPr="00EE41C6">
        <w:rPr>
          <w:rFonts w:ascii="Times New Roman" w:hAnsi="Times New Roman" w:cs="Times New Roman"/>
        </w:rPr>
        <w:t xml:space="preserve"> emissions from other energy transformation processes</w:t>
      </w:r>
      <w:r w:rsidR="00005AF3" w:rsidRPr="00EE41C6">
        <w:rPr>
          <w:rFonts w:ascii="Times New Roman" w:hAnsi="Times New Roman" w:cs="Times New Roman"/>
        </w:rPr>
        <w:t xml:space="preserve"> such as refining. Positive values in some periods for land use, land use change, and forestry (LULUCF) indicate higher deforestation rates than afforestation rates. AMB consistently exhibits substantially lower residual CO</w:t>
      </w:r>
      <w:r w:rsidR="00005AF3" w:rsidRPr="00EE41C6">
        <w:rPr>
          <w:rFonts w:ascii="Times New Roman" w:hAnsi="Times New Roman" w:cs="Times New Roman"/>
          <w:vertAlign w:val="subscript"/>
        </w:rPr>
        <w:t>2</w:t>
      </w:r>
      <w:r w:rsidR="00005AF3" w:rsidRPr="00EE41C6">
        <w:rPr>
          <w:rFonts w:ascii="Times New Roman" w:hAnsi="Times New Roman" w:cs="Times New Roman"/>
        </w:rPr>
        <w:t xml:space="preserve"> emissions from transportation and electricity sectors compared to the conventional scenario. By 2050, these sectors will be completely decarbonized under AMB, while CONV will continue to have considerable emissions until 2100 (about 7 Gt/yr by 2100). This arises from explicit emission reduction targets in electricity and transportation, irrespective of abatement costs </w:t>
      </w:r>
      <w:r w:rsidR="00005AF3"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{"citationID":"Oli5HX0a","properties":{"formattedCitation":"\\super 11\\nosupersub{}","plainCitation":"11","noteIndex":0},"citationItems":[{"id":1486,"uris":["http://zotero.org/users/local/YcBHrSK0/items/33BDSYH5"],"itemData":{"id":1486,"type":"article-journal","abstract":"Carbon dioxide removal technologies, such as bioenergy with carbon capture and direct air capture, are valuable for stringent climate targets. Previous work has examined implications of carbon removal, primarily bioenergy-based technologies using integrated assessment models, but not investigated the effects of a portfolio of removal options on power systems in detail. Here, we explore impacts of carbon removal technologies on electric sector investments, costs, and emissions using a detailed capacity planning and dispatch model with hourly resolution. We show that adding carbon removal to a mix of low-carbon generation technologies lowers the costs of deep decarbonization. Changes to system costs and investments from including carbon removal are larger as policy ambition increases, reducing the dependence on technologies like advanced nuclear and long-duration storage. Bioenergy with carbon capture is selected for net-zero electric sector emissions targets, but direct air capture deployment increases as biomass supply costs rise.","container-title":"Nature Communications","DOI":"10.1038/s41467-021-23554-6","ISSN":"2041-1723","issue":"1","journalAbbreviation":"Nat Commun","language":"en","license":"2021 The Author(s)","note":"number: 1\npublisher: Nature Publishing Group","page":"3732","source":"www.nature.com","title":"Impact of carbon dioxide removal technologies on deep decarbonization of the electric power sector","volume":"12","author":[{"family":"Bistline","given":"John E. T."},{"family":"Blanford","given":"Geoffrey J."}],"issued":{"date-parts":[["2021",6,17]]}}}],"schema":"https://github.com/citation-style-language/schema/raw/master/csl-citation.json"} </w:instrText>
      </w:r>
      <w:r w:rsidR="00005AF3"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11</w:t>
      </w:r>
      <w:r w:rsidR="00005AF3" w:rsidRPr="00EE41C6">
        <w:rPr>
          <w:rFonts w:ascii="Times New Roman" w:hAnsi="Times New Roman" w:cs="Times New Roman"/>
        </w:rPr>
        <w:fldChar w:fldCharType="end"/>
      </w:r>
      <w:r w:rsidR="00005AF3" w:rsidRPr="00EE41C6">
        <w:rPr>
          <w:rFonts w:ascii="Times New Roman" w:hAnsi="Times New Roman" w:cs="Times New Roman"/>
        </w:rPr>
        <w:t>, unlike CONV's least-cost approach which prioritizes emission reductions in sectors where abatement is more economically feasible, potentially delaying deeper decarbonization in the electricity and transportation sectors. While prioritizing zero-carbon electricity and transportation, the sectoral scenarios also drive rapid electrification in buildings and industry (also indirect electrification by hydrogen). They also lead to lower non-CO</w:t>
      </w:r>
      <w:r w:rsidR="00005AF3" w:rsidRPr="00EE41C6">
        <w:rPr>
          <w:rFonts w:ascii="Times New Roman" w:hAnsi="Times New Roman" w:cs="Times New Roman"/>
          <w:vertAlign w:val="subscript"/>
        </w:rPr>
        <w:t>2</w:t>
      </w:r>
      <w:r w:rsidR="00005AF3" w:rsidRPr="00EE41C6">
        <w:rPr>
          <w:rFonts w:ascii="Times New Roman" w:hAnsi="Times New Roman" w:cs="Times New Roman"/>
        </w:rPr>
        <w:t xml:space="preserve"> emissions partly due to lower fossil fuel extraction, leading to lower methane emissions </w:t>
      </w:r>
      <w:r w:rsidR="00005AF3"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{"citationID":"bBho6Fwn","properties":{"formattedCitation":"\\super 12\\nosupersub{}","plainCitation":"12","noteIndex":0},"citationItems":[{"id":1804,"uris":["http://zotero.org/users/local/YcBHrSK0/items/N7TJDZ4T"],"itemData":{"id":1804,"type":"article-journal","abstract":"Reducing methane emissions from fossil fuel exploitation (oil, gas, coal) is an important target for climate policy, but current national emission inventories submitted to the United Nations Framework Convention on Climate Change (UNFCCC) are highly uncertain. Here we use 22 months (May 2018-Feb 2020) of satellite observations from the TROPOMI instrument to better quantify national emissions worldwide by inverse analysis at up to 50 km resolution. We find global emissions of 62.7 ± 11.5 (2σ) Tg a−1 for oil-gas and 32.7 ± 5.2 Tg a−1 for coal. Oil-gas emissions are 30% higher than the global total from UNFCCC reports, mainly due to under-reporting by the four largest emitters including the US, Russia, Venezuela, and Turkmenistan. Eight countries have methane emission intensities from the oil-gas sector exceeding 5% of their gas production (20% for Venezuela, Iraq, and Angola), and lowering these intensities to the global average level of 2.4% would reduce global oil-gas emissions by 11 Tg a−1 or 18%.","container-title":"Nature Communications","DOI":"10.1038/s41467-023-40671-6","ISSN":"2041-1723","issue":"1","journalAbbreviation":"Nat Commun","language":"en","license":"2023 The Author(s)","note":"publisher: Nature Publishing Group","page":"4948","source":"www.nature.com","title":"National quantifications of methane emissions from fuel exploitation using high resolution inversions of satellite observations","volume":"14","author":[{"family":"Shen","given":"Lu"},{"family":"Jacob","given":"Daniel J."},{"family":"Gautam","given":"Ritesh"},{"family":"Omara","given":"Mark"},{"family":"Scarpelli","given":"Tia R."},{"family":"Lorente","given":"Alba"},{"family":"Zavala-Araiza","given":"Daniel"},{"family":"Lu","given":"Xiao"},{"family":"Chen","given":"Zichong"},{"family":"Lin","given":"Jintai"}],"issued":{"date-parts":[["2023",8,16]]}}}],"schema":"https://github.com/citation-style-language/schema/raw/master/csl-citation.json"} </w:instrText>
      </w:r>
      <w:r w:rsidR="00005AF3"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12</w:t>
      </w:r>
      <w:r w:rsidR="00005AF3" w:rsidRPr="00EE41C6">
        <w:rPr>
          <w:rFonts w:ascii="Times New Roman" w:hAnsi="Times New Roman" w:cs="Times New Roman"/>
        </w:rPr>
        <w:fldChar w:fldCharType="end"/>
      </w:r>
      <w:r w:rsidR="00005AF3" w:rsidRPr="00EE41C6">
        <w:rPr>
          <w:rFonts w:ascii="Times New Roman" w:hAnsi="Times New Roman" w:cs="Times New Roman"/>
        </w:rPr>
        <w:t xml:space="preserve">. Furthermore, the low-price pathway under CONV increases bioenergy demand, which could also be a significant source of nitrous oxide emissions from fertilizers used in cultivating bioenergy crops </w:t>
      </w:r>
      <w:r w:rsidR="00005AF3"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{"citationID":"wDef7xsj","properties":{"formattedCitation":"\\super 13\\nosupersub{}","plainCitation":"13","noteIndex":0},"citationItems":[{"id":1806,"uris":["http://zotero.org/users/local/YcBHrSK0/items/C54JDWH2"],"itemData":{"id":1806,"type":"article-journal","abstract":"Global nitrous oxide (N2O) emissions merit scrutiny, because N2O is the third most important greenhouse gas for global warming and the predominant ozone-depleting substance in this century. Here we recapitulate global natural and anthropogenic N2O sources, comprehensively depict global sectoral human-induced N2O emissions by country, thoroughly survey all existing approaches for mitigating human-induced N2O emissions, preview the economic costs and social benefits from abating N2O emissions, and summarize roadblocks for achieving its emission reductions. From 1970 to 2018, the annual global anthropogenic N2O emissions increased by 64%—about 3.6 teragrams (Tg); agricultural sources primarily accounted for 78% of this increment. We find the social benefits from reducing N2O emissions override the economic costs for abatements, only except precision farming for agricultural sources and replacement by Xe for anesthetic, thus justifying the motivation for crafting policies to limit its emissions. Net zero N2O emissions cannot be achieved via applying current technologies and breeding N2O-reducing microbes is a potential method to accrue N2O sinks.","container-title":"Environmental Pollution","DOI":"10.1016/j.envpol.2023.122664","ISSN":"0269-7491","journalAbbreviation":"Environmental Pollution","page":"122664","source":"ScienceDirect","title":"Current investigations on global N2O emissions and reductions: Prospect and outlook","title-short":"Current investigations on global N2O emissions and reductions","volume":"338","author":[{"family":"Feng","given":"Rui"},{"family":"Li","given":"Zhenhua"}],"issued":{"date-parts":[["2023",12,1]]}}}],"schema":"https://github.com/citation-style-language/schema/raw/master/csl-citation.json"} </w:instrText>
      </w:r>
      <w:r w:rsidR="00005AF3"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13</w:t>
      </w:r>
      <w:r w:rsidR="00005AF3" w:rsidRPr="00EE41C6">
        <w:rPr>
          <w:rFonts w:ascii="Times New Roman" w:hAnsi="Times New Roman" w:cs="Times New Roman"/>
        </w:rPr>
        <w:fldChar w:fldCharType="end"/>
      </w:r>
      <w:r w:rsidR="00005AF3" w:rsidRPr="00EE41C6">
        <w:rPr>
          <w:rFonts w:ascii="Times New Roman" w:hAnsi="Times New Roman" w:cs="Times New Roman"/>
        </w:rPr>
        <w:t>. -F-Gas: Fluorinated gases, CH</w:t>
      </w:r>
      <w:r w:rsidR="00005AF3" w:rsidRPr="00EE41C6">
        <w:rPr>
          <w:rFonts w:ascii="Times New Roman" w:hAnsi="Times New Roman" w:cs="Times New Roman"/>
          <w:vertAlign w:val="subscript"/>
        </w:rPr>
        <w:t>4</w:t>
      </w:r>
      <w:r w:rsidR="00005AF3" w:rsidRPr="00EE41C6">
        <w:rPr>
          <w:rFonts w:ascii="Times New Roman" w:hAnsi="Times New Roman" w:cs="Times New Roman"/>
        </w:rPr>
        <w:t>: methane, N</w:t>
      </w:r>
      <w:r w:rsidR="00005AF3" w:rsidRPr="00EE41C6">
        <w:rPr>
          <w:rFonts w:ascii="Times New Roman" w:hAnsi="Times New Roman" w:cs="Times New Roman"/>
          <w:vertAlign w:val="subscript"/>
        </w:rPr>
        <w:t>2</w:t>
      </w:r>
      <w:r w:rsidR="00005AF3" w:rsidRPr="00EE41C6">
        <w:rPr>
          <w:rFonts w:ascii="Times New Roman" w:hAnsi="Times New Roman" w:cs="Times New Roman"/>
        </w:rPr>
        <w:t>O: nitrous oxide</w:t>
      </w:r>
      <w:r w:rsidR="007C1E3A" w:rsidRPr="00EE41C6">
        <w:rPr>
          <w:rFonts w:ascii="Times New Roman" w:hAnsi="Times New Roman" w:cs="Times New Roman"/>
        </w:rPr>
        <w:t>. By 2100, gross CDR deployment under CONV is expected to reach 20 Gt/yr, twice the deployment under AMB</w:t>
      </w:r>
    </w:p>
    <w:p w14:paraId="0080DB7F" w14:textId="77777777" w:rsidR="00A632AE" w:rsidRPr="00EE41C6" w:rsidRDefault="00A632AE" w:rsidP="00316F95">
      <w:pPr>
        <w:spacing w:line="480" w:lineRule="auto"/>
        <w:ind w:firstLine="288"/>
        <w:jc w:val="center"/>
        <w:rPr>
          <w:rFonts w:ascii="Times New Roman" w:hAnsi="Times New Roman" w:cs="Times New Roman"/>
        </w:rPr>
      </w:pPr>
    </w:p>
    <w:p w14:paraId="3CB48731" w14:textId="77777777" w:rsidR="00316F95" w:rsidRPr="00EE41C6" w:rsidRDefault="00316F95" w:rsidP="00316F95">
      <w:pPr>
        <w:spacing w:line="480" w:lineRule="auto"/>
        <w:ind w:firstLine="288"/>
        <w:jc w:val="center"/>
        <w:rPr>
          <w:rFonts w:ascii="Times New Roman" w:hAnsi="Times New Roman" w:cs="Times New Roman"/>
        </w:rPr>
      </w:pPr>
      <w:r w:rsidRPr="00EE41C6">
        <w:rPr>
          <w:rFonts w:ascii="Times New Roman" w:hAnsi="Times New Roman" w:cs="Times New Roman"/>
          <w:noProof/>
        </w:rPr>
        <w:lastRenderedPageBreak/>
        <w:drawing>
          <wp:inline distT="0" distB="0" distL="0" distR="0" wp14:anchorId="1AF681F7" wp14:editId="7DE4B2C6">
            <wp:extent cx="5943600" cy="3448050"/>
            <wp:effectExtent l="0" t="0" r="0" b="0"/>
            <wp:docPr id="18948415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41548" name="Picture 1894841548"/>
                    <pic:cNvPicPr/>
                  </pic:nvPicPr>
                  <pic:blipFill rotWithShape="1">
                    <a:blip r:embed="rId13">
                      <a:extLst>
                        <a:ext uri="{28A0092B-C50C-407E-A947-70E740481C1C}">
                          <a14:useLocalDpi xmlns:a14="http://schemas.microsoft.com/office/drawing/2010/main" val="0"/>
                        </a:ext>
                      </a:extLst>
                    </a:blip>
                    <a:srcRect t="11102" b="11614"/>
                    <a:stretch/>
                  </pic:blipFill>
                  <pic:spPr bwMode="auto">
                    <a:xfrm>
                      <a:off x="0" y="0"/>
                      <a:ext cx="5943600" cy="3448050"/>
                    </a:xfrm>
                    <a:prstGeom prst="rect">
                      <a:avLst/>
                    </a:prstGeom>
                    <a:ln>
                      <a:noFill/>
                    </a:ln>
                    <a:extLst>
                      <a:ext uri="{53640926-AAD7-44D8-BBD7-CCE9431645EC}">
                        <a14:shadowObscured xmlns:a14="http://schemas.microsoft.com/office/drawing/2010/main"/>
                      </a:ext>
                    </a:extLst>
                  </pic:spPr>
                </pic:pic>
              </a:graphicData>
            </a:graphic>
          </wp:inline>
        </w:drawing>
      </w:r>
    </w:p>
    <w:p w14:paraId="74B33B4A" w14:textId="5ADC3866" w:rsidR="00316F95" w:rsidRPr="00EE41C6" w:rsidRDefault="00DF7909" w:rsidP="00DF7909">
      <w:pPr>
        <w:pStyle w:val="Caption"/>
        <w:jc w:val="center"/>
        <w:rPr>
          <w:rFonts w:ascii="Times New Roman" w:hAnsi="Times New Roman" w:cs="Times New Roman"/>
        </w:rPr>
      </w:pPr>
      <w:r w:rsidRPr="00EE41C6">
        <w:t xml:space="preserve">Supplementary Figure </w:t>
      </w:r>
      <w:fldSimple w:instr=" SEQ Supplementary_Figure \* ARABIC ">
        <w:r w:rsidR="00830047" w:rsidRPr="00EE41C6">
          <w:rPr>
            <w:noProof/>
          </w:rPr>
          <w:t>2</w:t>
        </w:r>
      </w:fldSimple>
      <w:r w:rsidRPr="00EE41C6">
        <w:t xml:space="preserve">. </w:t>
      </w:r>
      <w:r w:rsidRPr="00EE41C6">
        <w:rPr>
          <w:rFonts w:ascii="Times New Roman" w:hAnsi="Times New Roman" w:cs="Times New Roman"/>
        </w:rPr>
        <w:t>Impact on CO</w:t>
      </w:r>
      <w:r w:rsidRPr="00EE41C6">
        <w:rPr>
          <w:rFonts w:ascii="Times New Roman" w:hAnsi="Times New Roman" w:cs="Times New Roman"/>
          <w:vertAlign w:val="subscript"/>
        </w:rPr>
        <w:t>2</w:t>
      </w:r>
      <w:r w:rsidRPr="00EE41C6">
        <w:rPr>
          <w:rFonts w:ascii="Times New Roman" w:hAnsi="Times New Roman" w:cs="Times New Roman"/>
        </w:rPr>
        <w:t xml:space="preserve"> sequestration. Results here represent regional novel CDR deployment by 2100 according to technology type and it is reported in MtCO</w:t>
      </w:r>
      <w:r w:rsidRPr="00EE41C6">
        <w:rPr>
          <w:rFonts w:ascii="Times New Roman" w:hAnsi="Times New Roman" w:cs="Times New Roman"/>
          <w:vertAlign w:val="subscript"/>
        </w:rPr>
        <w:t>2</w:t>
      </w:r>
      <w:r w:rsidRPr="00EE41C6">
        <w:rPr>
          <w:rFonts w:ascii="Times New Roman" w:hAnsi="Times New Roman" w:cs="Times New Roman"/>
        </w:rPr>
        <w:t xml:space="preserve">/yr. Explicit targets for sector decarbonization cut residual emissions faster and significantly, reducing the need for higher deployment of CDR technologies. </w:t>
      </w:r>
      <w:r w:rsidR="004F3DCB" w:rsidRPr="00EE41C6">
        <w:rPr>
          <w:rFonts w:ascii="Times New Roman" w:hAnsi="Times New Roman" w:cs="Times New Roman"/>
        </w:rPr>
        <w:t>Asia has the largest concentration of any CDR approach under both scenarios. By 2100, DACCS would be the main CDR approach in Africa at 205 and 121 million tons per year under CONV and AMB, respectively. Asia’s main CDR strategy by 2100 would be BECCS under CONV (at 3.6 billion tons per year) but DACCS under AMB (at 2.1 billion tons per year). In the case of North America, BECCS would be the main CDR approach by 2100 under both CONV (3.1 billion tons per year) and AMB (1.2 billion tons per year). Just like Africa, the main CDR approach in South America and Europe under both scenarios would be DACCS by 2100.</w:t>
      </w:r>
      <w:r w:rsidR="004138EE" w:rsidRPr="00EE41C6">
        <w:rPr>
          <w:rFonts w:ascii="Times New Roman" w:hAnsi="Times New Roman" w:cs="Times New Roman"/>
        </w:rPr>
        <w:t xml:space="preserve"> ERW: enhanced rock weathering, BECCS: bioenergy with carbon capture and storage, DACCS: direct air capture and carbon storage</w:t>
      </w:r>
    </w:p>
    <w:p w14:paraId="3360E7FF" w14:textId="77777777" w:rsidR="00186553" w:rsidRPr="00EE41C6" w:rsidRDefault="00186553" w:rsidP="00316F95">
      <w:pPr>
        <w:spacing w:line="480" w:lineRule="auto"/>
        <w:ind w:firstLine="288"/>
        <w:jc w:val="center"/>
        <w:rPr>
          <w:rFonts w:ascii="Times New Roman" w:hAnsi="Times New Roman" w:cs="Times New Roman"/>
        </w:rPr>
      </w:pPr>
    </w:p>
    <w:p w14:paraId="23C2E3FF" w14:textId="77777777" w:rsidR="00186553" w:rsidRPr="00EE41C6" w:rsidRDefault="00186553" w:rsidP="00186553">
      <w:pPr>
        <w:spacing w:line="480" w:lineRule="auto"/>
        <w:ind w:firstLine="288"/>
        <w:jc w:val="center"/>
        <w:rPr>
          <w:rFonts w:ascii="Times New Roman" w:hAnsi="Times New Roman" w:cs="Times New Roman"/>
        </w:rPr>
      </w:pPr>
      <w:r w:rsidRPr="00EE41C6">
        <w:rPr>
          <w:rFonts w:ascii="Times New Roman" w:hAnsi="Times New Roman" w:cs="Times New Roman"/>
          <w:noProof/>
        </w:rPr>
        <w:lastRenderedPageBreak/>
        <w:drawing>
          <wp:inline distT="0" distB="0" distL="0" distR="0" wp14:anchorId="62E3ADC9" wp14:editId="538EDD19">
            <wp:extent cx="5244054" cy="3931920"/>
            <wp:effectExtent l="0" t="0" r="0" b="0"/>
            <wp:docPr id="1972222572"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22572" name="Graphic 1972222572"/>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244054" cy="3931920"/>
                    </a:xfrm>
                    <a:prstGeom prst="rect">
                      <a:avLst/>
                    </a:prstGeom>
                  </pic:spPr>
                </pic:pic>
              </a:graphicData>
            </a:graphic>
          </wp:inline>
        </w:drawing>
      </w:r>
    </w:p>
    <w:p w14:paraId="06B18262" w14:textId="7B9ADF2D" w:rsidR="00186553" w:rsidRPr="00EE41C6" w:rsidRDefault="00FC561F" w:rsidP="00FC561F">
      <w:pPr>
        <w:pStyle w:val="Caption"/>
        <w:jc w:val="center"/>
        <w:rPr>
          <w:rFonts w:ascii="Times New Roman" w:hAnsi="Times New Roman" w:cs="Times New Roman"/>
        </w:rPr>
      </w:pPr>
      <w:r w:rsidRPr="00EE41C6">
        <w:t xml:space="preserve">Supplementary Figure </w:t>
      </w:r>
      <w:fldSimple w:instr=" SEQ Supplementary_Figure \* ARABIC ">
        <w:r w:rsidR="00830047" w:rsidRPr="00EE41C6">
          <w:rPr>
            <w:noProof/>
          </w:rPr>
          <w:t>3</w:t>
        </w:r>
      </w:fldSimple>
      <w:r w:rsidRPr="00EE41C6">
        <w:t xml:space="preserve"> </w:t>
      </w:r>
      <w:r w:rsidRPr="00EE41C6">
        <w:rPr>
          <w:rFonts w:ascii="Times New Roman" w:hAnsi="Times New Roman" w:cs="Times New Roman"/>
        </w:rPr>
        <w:t xml:space="preserve">Impact on electricity production. Annual electricity production by technology under CONV and AMB. Due to the requirement of </w:t>
      </w:r>
      <w:r w:rsidR="001E0568" w:rsidRPr="00EE41C6">
        <w:rPr>
          <w:rFonts w:ascii="Times New Roman" w:hAnsi="Times New Roman" w:cs="Times New Roman"/>
        </w:rPr>
        <w:t>zero-emissions</w:t>
      </w:r>
      <w:r w:rsidRPr="00EE41C6">
        <w:rPr>
          <w:rFonts w:ascii="Times New Roman" w:hAnsi="Times New Roman" w:cs="Times New Roman"/>
        </w:rPr>
        <w:t xml:space="preserve"> electricity and transport alongside limited CDR reliance, there is rapid electricity production especially in the near-to-mid-term under AMB compared to SECT. From 2020-2050, the cumulative electricity generation under AMB reaches 430 EJ compared to 398 EJ under CONV. During that period AMB also records rapid electricity generation from cleaner energy </w:t>
      </w:r>
      <w:r w:rsidR="001E0568" w:rsidRPr="00EE41C6">
        <w:rPr>
          <w:rFonts w:ascii="Times New Roman" w:hAnsi="Times New Roman" w:cs="Times New Roman"/>
        </w:rPr>
        <w:t>sources, with a sharp phase-out of carbon-based sources over the long-term. Total electricity generation in the long-term may become higher under CONV, due to the rapid need to quickly decarbonize as a result of its earlier delay in emission reduction. CCS: Carbon capture and storage</w:t>
      </w:r>
    </w:p>
    <w:p w14:paraId="03DBD68F" w14:textId="77777777" w:rsidR="00186553" w:rsidRPr="00EE41C6" w:rsidRDefault="00186553" w:rsidP="00316F95">
      <w:pPr>
        <w:spacing w:line="480" w:lineRule="auto"/>
        <w:ind w:firstLine="288"/>
        <w:jc w:val="center"/>
        <w:rPr>
          <w:rFonts w:ascii="Times New Roman" w:hAnsi="Times New Roman" w:cs="Times New Roman"/>
        </w:rPr>
      </w:pPr>
    </w:p>
    <w:p w14:paraId="180111D9" w14:textId="77777777" w:rsidR="00316F95" w:rsidRPr="00EE41C6" w:rsidRDefault="00316F95" w:rsidP="00316F95">
      <w:pPr>
        <w:spacing w:line="480" w:lineRule="auto"/>
        <w:ind w:firstLine="288"/>
        <w:jc w:val="center"/>
        <w:rPr>
          <w:rFonts w:ascii="Times New Roman" w:hAnsi="Times New Roman" w:cs="Times New Roman"/>
        </w:rPr>
      </w:pPr>
    </w:p>
    <w:p w14:paraId="6C3C2AD6" w14:textId="77777777" w:rsidR="00316F95" w:rsidRPr="00EE41C6" w:rsidRDefault="00316F95" w:rsidP="00316F95">
      <w:pPr>
        <w:spacing w:line="480" w:lineRule="auto"/>
        <w:ind w:firstLine="288"/>
        <w:jc w:val="center"/>
        <w:rPr>
          <w:rFonts w:ascii="Times New Roman" w:hAnsi="Times New Roman" w:cs="Times New Roman"/>
        </w:rPr>
      </w:pPr>
    </w:p>
    <w:p w14:paraId="155F03A1" w14:textId="77777777" w:rsidR="00316F95" w:rsidRPr="00EE41C6" w:rsidRDefault="00316F95" w:rsidP="00316F95">
      <w:pPr>
        <w:spacing w:line="480" w:lineRule="auto"/>
        <w:ind w:firstLine="288"/>
        <w:jc w:val="both"/>
        <w:rPr>
          <w:rFonts w:ascii="Times New Roman" w:hAnsi="Times New Roman" w:cs="Times New Roman"/>
        </w:rPr>
      </w:pPr>
    </w:p>
    <w:p w14:paraId="12D96D3E" w14:textId="2AD6240B" w:rsidR="00DB5630" w:rsidRPr="00EE41C6" w:rsidRDefault="00BB7337" w:rsidP="002676AD">
      <w:pPr>
        <w:spacing w:line="480" w:lineRule="auto"/>
        <w:ind w:firstLine="288"/>
        <w:jc w:val="center"/>
        <w:rPr>
          <w:rFonts w:ascii="Times New Roman" w:hAnsi="Times New Roman" w:cs="Times New Roman"/>
        </w:rPr>
      </w:pPr>
      <w:r w:rsidRPr="00EE41C6">
        <w:rPr>
          <w:rFonts w:ascii="Times New Roman" w:hAnsi="Times New Roman" w:cs="Times New Roman"/>
          <w:noProof/>
        </w:rPr>
        <w:lastRenderedPageBreak/>
        <w:drawing>
          <wp:inline distT="0" distB="0" distL="0" distR="0" wp14:anchorId="74318944" wp14:editId="35457CAC">
            <wp:extent cx="5705475" cy="4461510"/>
            <wp:effectExtent l="0" t="0" r="9525" b="0"/>
            <wp:docPr id="3113667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66705" name="Picture 311366705"/>
                    <pic:cNvPicPr/>
                  </pic:nvPicPr>
                  <pic:blipFill rotWithShape="1">
                    <a:blip r:embed="rId16">
                      <a:extLst>
                        <a:ext uri="{28A0092B-C50C-407E-A947-70E740481C1C}">
                          <a14:useLocalDpi xmlns:a14="http://schemas.microsoft.com/office/drawing/2010/main" val="0"/>
                        </a:ext>
                      </a:extLst>
                    </a:blip>
                    <a:srcRect l="1602" r="2405"/>
                    <a:stretch/>
                  </pic:blipFill>
                  <pic:spPr bwMode="auto">
                    <a:xfrm>
                      <a:off x="0" y="0"/>
                      <a:ext cx="5705475" cy="4461510"/>
                    </a:xfrm>
                    <a:prstGeom prst="rect">
                      <a:avLst/>
                    </a:prstGeom>
                    <a:ln>
                      <a:noFill/>
                    </a:ln>
                    <a:extLst>
                      <a:ext uri="{53640926-AAD7-44D8-BBD7-CCE9431645EC}">
                        <a14:shadowObscured xmlns:a14="http://schemas.microsoft.com/office/drawing/2010/main"/>
                      </a:ext>
                    </a:extLst>
                  </pic:spPr>
                </pic:pic>
              </a:graphicData>
            </a:graphic>
          </wp:inline>
        </w:drawing>
      </w:r>
    </w:p>
    <w:p w14:paraId="116D0D82" w14:textId="52073DC5" w:rsidR="00DB5630" w:rsidRPr="00EE41C6" w:rsidRDefault="001E0568" w:rsidP="00A86AD1">
      <w:pPr>
        <w:pStyle w:val="Caption"/>
        <w:jc w:val="center"/>
        <w:rPr>
          <w:rFonts w:ascii="Times New Roman" w:hAnsi="Times New Roman" w:cs="Times New Roman"/>
        </w:rPr>
      </w:pPr>
      <w:r w:rsidRPr="00EE41C6">
        <w:t xml:space="preserve">Supplementary Figure </w:t>
      </w:r>
      <w:fldSimple w:instr=" SEQ Supplementary_Figure \* ARABIC ">
        <w:r w:rsidR="00830047" w:rsidRPr="00EE41C6">
          <w:rPr>
            <w:noProof/>
          </w:rPr>
          <w:t>4</w:t>
        </w:r>
      </w:fldSimple>
      <w:r w:rsidR="00282E3E" w:rsidRPr="00EE41C6">
        <w:t xml:space="preserve">. </w:t>
      </w:r>
      <w:r w:rsidR="00282E3E" w:rsidRPr="00EE41C6">
        <w:rPr>
          <w:rFonts w:ascii="Times New Roman" w:hAnsi="Times New Roman" w:cs="Times New Roman"/>
        </w:rPr>
        <w:t>Impact on regional electricity production. Results represent the percentage change in regional electricity production by 2050 relative to 2010 levels (%). AMB leads to higher electricity production compared to CONV. Africa’s growth in electricity production would be the most obvious under both pathways, due to the expected population and economic growth in the region compared to historical growth rates. Under both pathways, higher electricity growth rates are recorded under AMB for all regions compared to growth rates under CONV. For comparison</w:t>
      </w:r>
      <w:r w:rsidR="00A86AD1" w:rsidRPr="00EE41C6">
        <w:rPr>
          <w:rFonts w:ascii="Times New Roman" w:hAnsi="Times New Roman" w:cs="Times New Roman"/>
        </w:rPr>
        <w:t>,</w:t>
      </w:r>
      <w:r w:rsidR="00282E3E" w:rsidRPr="00EE41C6">
        <w:rPr>
          <w:rFonts w:ascii="Times New Roman" w:hAnsi="Times New Roman" w:cs="Times New Roman"/>
        </w:rPr>
        <w:t xml:space="preserve"> the average growth rates in the regions are, Africa: AMB (2620%) and CONV (2255%), Asia: AMB (610%) and CONV (475%), America: AMB (360%) and CONV (280%), Europe: </w:t>
      </w:r>
      <w:r w:rsidR="00A86AD1" w:rsidRPr="00EE41C6">
        <w:rPr>
          <w:rFonts w:ascii="Times New Roman" w:hAnsi="Times New Roman" w:cs="Times New Roman"/>
        </w:rPr>
        <w:t>AMB (184%) and CONV (137%)</w:t>
      </w:r>
    </w:p>
    <w:p w14:paraId="1A936B91" w14:textId="77777777" w:rsidR="00683EC7" w:rsidRPr="00EE41C6" w:rsidRDefault="00683EC7" w:rsidP="002676AD">
      <w:pPr>
        <w:spacing w:line="480" w:lineRule="auto"/>
        <w:ind w:firstLine="288"/>
        <w:jc w:val="center"/>
        <w:rPr>
          <w:rFonts w:ascii="Times New Roman" w:hAnsi="Times New Roman" w:cs="Times New Roman"/>
        </w:rPr>
      </w:pPr>
    </w:p>
    <w:p w14:paraId="20218F3E" w14:textId="77777777" w:rsidR="00683EC7" w:rsidRPr="00EE41C6" w:rsidRDefault="00683EC7" w:rsidP="002676AD">
      <w:pPr>
        <w:spacing w:line="480" w:lineRule="auto"/>
        <w:ind w:firstLine="288"/>
        <w:jc w:val="center"/>
        <w:rPr>
          <w:rFonts w:ascii="Times New Roman" w:hAnsi="Times New Roman" w:cs="Times New Roman"/>
        </w:rPr>
      </w:pPr>
    </w:p>
    <w:p w14:paraId="68653643" w14:textId="77777777" w:rsidR="00683EC7" w:rsidRPr="00EE41C6" w:rsidRDefault="00683EC7" w:rsidP="002676AD">
      <w:pPr>
        <w:spacing w:line="480" w:lineRule="auto"/>
        <w:ind w:firstLine="288"/>
        <w:jc w:val="center"/>
        <w:rPr>
          <w:rFonts w:ascii="Times New Roman" w:hAnsi="Times New Roman" w:cs="Times New Roman"/>
        </w:rPr>
      </w:pPr>
    </w:p>
    <w:p w14:paraId="585A4DC7" w14:textId="77777777" w:rsidR="00683EC7" w:rsidRPr="00EE41C6" w:rsidRDefault="00683EC7" w:rsidP="002676AD">
      <w:pPr>
        <w:spacing w:line="480" w:lineRule="auto"/>
        <w:ind w:firstLine="288"/>
        <w:jc w:val="center"/>
        <w:rPr>
          <w:rFonts w:ascii="Times New Roman" w:hAnsi="Times New Roman" w:cs="Times New Roman"/>
        </w:rPr>
      </w:pPr>
    </w:p>
    <w:p w14:paraId="231656CE" w14:textId="77777777" w:rsidR="00683EC7" w:rsidRPr="00EE41C6" w:rsidRDefault="00683EC7" w:rsidP="00683EC7">
      <w:pPr>
        <w:spacing w:line="480" w:lineRule="auto"/>
        <w:ind w:firstLine="288"/>
        <w:jc w:val="center"/>
        <w:rPr>
          <w:rFonts w:ascii="Times New Roman" w:hAnsi="Times New Roman" w:cs="Times New Roman"/>
        </w:rPr>
      </w:pPr>
      <w:r w:rsidRPr="00EE41C6">
        <w:rPr>
          <w:rFonts w:ascii="Times New Roman" w:hAnsi="Times New Roman" w:cs="Times New Roman"/>
          <w:noProof/>
        </w:rPr>
        <w:lastRenderedPageBreak/>
        <w:drawing>
          <wp:inline distT="0" distB="0" distL="0" distR="0" wp14:anchorId="2801C352" wp14:editId="66AEDC81">
            <wp:extent cx="5244054" cy="3931920"/>
            <wp:effectExtent l="0" t="0" r="0" b="0"/>
            <wp:docPr id="203068449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84496" name="Graphic 2030684496"/>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244054" cy="3931920"/>
                    </a:xfrm>
                    <a:prstGeom prst="rect">
                      <a:avLst/>
                    </a:prstGeom>
                  </pic:spPr>
                </pic:pic>
              </a:graphicData>
            </a:graphic>
          </wp:inline>
        </w:drawing>
      </w:r>
    </w:p>
    <w:p w14:paraId="69EA725D" w14:textId="47C5E9B9" w:rsidR="004A5550" w:rsidRPr="00EE41C6" w:rsidRDefault="005D7736" w:rsidP="004A5550">
      <w:pPr>
        <w:pStyle w:val="Caption"/>
        <w:jc w:val="center"/>
      </w:pPr>
      <w:r w:rsidRPr="00EE41C6">
        <w:t xml:space="preserve">Supplementary Figure </w:t>
      </w:r>
      <w:fldSimple w:instr=" SEQ Supplementary_Figure \* ARABIC ">
        <w:r w:rsidR="00830047" w:rsidRPr="00EE41C6">
          <w:rPr>
            <w:noProof/>
          </w:rPr>
          <w:t>5</w:t>
        </w:r>
      </w:fldSimple>
      <w:r w:rsidRPr="00EE41C6">
        <w:t xml:space="preserve"> </w:t>
      </w:r>
      <w:r w:rsidR="002E542D" w:rsidRPr="00EE41C6">
        <w:rPr>
          <w:rFonts w:ascii="Times New Roman" w:hAnsi="Times New Roman" w:cs="Times New Roman"/>
        </w:rPr>
        <w:t xml:space="preserve">Impact on global end-use sector fuel consumption. </w:t>
      </w:r>
      <w:r w:rsidR="004A5550" w:rsidRPr="00EE41C6">
        <w:rPr>
          <w:rFonts w:ascii="Times New Roman" w:hAnsi="Times New Roman" w:cs="Times New Roman"/>
        </w:rPr>
        <w:t>Higher phase-down of fossil fuels, especially in the transport sector, leads to an overall decrease in final energy demand under the AMB scenario. "CDR" represents the natural gas and electricity used by DACCS to remove CO</w:t>
      </w:r>
      <w:r w:rsidR="004A5550" w:rsidRPr="00EE41C6">
        <w:rPr>
          <w:rFonts w:ascii="Times New Roman" w:hAnsi="Times New Roman" w:cs="Times New Roman"/>
          <w:vertAlign w:val="subscript"/>
        </w:rPr>
        <w:t>2</w:t>
      </w:r>
      <w:r w:rsidR="004A5550" w:rsidRPr="00EE41C6">
        <w:rPr>
          <w:rFonts w:ascii="Times New Roman" w:hAnsi="Times New Roman" w:cs="Times New Roman"/>
        </w:rPr>
        <w:t>. DACCS' role becomes more significant towards mid-century, with no noticeable energy consumption for CO</w:t>
      </w:r>
      <w:r w:rsidR="004A5550" w:rsidRPr="00EE41C6">
        <w:rPr>
          <w:rFonts w:ascii="Times New Roman" w:hAnsi="Times New Roman" w:cs="Times New Roman"/>
          <w:vertAlign w:val="subscript"/>
        </w:rPr>
        <w:t>2</w:t>
      </w:r>
      <w:r w:rsidR="004A5550" w:rsidRPr="00EE41C6">
        <w:rPr>
          <w:rFonts w:ascii="Times New Roman" w:hAnsi="Times New Roman" w:cs="Times New Roman"/>
        </w:rPr>
        <w:t xml:space="preserve"> removal in the earlier years. Higher DACCS expectations under the CONV scenario result in greater energy demands for CDR compared to the AMB scenario. Without explicit targets for the building and industry sectors, the differences in fuel consumption patterns between CONV and AMB are less pronounced. However, in the transport sector, the AMB scenario achieves full decarbonization by mid-century, with hydrogen and electricity playing significant roles in heavy-duty (shipping and aviation) and light-duty vehicles, respectively. This contrasts with the CONV scenario, where refined liquids (oil and biofuel) reduce the roles of hydrogen and electricity in transport.</w:t>
      </w:r>
    </w:p>
    <w:p w14:paraId="065E7479" w14:textId="77777777" w:rsidR="00683EC7" w:rsidRPr="00EE41C6" w:rsidRDefault="00683EC7" w:rsidP="00683EC7">
      <w:pPr>
        <w:spacing w:line="480" w:lineRule="auto"/>
        <w:ind w:firstLine="288"/>
        <w:jc w:val="center"/>
        <w:rPr>
          <w:rFonts w:ascii="Times New Roman" w:hAnsi="Times New Roman" w:cs="Times New Roman"/>
        </w:rPr>
      </w:pPr>
    </w:p>
    <w:p w14:paraId="4DFE888D" w14:textId="77777777" w:rsidR="00683EC7" w:rsidRPr="00EE41C6" w:rsidRDefault="00683EC7" w:rsidP="00683EC7">
      <w:pPr>
        <w:spacing w:line="480" w:lineRule="auto"/>
        <w:ind w:firstLine="288"/>
        <w:jc w:val="center"/>
        <w:rPr>
          <w:rFonts w:ascii="Times New Roman" w:hAnsi="Times New Roman" w:cs="Times New Roman"/>
        </w:rPr>
      </w:pPr>
    </w:p>
    <w:p w14:paraId="22152109" w14:textId="77777777" w:rsidR="00683EC7" w:rsidRPr="00EE41C6" w:rsidRDefault="00683EC7" w:rsidP="00683EC7">
      <w:pPr>
        <w:spacing w:line="480" w:lineRule="auto"/>
        <w:ind w:firstLine="288"/>
        <w:jc w:val="center"/>
        <w:rPr>
          <w:rFonts w:ascii="Times New Roman" w:hAnsi="Times New Roman" w:cs="Times New Roman"/>
        </w:rPr>
      </w:pPr>
    </w:p>
    <w:p w14:paraId="04B14001" w14:textId="77777777" w:rsidR="00683EC7" w:rsidRPr="00EE41C6" w:rsidRDefault="00683EC7" w:rsidP="00683EC7">
      <w:pPr>
        <w:spacing w:line="480" w:lineRule="auto"/>
        <w:ind w:firstLine="288"/>
        <w:jc w:val="center"/>
        <w:rPr>
          <w:rFonts w:ascii="Times New Roman" w:hAnsi="Times New Roman" w:cs="Times New Roman"/>
        </w:rPr>
      </w:pPr>
    </w:p>
    <w:p w14:paraId="22F79917" w14:textId="77777777" w:rsidR="00683EC7" w:rsidRPr="00EE41C6" w:rsidRDefault="00683EC7" w:rsidP="00683EC7">
      <w:pPr>
        <w:spacing w:line="480" w:lineRule="auto"/>
        <w:ind w:firstLine="288"/>
        <w:jc w:val="center"/>
        <w:rPr>
          <w:rFonts w:ascii="Times New Roman" w:hAnsi="Times New Roman" w:cs="Times New Roman"/>
        </w:rPr>
      </w:pPr>
    </w:p>
    <w:p w14:paraId="4FAE0EEC" w14:textId="77777777" w:rsidR="00683EC7" w:rsidRPr="00EE41C6" w:rsidRDefault="00683EC7" w:rsidP="002676AD">
      <w:pPr>
        <w:spacing w:line="480" w:lineRule="auto"/>
        <w:ind w:firstLine="288"/>
        <w:jc w:val="center"/>
        <w:rPr>
          <w:rFonts w:ascii="Times New Roman" w:hAnsi="Times New Roman" w:cs="Times New Roman"/>
        </w:rPr>
      </w:pPr>
    </w:p>
    <w:p w14:paraId="04320C15" w14:textId="77777777" w:rsidR="00683EC7" w:rsidRPr="00EE41C6" w:rsidRDefault="00683EC7" w:rsidP="0056387E">
      <w:pPr>
        <w:spacing w:after="0" w:line="240" w:lineRule="auto"/>
        <w:ind w:firstLine="288"/>
        <w:jc w:val="center"/>
        <w:rPr>
          <w:rFonts w:ascii="Times New Roman" w:hAnsi="Times New Roman" w:cs="Times New Roman"/>
        </w:rPr>
      </w:pPr>
      <w:r w:rsidRPr="00EE41C6">
        <w:rPr>
          <w:rFonts w:ascii="Times New Roman" w:hAnsi="Times New Roman" w:cs="Times New Roman"/>
          <w:noProof/>
        </w:rPr>
        <w:lastRenderedPageBreak/>
        <w:drawing>
          <wp:inline distT="0" distB="0" distL="0" distR="0" wp14:anchorId="389EE2C9" wp14:editId="426EFE2E">
            <wp:extent cx="5943600" cy="1295400"/>
            <wp:effectExtent l="0" t="0" r="0" b="0"/>
            <wp:docPr id="13324512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51234" name="Picture 1332451234"/>
                    <pic:cNvPicPr/>
                  </pic:nvPicPr>
                  <pic:blipFill rotWithShape="1">
                    <a:blip r:embed="rId19">
                      <a:extLst>
                        <a:ext uri="{28A0092B-C50C-407E-A947-70E740481C1C}">
                          <a14:useLocalDpi xmlns:a14="http://schemas.microsoft.com/office/drawing/2010/main" val="0"/>
                        </a:ext>
                      </a:extLst>
                    </a:blip>
                    <a:srcRect t="35440" b="35525"/>
                    <a:stretch/>
                  </pic:blipFill>
                  <pic:spPr bwMode="auto">
                    <a:xfrm>
                      <a:off x="0" y="0"/>
                      <a:ext cx="5943600" cy="1295400"/>
                    </a:xfrm>
                    <a:prstGeom prst="rect">
                      <a:avLst/>
                    </a:prstGeom>
                    <a:ln>
                      <a:noFill/>
                    </a:ln>
                    <a:extLst>
                      <a:ext uri="{53640926-AAD7-44D8-BBD7-CCE9431645EC}">
                        <a14:shadowObscured xmlns:a14="http://schemas.microsoft.com/office/drawing/2010/main"/>
                      </a:ext>
                    </a:extLst>
                  </pic:spPr>
                </pic:pic>
              </a:graphicData>
            </a:graphic>
          </wp:inline>
        </w:drawing>
      </w:r>
    </w:p>
    <w:p w14:paraId="0F062766" w14:textId="77777777" w:rsidR="00683EC7" w:rsidRPr="00EE41C6" w:rsidRDefault="00683EC7" w:rsidP="00683EC7">
      <w:pPr>
        <w:spacing w:line="480" w:lineRule="auto"/>
        <w:ind w:firstLine="288"/>
        <w:jc w:val="center"/>
        <w:rPr>
          <w:rFonts w:ascii="Times New Roman" w:hAnsi="Times New Roman" w:cs="Times New Roman"/>
        </w:rPr>
      </w:pPr>
      <w:r w:rsidRPr="00EE41C6">
        <w:rPr>
          <w:rFonts w:ascii="Times New Roman" w:hAnsi="Times New Roman" w:cs="Times New Roman"/>
          <w:noProof/>
        </w:rPr>
        <w:drawing>
          <wp:inline distT="0" distB="0" distL="0" distR="0" wp14:anchorId="3719F74A" wp14:editId="7A309DC8">
            <wp:extent cx="5943600" cy="1285875"/>
            <wp:effectExtent l="0" t="0" r="0" b="9525"/>
            <wp:docPr id="26008409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84096" name="Picture 260084096"/>
                    <pic:cNvPicPr/>
                  </pic:nvPicPr>
                  <pic:blipFill rotWithShape="1">
                    <a:blip r:embed="rId20">
                      <a:extLst>
                        <a:ext uri="{28A0092B-C50C-407E-A947-70E740481C1C}">
                          <a14:useLocalDpi xmlns:a14="http://schemas.microsoft.com/office/drawing/2010/main" val="0"/>
                        </a:ext>
                      </a:extLst>
                    </a:blip>
                    <a:srcRect t="35440" b="35739"/>
                    <a:stretch/>
                  </pic:blipFill>
                  <pic:spPr bwMode="auto">
                    <a:xfrm>
                      <a:off x="0" y="0"/>
                      <a:ext cx="5943600" cy="1285875"/>
                    </a:xfrm>
                    <a:prstGeom prst="rect">
                      <a:avLst/>
                    </a:prstGeom>
                    <a:ln>
                      <a:noFill/>
                    </a:ln>
                    <a:extLst>
                      <a:ext uri="{53640926-AAD7-44D8-BBD7-CCE9431645EC}">
                        <a14:shadowObscured xmlns:a14="http://schemas.microsoft.com/office/drawing/2010/main"/>
                      </a:ext>
                    </a:extLst>
                  </pic:spPr>
                </pic:pic>
              </a:graphicData>
            </a:graphic>
          </wp:inline>
        </w:drawing>
      </w:r>
    </w:p>
    <w:p w14:paraId="56C2E3C7" w14:textId="48676D1D" w:rsidR="00344A7A" w:rsidRPr="00EE41C6" w:rsidRDefault="00DB5A1D" w:rsidP="00344A7A">
      <w:pPr>
        <w:pStyle w:val="Caption"/>
        <w:jc w:val="center"/>
        <w:rPr>
          <w:rFonts w:ascii="Times New Roman" w:hAnsi="Times New Roman" w:cs="Times New Roman"/>
        </w:rPr>
      </w:pPr>
      <w:r w:rsidRPr="00EE41C6">
        <w:t xml:space="preserve">Supplementary Figure </w:t>
      </w:r>
      <w:fldSimple w:instr=" SEQ Supplementary_Figure \* ARABIC ">
        <w:r w:rsidR="00830047" w:rsidRPr="00EE41C6">
          <w:rPr>
            <w:noProof/>
          </w:rPr>
          <w:t>6</w:t>
        </w:r>
      </w:fldSimple>
      <w:r w:rsidRPr="00EE41C6">
        <w:t xml:space="preserve"> </w:t>
      </w:r>
      <w:r w:rsidR="00683EC7" w:rsidRPr="00EE41C6">
        <w:rPr>
          <w:rFonts w:ascii="Times New Roman" w:hAnsi="Times New Roman" w:cs="Times New Roman"/>
        </w:rPr>
        <w:t>Regional change in carbon-based (coal, biomass, oil, gas) and electricity in end-use sectors between 2010-2050 (%)</w:t>
      </w:r>
      <w:r w:rsidRPr="00EE41C6">
        <w:rPr>
          <w:rFonts w:ascii="Times New Roman" w:hAnsi="Times New Roman" w:cs="Times New Roman"/>
        </w:rPr>
        <w:t>.</w:t>
      </w:r>
      <w:r w:rsidR="0098428B" w:rsidRPr="00EE41C6">
        <w:rPr>
          <w:rFonts w:ascii="Times New Roman" w:hAnsi="Times New Roman" w:cs="Times New Roman"/>
        </w:rPr>
        <w:t xml:space="preserve"> Regions such as Western Africa, India, Indonesia, Eastern Africa, Southern Africa, and Pakistan experience positive growth rates during this period under both pathways. For example, under the CONV pathway, India's growth rate reaches 80% and Indonesia's 63%, compared to 47% and 21% under the AMB pathway, respectively. South America-Northern records the highest reduction rates, with -81% under AMB compared to 65% under CONV. For major emitters such as the US, China, EU-12, and EU-15, growth rates under CONV are -28%, 3%, 30%, and 40%, compared to 57%, 32%, 55%, and 64% under AMB, respectively. </w:t>
      </w:r>
      <w:r w:rsidR="00344A7A" w:rsidRPr="00EE41C6">
        <w:rPr>
          <w:rFonts w:ascii="Times New Roman" w:hAnsi="Times New Roman" w:cs="Times New Roman"/>
        </w:rPr>
        <w:t>For electrification, all countries record positive growth rates between 2010-2050 due to the increasing need to cut emissions globally. The largest growth rates are projected in Global South countries with historically lower electricity access, particularly in Africa, South Asia, India, Indonesia, and Pakistan. This trend is more pronounced under the AMB scenario. For example, under AMB, the average growth rate for Global South countries is 1054%, compared to 907% under CONV. Similarly, during the same period, Global North countries under AMB are expected to record average growth rates of 148%, compared to 113% under CONV</w:t>
      </w:r>
    </w:p>
    <w:p w14:paraId="54A91419" w14:textId="77777777" w:rsidR="00683EC7" w:rsidRPr="00EE41C6" w:rsidRDefault="00683EC7" w:rsidP="00683EC7">
      <w:pPr>
        <w:spacing w:line="480" w:lineRule="auto"/>
        <w:ind w:firstLine="288"/>
        <w:jc w:val="center"/>
        <w:rPr>
          <w:rFonts w:ascii="Times New Roman" w:hAnsi="Times New Roman" w:cs="Times New Roman"/>
        </w:rPr>
      </w:pPr>
    </w:p>
    <w:p w14:paraId="1DDF0BD5" w14:textId="77777777" w:rsidR="00683EC7" w:rsidRPr="00EE41C6" w:rsidRDefault="00683EC7" w:rsidP="00683EC7">
      <w:pPr>
        <w:spacing w:line="480" w:lineRule="auto"/>
        <w:ind w:firstLine="288"/>
        <w:jc w:val="center"/>
        <w:rPr>
          <w:rFonts w:ascii="Times New Roman" w:hAnsi="Times New Roman" w:cs="Times New Roman"/>
        </w:rPr>
      </w:pPr>
    </w:p>
    <w:p w14:paraId="3BAE1F95" w14:textId="77777777" w:rsidR="00683EC7" w:rsidRPr="00EE41C6" w:rsidRDefault="00683EC7" w:rsidP="00683EC7">
      <w:pPr>
        <w:spacing w:line="480" w:lineRule="auto"/>
        <w:ind w:firstLine="288"/>
        <w:jc w:val="center"/>
        <w:rPr>
          <w:rFonts w:ascii="Times New Roman" w:hAnsi="Times New Roman" w:cs="Times New Roman"/>
        </w:rPr>
      </w:pPr>
      <w:r w:rsidRPr="00EE41C6">
        <w:rPr>
          <w:rFonts w:ascii="Times New Roman" w:hAnsi="Times New Roman" w:cs="Times New Roman"/>
          <w:noProof/>
        </w:rPr>
        <w:lastRenderedPageBreak/>
        <w:drawing>
          <wp:inline distT="0" distB="0" distL="0" distR="0" wp14:anchorId="38EA6FA5" wp14:editId="14C9EEE0">
            <wp:extent cx="5244053" cy="3931920"/>
            <wp:effectExtent l="0" t="0" r="0" b="0"/>
            <wp:docPr id="1796812071"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12071" name="Graphic 179681207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244053" cy="3931920"/>
                    </a:xfrm>
                    <a:prstGeom prst="rect">
                      <a:avLst/>
                    </a:prstGeom>
                  </pic:spPr>
                </pic:pic>
              </a:graphicData>
            </a:graphic>
          </wp:inline>
        </w:drawing>
      </w:r>
    </w:p>
    <w:p w14:paraId="21FE6EB9" w14:textId="27E3CCDC" w:rsidR="00683EC7" w:rsidRPr="00EE41C6" w:rsidRDefault="00A85BBE" w:rsidP="00A85BBE">
      <w:pPr>
        <w:pStyle w:val="Caption"/>
        <w:jc w:val="center"/>
        <w:rPr>
          <w:rFonts w:ascii="Times New Roman" w:hAnsi="Times New Roman" w:cs="Times New Roman"/>
        </w:rPr>
      </w:pPr>
      <w:r w:rsidRPr="00EE41C6">
        <w:t xml:space="preserve">Supplementary Figure </w:t>
      </w:r>
      <w:fldSimple w:instr=" SEQ Supplementary_Figure \* ARABIC ">
        <w:r w:rsidR="00830047" w:rsidRPr="00EE41C6">
          <w:rPr>
            <w:noProof/>
          </w:rPr>
          <w:t>7</w:t>
        </w:r>
      </w:fldSimple>
      <w:r w:rsidRPr="00EE41C6">
        <w:t xml:space="preserve"> Impact on </w:t>
      </w:r>
      <w:r w:rsidRPr="00EE41C6">
        <w:rPr>
          <w:rFonts w:ascii="Times New Roman" w:hAnsi="Times New Roman" w:cs="Times New Roman"/>
        </w:rPr>
        <w:t>h</w:t>
      </w:r>
      <w:r w:rsidR="00683EC7" w:rsidRPr="00EE41C6">
        <w:rPr>
          <w:rFonts w:ascii="Times New Roman" w:hAnsi="Times New Roman" w:cs="Times New Roman"/>
        </w:rPr>
        <w:t>ydrogen production by tech</w:t>
      </w:r>
      <w:r w:rsidRPr="00EE41C6">
        <w:rPr>
          <w:rFonts w:ascii="Times New Roman" w:hAnsi="Times New Roman" w:cs="Times New Roman"/>
        </w:rPr>
        <w:t>nology. Pursuing a carbon-free transport sector by 2050 with limited reliance on CDR would significantly increase hydrogen demand and production. The results indicate that from 2020 to 2100, the AMB pathway would record a cumulative hydrogen production of 2917 EJ compared to 2240 EJ under the CONV pathway. Due to the large-scale hydrogen requirements under AMB, more cost-effective technologies are sourced to reduce overall policy costs. Consequently, while AMB involves a rapid phase-down of fossil fuels across the entire energy sector, it still relies more on fossil-based hydrogen production compared to CONV. For example, under AMB, fossil-based and electrolysis hydrogen production shares reach an annual average of 48% and 32% from 2020 to 2100, respectively, compared to 36% and 37% under CONV.</w:t>
      </w:r>
    </w:p>
    <w:p w14:paraId="14A445E6" w14:textId="77777777" w:rsidR="00B84D40" w:rsidRPr="00EE41C6" w:rsidRDefault="00B84D40" w:rsidP="00B84D40"/>
    <w:p w14:paraId="71475E8B" w14:textId="77777777" w:rsidR="00B84D40" w:rsidRPr="00EE41C6" w:rsidRDefault="00B84D40" w:rsidP="00B84D40"/>
    <w:p w14:paraId="3D0291AD" w14:textId="77777777" w:rsidR="00B84D40" w:rsidRPr="00EE41C6" w:rsidRDefault="00B84D40" w:rsidP="00B84D40"/>
    <w:p w14:paraId="31E638D0" w14:textId="77777777" w:rsidR="00B84D40" w:rsidRPr="00EE41C6" w:rsidRDefault="00B84D40" w:rsidP="00B84D40"/>
    <w:p w14:paraId="6E6DFB8C" w14:textId="77777777" w:rsidR="00B84D40" w:rsidRPr="00EE41C6" w:rsidRDefault="00B84D40" w:rsidP="00B84D40"/>
    <w:p w14:paraId="2A643B64" w14:textId="77777777" w:rsidR="00B84D40" w:rsidRPr="00EE41C6" w:rsidRDefault="00B84D40" w:rsidP="00B84D40"/>
    <w:p w14:paraId="50AF3EFB" w14:textId="436F32EB" w:rsidR="00D04B28" w:rsidRPr="00EE41C6" w:rsidRDefault="00D04B28" w:rsidP="00DD1C1C">
      <w:pPr>
        <w:spacing w:line="240" w:lineRule="auto"/>
        <w:ind w:firstLine="288"/>
        <w:jc w:val="center"/>
        <w:rPr>
          <w:rFonts w:ascii="Times New Roman" w:hAnsi="Times New Roman" w:cs="Times New Roman"/>
        </w:rPr>
      </w:pPr>
    </w:p>
    <w:p w14:paraId="2BE94BE6" w14:textId="5582BCD4" w:rsidR="00DD1C1C" w:rsidRPr="00EE41C6" w:rsidRDefault="00D20CFF" w:rsidP="00D04B28">
      <w:pPr>
        <w:spacing w:line="480" w:lineRule="auto"/>
        <w:ind w:firstLine="288"/>
        <w:jc w:val="center"/>
        <w:rPr>
          <w:rFonts w:ascii="Times New Roman" w:hAnsi="Times New Roman" w:cs="Times New Roman"/>
        </w:rPr>
      </w:pPr>
      <w:r w:rsidRPr="00EE41C6">
        <w:rPr>
          <w:rFonts w:ascii="Times New Roman" w:hAnsi="Times New Roman" w:cs="Times New Roman"/>
          <w:noProof/>
        </w:rPr>
        <w:lastRenderedPageBreak/>
        <w:drawing>
          <wp:inline distT="0" distB="0" distL="0" distR="0" wp14:anchorId="1392ED41" wp14:editId="6A58F9AF">
            <wp:extent cx="5610225" cy="4461510"/>
            <wp:effectExtent l="0" t="0" r="9525" b="0"/>
            <wp:docPr id="2027955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5518" name="Picture 202795518"/>
                    <pic:cNvPicPr/>
                  </pic:nvPicPr>
                  <pic:blipFill rotWithShape="1">
                    <a:blip r:embed="rId23">
                      <a:extLst>
                        <a:ext uri="{28A0092B-C50C-407E-A947-70E740481C1C}">
                          <a14:useLocalDpi xmlns:a14="http://schemas.microsoft.com/office/drawing/2010/main" val="0"/>
                        </a:ext>
                      </a:extLst>
                    </a:blip>
                    <a:srcRect l="2565" r="3044"/>
                    <a:stretch/>
                  </pic:blipFill>
                  <pic:spPr bwMode="auto">
                    <a:xfrm>
                      <a:off x="0" y="0"/>
                      <a:ext cx="5610225" cy="4461510"/>
                    </a:xfrm>
                    <a:prstGeom prst="rect">
                      <a:avLst/>
                    </a:prstGeom>
                    <a:ln>
                      <a:noFill/>
                    </a:ln>
                    <a:extLst>
                      <a:ext uri="{53640926-AAD7-44D8-BBD7-CCE9431645EC}">
                        <a14:shadowObscured xmlns:a14="http://schemas.microsoft.com/office/drawing/2010/main"/>
                      </a:ext>
                    </a:extLst>
                  </pic:spPr>
                </pic:pic>
              </a:graphicData>
            </a:graphic>
          </wp:inline>
        </w:drawing>
      </w:r>
    </w:p>
    <w:p w14:paraId="6E0FFA8C" w14:textId="340A36C0" w:rsidR="00D04B28" w:rsidRPr="00EE41C6" w:rsidRDefault="002524B1" w:rsidP="002524B1">
      <w:pPr>
        <w:pStyle w:val="Caption"/>
        <w:jc w:val="center"/>
        <w:rPr>
          <w:rFonts w:ascii="Times New Roman" w:hAnsi="Times New Roman" w:cs="Times New Roman"/>
        </w:rPr>
      </w:pPr>
      <w:r w:rsidRPr="00EE41C6">
        <w:t xml:space="preserve">Supplementary Figure </w:t>
      </w:r>
      <w:fldSimple w:instr=" SEQ Supplementary_Figure \* ARABIC ">
        <w:r w:rsidR="00830047" w:rsidRPr="00EE41C6">
          <w:rPr>
            <w:noProof/>
          </w:rPr>
          <w:t>8</w:t>
        </w:r>
      </w:fldSimple>
      <w:r w:rsidRPr="00EE41C6">
        <w:t xml:space="preserve"> </w:t>
      </w:r>
      <w:r w:rsidR="00D20CFF" w:rsidRPr="00EE41C6">
        <w:rPr>
          <w:rFonts w:ascii="Times New Roman" w:hAnsi="Times New Roman" w:cs="Times New Roman"/>
        </w:rPr>
        <w:t xml:space="preserve">Impact on primary energy supply. </w:t>
      </w:r>
      <w:r w:rsidR="00B84D40" w:rsidRPr="00EE41C6">
        <w:rPr>
          <w:rFonts w:ascii="Times New Roman" w:hAnsi="Times New Roman" w:cs="Times New Roman"/>
        </w:rPr>
        <w:t xml:space="preserve">% change </w:t>
      </w:r>
      <w:r w:rsidR="00D20CFF" w:rsidRPr="00EE41C6">
        <w:rPr>
          <w:rFonts w:ascii="Times New Roman" w:hAnsi="Times New Roman" w:cs="Times New Roman"/>
        </w:rPr>
        <w:t>in fossil fuel consumption</w:t>
      </w:r>
      <w:r w:rsidR="00D04B28" w:rsidRPr="00EE41C6">
        <w:rPr>
          <w:rFonts w:ascii="Times New Roman" w:hAnsi="Times New Roman" w:cs="Times New Roman"/>
        </w:rPr>
        <w:t xml:space="preserve"> by region </w:t>
      </w:r>
      <w:r w:rsidR="00D20CFF" w:rsidRPr="00EE41C6">
        <w:rPr>
          <w:rFonts w:ascii="Times New Roman" w:hAnsi="Times New Roman" w:cs="Times New Roman"/>
        </w:rPr>
        <w:t xml:space="preserve">from </w:t>
      </w:r>
      <w:r w:rsidR="00B84D40" w:rsidRPr="00EE41C6">
        <w:rPr>
          <w:rFonts w:ascii="Times New Roman" w:hAnsi="Times New Roman" w:cs="Times New Roman"/>
        </w:rPr>
        <w:t>2010</w:t>
      </w:r>
      <w:r w:rsidR="00D20CFF" w:rsidRPr="00EE41C6">
        <w:rPr>
          <w:rFonts w:ascii="Times New Roman" w:hAnsi="Times New Roman" w:cs="Times New Roman"/>
        </w:rPr>
        <w:t xml:space="preserve"> to </w:t>
      </w:r>
      <w:r w:rsidR="00D04B28" w:rsidRPr="00EE41C6">
        <w:rPr>
          <w:rFonts w:ascii="Times New Roman" w:hAnsi="Times New Roman" w:cs="Times New Roman"/>
        </w:rPr>
        <w:t>2050</w:t>
      </w:r>
      <w:r w:rsidRPr="00EE41C6">
        <w:rPr>
          <w:rFonts w:ascii="Times New Roman" w:hAnsi="Times New Roman" w:cs="Times New Roman"/>
        </w:rPr>
        <w:t>. Both positive and negative growth rates are recorded depending on the region. Africa, except for South Africa, records positive growth rates under both AMB and CONV, with the highest growth occurring in Western Africa at 355% under CONV and 82% under AMB. Pursuing explicit sectoral decarbonization and separate CDR targets results in a rapid phase-down of fossil fuels across regions. For example, the EU records about an 82% reduction under AMB compared to 55% under CONV. Similarly, the USA and China each achieve an additional 30% reduction in fossil fuel growth under AMB compared to the reduction rates under CONV</w:t>
      </w:r>
    </w:p>
    <w:p w14:paraId="337C1E96" w14:textId="77777777" w:rsidR="00683EC7" w:rsidRPr="00EE41C6" w:rsidRDefault="00683EC7" w:rsidP="00683EC7">
      <w:pPr>
        <w:spacing w:line="480" w:lineRule="auto"/>
        <w:ind w:firstLine="288"/>
        <w:jc w:val="center"/>
        <w:rPr>
          <w:rFonts w:ascii="Times New Roman" w:hAnsi="Times New Roman" w:cs="Times New Roman"/>
        </w:rPr>
      </w:pPr>
    </w:p>
    <w:p w14:paraId="047F2370" w14:textId="77777777" w:rsidR="00762F57" w:rsidRPr="00EE41C6" w:rsidRDefault="00762F57" w:rsidP="00683EC7">
      <w:pPr>
        <w:spacing w:line="480" w:lineRule="auto"/>
        <w:rPr>
          <w:rFonts w:ascii="Times New Roman" w:hAnsi="Times New Roman" w:cs="Times New Roman"/>
        </w:rPr>
      </w:pPr>
    </w:p>
    <w:p w14:paraId="16B87AC6" w14:textId="77777777" w:rsidR="00683EC7" w:rsidRPr="00EE41C6" w:rsidRDefault="00683EC7" w:rsidP="00683EC7">
      <w:pPr>
        <w:spacing w:line="480" w:lineRule="auto"/>
        <w:rPr>
          <w:rFonts w:ascii="Times New Roman" w:hAnsi="Times New Roman" w:cs="Times New Roman"/>
        </w:rPr>
      </w:pPr>
    </w:p>
    <w:p w14:paraId="54537FA1" w14:textId="77777777" w:rsidR="00683EC7" w:rsidRPr="00EE41C6" w:rsidRDefault="00683EC7" w:rsidP="00683EC7">
      <w:pPr>
        <w:spacing w:line="480" w:lineRule="auto"/>
        <w:rPr>
          <w:rFonts w:ascii="Times New Roman" w:hAnsi="Times New Roman" w:cs="Times New Roman"/>
        </w:rPr>
      </w:pPr>
    </w:p>
    <w:p w14:paraId="13F26348" w14:textId="77777777" w:rsidR="00683EC7" w:rsidRPr="00EE41C6" w:rsidRDefault="00683EC7" w:rsidP="00683EC7">
      <w:pPr>
        <w:spacing w:line="480" w:lineRule="auto"/>
        <w:rPr>
          <w:rFonts w:ascii="Times New Roman" w:hAnsi="Times New Roman" w:cs="Times New Roman"/>
        </w:rPr>
      </w:pPr>
    </w:p>
    <w:p w14:paraId="67CAA639" w14:textId="77777777" w:rsidR="00683EC7" w:rsidRPr="00EE41C6" w:rsidRDefault="00683EC7" w:rsidP="00683EC7">
      <w:pPr>
        <w:spacing w:line="480" w:lineRule="auto"/>
        <w:rPr>
          <w:rFonts w:ascii="Times New Roman" w:hAnsi="Times New Roman" w:cs="Times New Roman"/>
        </w:rPr>
      </w:pPr>
    </w:p>
    <w:p w14:paraId="13AB938F" w14:textId="5D83F56B" w:rsidR="00683EC7" w:rsidRPr="00EE41C6" w:rsidRDefault="00BE0B73" w:rsidP="00336A1A">
      <w:pPr>
        <w:spacing w:after="0" w:line="240" w:lineRule="auto"/>
        <w:jc w:val="center"/>
        <w:rPr>
          <w:rFonts w:ascii="Times New Roman" w:hAnsi="Times New Roman" w:cs="Times New Roman"/>
        </w:rPr>
      </w:pPr>
      <w:r w:rsidRPr="00EE41C6">
        <w:rPr>
          <w:rFonts w:ascii="Times New Roman" w:hAnsi="Times New Roman" w:cs="Times New Roman"/>
          <w:noProof/>
        </w:rPr>
        <w:lastRenderedPageBreak/>
        <w:drawing>
          <wp:inline distT="0" distB="0" distL="0" distR="0" wp14:anchorId="2A6AFA1E" wp14:editId="742BEF6F">
            <wp:extent cx="5943600" cy="1304925"/>
            <wp:effectExtent l="0" t="0" r="0" b="9525"/>
            <wp:docPr id="6206047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04794" name="Picture 620604794"/>
                    <pic:cNvPicPr/>
                  </pic:nvPicPr>
                  <pic:blipFill rotWithShape="1">
                    <a:blip r:embed="rId24">
                      <a:extLst>
                        <a:ext uri="{28A0092B-C50C-407E-A947-70E740481C1C}">
                          <a14:useLocalDpi xmlns:a14="http://schemas.microsoft.com/office/drawing/2010/main" val="0"/>
                        </a:ext>
                      </a:extLst>
                    </a:blip>
                    <a:srcRect t="35440" b="35312"/>
                    <a:stretch/>
                  </pic:blipFill>
                  <pic:spPr bwMode="auto">
                    <a:xfrm>
                      <a:off x="0" y="0"/>
                      <a:ext cx="5943600" cy="1304925"/>
                    </a:xfrm>
                    <a:prstGeom prst="rect">
                      <a:avLst/>
                    </a:prstGeom>
                    <a:ln>
                      <a:noFill/>
                    </a:ln>
                    <a:extLst>
                      <a:ext uri="{53640926-AAD7-44D8-BBD7-CCE9431645EC}">
                        <a14:shadowObscured xmlns:a14="http://schemas.microsoft.com/office/drawing/2010/main"/>
                      </a:ext>
                    </a:extLst>
                  </pic:spPr>
                </pic:pic>
              </a:graphicData>
            </a:graphic>
          </wp:inline>
        </w:drawing>
      </w:r>
    </w:p>
    <w:p w14:paraId="15A39020" w14:textId="1AABBD0C" w:rsidR="00683EC7" w:rsidRPr="00EE41C6" w:rsidRDefault="00336A1A" w:rsidP="00336A1A">
      <w:pPr>
        <w:spacing w:after="0" w:line="240" w:lineRule="auto"/>
        <w:rPr>
          <w:rFonts w:ascii="Times New Roman" w:hAnsi="Times New Roman" w:cs="Times New Roman"/>
        </w:rPr>
      </w:pPr>
      <w:r w:rsidRPr="00EE41C6">
        <w:rPr>
          <w:rFonts w:ascii="Times New Roman" w:hAnsi="Times New Roman" w:cs="Times New Roman"/>
          <w:noProof/>
        </w:rPr>
        <w:drawing>
          <wp:inline distT="0" distB="0" distL="0" distR="0" wp14:anchorId="49802457" wp14:editId="4A1F68A5">
            <wp:extent cx="5943600" cy="1266825"/>
            <wp:effectExtent l="0" t="0" r="0" b="9525"/>
            <wp:docPr id="20983377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37710" name="Picture 2098337710"/>
                    <pic:cNvPicPr/>
                  </pic:nvPicPr>
                  <pic:blipFill rotWithShape="1">
                    <a:blip r:embed="rId25">
                      <a:extLst>
                        <a:ext uri="{28A0092B-C50C-407E-A947-70E740481C1C}">
                          <a14:useLocalDpi xmlns:a14="http://schemas.microsoft.com/office/drawing/2010/main" val="0"/>
                        </a:ext>
                      </a:extLst>
                    </a:blip>
                    <a:srcRect t="35653" b="35952"/>
                    <a:stretch/>
                  </pic:blipFill>
                  <pic:spPr bwMode="auto">
                    <a:xfrm>
                      <a:off x="0" y="0"/>
                      <a:ext cx="5943600" cy="1266825"/>
                    </a:xfrm>
                    <a:prstGeom prst="rect">
                      <a:avLst/>
                    </a:prstGeom>
                    <a:ln>
                      <a:noFill/>
                    </a:ln>
                    <a:extLst>
                      <a:ext uri="{53640926-AAD7-44D8-BBD7-CCE9431645EC}">
                        <a14:shadowObscured xmlns:a14="http://schemas.microsoft.com/office/drawing/2010/main"/>
                      </a:ext>
                    </a:extLst>
                  </pic:spPr>
                </pic:pic>
              </a:graphicData>
            </a:graphic>
          </wp:inline>
        </w:drawing>
      </w:r>
    </w:p>
    <w:p w14:paraId="2B2A660F" w14:textId="75E855D3" w:rsidR="00336A1A" w:rsidRPr="00EE41C6" w:rsidRDefault="00336A1A" w:rsidP="00050B60">
      <w:pPr>
        <w:spacing w:after="0" w:line="240" w:lineRule="auto"/>
        <w:rPr>
          <w:rFonts w:ascii="Times New Roman" w:hAnsi="Times New Roman" w:cs="Times New Roman"/>
        </w:rPr>
      </w:pPr>
      <w:r w:rsidRPr="00EE41C6">
        <w:rPr>
          <w:rFonts w:ascii="Times New Roman" w:hAnsi="Times New Roman" w:cs="Times New Roman"/>
          <w:noProof/>
        </w:rPr>
        <w:drawing>
          <wp:inline distT="0" distB="0" distL="0" distR="0" wp14:anchorId="6D316AF2" wp14:editId="2DA708C9">
            <wp:extent cx="5943600" cy="1266825"/>
            <wp:effectExtent l="0" t="0" r="0" b="9525"/>
            <wp:docPr id="3513534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53472" name="Picture 351353472"/>
                    <pic:cNvPicPr/>
                  </pic:nvPicPr>
                  <pic:blipFill rotWithShape="1">
                    <a:blip r:embed="rId26">
                      <a:extLst>
                        <a:ext uri="{28A0092B-C50C-407E-A947-70E740481C1C}">
                          <a14:useLocalDpi xmlns:a14="http://schemas.microsoft.com/office/drawing/2010/main" val="0"/>
                        </a:ext>
                      </a:extLst>
                    </a:blip>
                    <a:srcRect t="35653" b="35952"/>
                    <a:stretch/>
                  </pic:blipFill>
                  <pic:spPr bwMode="auto">
                    <a:xfrm>
                      <a:off x="0" y="0"/>
                      <a:ext cx="5943600" cy="1266825"/>
                    </a:xfrm>
                    <a:prstGeom prst="rect">
                      <a:avLst/>
                    </a:prstGeom>
                    <a:ln>
                      <a:noFill/>
                    </a:ln>
                    <a:extLst>
                      <a:ext uri="{53640926-AAD7-44D8-BBD7-CCE9431645EC}">
                        <a14:shadowObscured xmlns:a14="http://schemas.microsoft.com/office/drawing/2010/main"/>
                      </a:ext>
                    </a:extLst>
                  </pic:spPr>
                </pic:pic>
              </a:graphicData>
            </a:graphic>
          </wp:inline>
        </w:drawing>
      </w:r>
    </w:p>
    <w:p w14:paraId="3E2D5508" w14:textId="1BF4B253" w:rsidR="00154748" w:rsidRPr="00EE41C6" w:rsidRDefault="00050B60" w:rsidP="00B005B2">
      <w:pPr>
        <w:spacing w:line="480" w:lineRule="auto"/>
        <w:rPr>
          <w:rFonts w:ascii="Times New Roman" w:hAnsi="Times New Roman" w:cs="Times New Roman"/>
        </w:rPr>
      </w:pPr>
      <w:r w:rsidRPr="00EE41C6">
        <w:rPr>
          <w:rFonts w:ascii="Times New Roman" w:hAnsi="Times New Roman" w:cs="Times New Roman"/>
          <w:noProof/>
        </w:rPr>
        <w:drawing>
          <wp:inline distT="0" distB="0" distL="0" distR="0" wp14:anchorId="47B5F39B" wp14:editId="6A0B98D2">
            <wp:extent cx="5943600" cy="1266825"/>
            <wp:effectExtent l="0" t="0" r="0" b="9525"/>
            <wp:docPr id="13726703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70385" name="Picture 1372670385"/>
                    <pic:cNvPicPr/>
                  </pic:nvPicPr>
                  <pic:blipFill rotWithShape="1">
                    <a:blip r:embed="rId27">
                      <a:extLst>
                        <a:ext uri="{28A0092B-C50C-407E-A947-70E740481C1C}">
                          <a14:useLocalDpi xmlns:a14="http://schemas.microsoft.com/office/drawing/2010/main" val="0"/>
                        </a:ext>
                      </a:extLst>
                    </a:blip>
                    <a:srcRect t="35866" b="35739"/>
                    <a:stretch/>
                  </pic:blipFill>
                  <pic:spPr bwMode="auto">
                    <a:xfrm>
                      <a:off x="0" y="0"/>
                      <a:ext cx="5943600" cy="1266825"/>
                    </a:xfrm>
                    <a:prstGeom prst="rect">
                      <a:avLst/>
                    </a:prstGeom>
                    <a:ln>
                      <a:noFill/>
                    </a:ln>
                    <a:extLst>
                      <a:ext uri="{53640926-AAD7-44D8-BBD7-CCE9431645EC}">
                        <a14:shadowObscured xmlns:a14="http://schemas.microsoft.com/office/drawing/2010/main"/>
                      </a:ext>
                    </a:extLst>
                  </pic:spPr>
                </pic:pic>
              </a:graphicData>
            </a:graphic>
          </wp:inline>
        </w:drawing>
      </w:r>
    </w:p>
    <w:p w14:paraId="69E6B25B" w14:textId="3E6E1DD6" w:rsidR="00154748" w:rsidRPr="00EE41C6" w:rsidRDefault="00050B60" w:rsidP="00B005B2">
      <w:pPr>
        <w:pStyle w:val="Caption"/>
        <w:jc w:val="center"/>
        <w:rPr>
          <w:rFonts w:ascii="Times New Roman" w:hAnsi="Times New Roman" w:cs="Times New Roman"/>
        </w:rPr>
      </w:pPr>
      <w:r w:rsidRPr="00EE41C6">
        <w:t xml:space="preserve">Supplementary Figure </w:t>
      </w:r>
      <w:fldSimple w:instr=" SEQ Supplementary_Figure \* ARABIC ">
        <w:r w:rsidR="00830047" w:rsidRPr="00EE41C6">
          <w:rPr>
            <w:noProof/>
          </w:rPr>
          <w:t>9</w:t>
        </w:r>
      </w:fldSimple>
      <w:r w:rsidRPr="00EE41C6">
        <w:t xml:space="preserve"> </w:t>
      </w:r>
      <w:r w:rsidRPr="00EE41C6">
        <w:rPr>
          <w:rFonts w:ascii="Times New Roman" w:hAnsi="Times New Roman" w:cs="Times New Roman"/>
        </w:rPr>
        <w:t xml:space="preserve">Impact on </w:t>
      </w:r>
      <w:r w:rsidR="00AF7DFF" w:rsidRPr="00EE41C6">
        <w:rPr>
          <w:rFonts w:ascii="Times New Roman" w:hAnsi="Times New Roman" w:cs="Times New Roman"/>
        </w:rPr>
        <w:t xml:space="preserve">regional </w:t>
      </w:r>
      <w:r w:rsidRPr="00EE41C6">
        <w:rPr>
          <w:rFonts w:ascii="Times New Roman" w:hAnsi="Times New Roman" w:cs="Times New Roman"/>
        </w:rPr>
        <w:t xml:space="preserve">land allocation. </w:t>
      </w:r>
      <w:r w:rsidR="00BE0B73" w:rsidRPr="00EE41C6">
        <w:rPr>
          <w:rFonts w:ascii="Times New Roman" w:hAnsi="Times New Roman" w:cs="Times New Roman"/>
        </w:rPr>
        <w:t>Change in land allocation from 2025 to 2050 (%)</w:t>
      </w:r>
      <w:r w:rsidR="00336A1A" w:rsidRPr="00EE41C6">
        <w:rPr>
          <w:rFonts w:ascii="Times New Roman" w:hAnsi="Times New Roman" w:cs="Times New Roman"/>
        </w:rPr>
        <w:t xml:space="preserve">. </w:t>
      </w:r>
      <w:r w:rsidR="00B005B2" w:rsidRPr="00EE41C6">
        <w:rPr>
          <w:rFonts w:ascii="Times New Roman" w:hAnsi="Times New Roman" w:cs="Times New Roman"/>
        </w:rPr>
        <w:t xml:space="preserve">In this context, "Forest" refers to managed forest, and "Other </w:t>
      </w:r>
      <w:proofErr w:type="spellStart"/>
      <w:r w:rsidR="00B005B2" w:rsidRPr="00EE41C6">
        <w:rPr>
          <w:rFonts w:ascii="Times New Roman" w:hAnsi="Times New Roman" w:cs="Times New Roman"/>
        </w:rPr>
        <w:t>Agro</w:t>
      </w:r>
      <w:proofErr w:type="spellEnd"/>
      <w:r w:rsidR="00B005B2" w:rsidRPr="00EE41C6">
        <w:rPr>
          <w:rFonts w:ascii="Times New Roman" w:hAnsi="Times New Roman" w:cs="Times New Roman"/>
        </w:rPr>
        <w:t>" represents land allocated for pasture, grass, shrubs, and other arable lands. Pursuing climate change mitigation would reduce cropland allocated for food and non-food crops ("Crops"). By 2050, the global average cropland is projected to decrease by 13% under AMB and 11% under CONV, relative to 2025 levels. The highest reductions in cropland are expected in Taiwan</w:t>
      </w:r>
      <w:r w:rsidR="00CD20C5" w:rsidRPr="00EE41C6">
        <w:rPr>
          <w:rFonts w:ascii="Times New Roman" w:hAnsi="Times New Roman" w:cs="Times New Roman"/>
        </w:rPr>
        <w:t xml:space="preserve"> (China)</w:t>
      </w:r>
      <w:r w:rsidR="00B005B2" w:rsidRPr="00EE41C6">
        <w:rPr>
          <w:rFonts w:ascii="Times New Roman" w:hAnsi="Times New Roman" w:cs="Times New Roman"/>
        </w:rPr>
        <w:t xml:space="preserve">, Canada, and Brazil. For land allocated to bioenergy crop cultivation, an overall growing trend is expected globally, despite some regions experiencing negative growth. A large-scale reliance on CDR, particularly BECCS, under CONV is projected to lead to a global average increase in bioenergy cropland of about 970%, compared to 663% under AMB. The highest growth rates are anticipated in Pakistan. Both AMB and CONV also show similar patterns for the reduction in land for "Other </w:t>
      </w:r>
      <w:proofErr w:type="spellStart"/>
      <w:r w:rsidR="00B005B2" w:rsidRPr="00EE41C6">
        <w:rPr>
          <w:rFonts w:ascii="Times New Roman" w:hAnsi="Times New Roman" w:cs="Times New Roman"/>
        </w:rPr>
        <w:t>Agro</w:t>
      </w:r>
      <w:proofErr w:type="spellEnd"/>
      <w:r w:rsidR="00B005B2" w:rsidRPr="00EE41C6">
        <w:rPr>
          <w:rFonts w:ascii="Times New Roman" w:hAnsi="Times New Roman" w:cs="Times New Roman"/>
        </w:rPr>
        <w:t>" activities, with Japan, the EU, and Mexico expected to record the highest reduction rates under both scenarios. Managed forests are generally expected to expand between 2025 and 2050, with global averages of 12% growth under AMB and 10% under CONV. The highest growth rates in forests are expected in Japan, Eastern Europe, and the Middle East, while Taiwan</w:t>
      </w:r>
      <w:r w:rsidR="00CD20C5" w:rsidRPr="00EE41C6">
        <w:rPr>
          <w:rFonts w:ascii="Times New Roman" w:hAnsi="Times New Roman" w:cs="Times New Roman"/>
        </w:rPr>
        <w:t xml:space="preserve"> (China)</w:t>
      </w:r>
      <w:r w:rsidR="00B005B2" w:rsidRPr="00EE41C6">
        <w:rPr>
          <w:rFonts w:ascii="Times New Roman" w:hAnsi="Times New Roman" w:cs="Times New Roman"/>
        </w:rPr>
        <w:t xml:space="preserve"> is likely to see a complete loss of forests by 2050.</w:t>
      </w:r>
    </w:p>
    <w:p w14:paraId="27E8A4A8" w14:textId="59D8878D" w:rsidR="002676AD" w:rsidRPr="00EE41C6" w:rsidRDefault="004E6930" w:rsidP="002676AD">
      <w:pPr>
        <w:spacing w:line="480" w:lineRule="auto"/>
        <w:ind w:firstLine="288"/>
        <w:jc w:val="center"/>
        <w:rPr>
          <w:rFonts w:ascii="Times New Roman" w:hAnsi="Times New Roman" w:cs="Times New Roman"/>
        </w:rPr>
      </w:pPr>
      <w:r w:rsidRPr="00EE41C6">
        <w:rPr>
          <w:rFonts w:ascii="Times New Roman" w:hAnsi="Times New Roman" w:cs="Times New Roman"/>
          <w:noProof/>
        </w:rPr>
        <w:lastRenderedPageBreak/>
        <w:drawing>
          <wp:inline distT="0" distB="0" distL="0" distR="0" wp14:anchorId="62D520CF" wp14:editId="7C8AC66D">
            <wp:extent cx="5244054" cy="3931920"/>
            <wp:effectExtent l="0" t="0" r="0" b="0"/>
            <wp:docPr id="662832097"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32097" name="Graphic 662832097"/>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244054" cy="3931920"/>
                    </a:xfrm>
                    <a:prstGeom prst="rect">
                      <a:avLst/>
                    </a:prstGeom>
                  </pic:spPr>
                </pic:pic>
              </a:graphicData>
            </a:graphic>
          </wp:inline>
        </w:drawing>
      </w:r>
    </w:p>
    <w:p w14:paraId="33AA8B66" w14:textId="1BFBC469" w:rsidR="004E6930" w:rsidRPr="00EE41C6" w:rsidRDefault="00AF7DFF" w:rsidP="00AF7DFF">
      <w:pPr>
        <w:pStyle w:val="Caption"/>
        <w:jc w:val="center"/>
        <w:rPr>
          <w:rFonts w:ascii="Times New Roman" w:hAnsi="Times New Roman" w:cs="Times New Roman"/>
        </w:rPr>
      </w:pPr>
      <w:r w:rsidRPr="00EE41C6">
        <w:t xml:space="preserve">Supplementary Figure </w:t>
      </w:r>
      <w:fldSimple w:instr=" SEQ Supplementary_Figure \* ARABIC ">
        <w:r w:rsidR="00830047" w:rsidRPr="00EE41C6">
          <w:rPr>
            <w:noProof/>
          </w:rPr>
          <w:t>10</w:t>
        </w:r>
      </w:fldSimple>
      <w:r w:rsidRPr="00EE41C6">
        <w:t xml:space="preserve"> </w:t>
      </w:r>
      <w:r w:rsidRPr="00EE41C6">
        <w:rPr>
          <w:rFonts w:ascii="Times New Roman" w:hAnsi="Times New Roman" w:cs="Times New Roman"/>
        </w:rPr>
        <w:t xml:space="preserve">Impact on global land allocation. </w:t>
      </w:r>
      <w:r w:rsidR="004801F3" w:rsidRPr="00EE41C6">
        <w:rPr>
          <w:rFonts w:ascii="Times New Roman" w:hAnsi="Times New Roman" w:cs="Times New Roman"/>
        </w:rPr>
        <w:t>Large expectations for CDR under the CONV pathway would result in more land being allocated for the cultivation of energy crops compared to the AMB pathway. However, AMB would allocate more land for forests to complement the limited availability of novel CDR approaches.</w:t>
      </w:r>
    </w:p>
    <w:p w14:paraId="6FBA7FBA" w14:textId="77777777" w:rsidR="008D1BF3" w:rsidRPr="00EE41C6" w:rsidRDefault="008D1BF3" w:rsidP="008D1BF3">
      <w:pPr>
        <w:spacing w:line="480" w:lineRule="auto"/>
        <w:ind w:firstLine="288"/>
        <w:jc w:val="center"/>
        <w:rPr>
          <w:rFonts w:ascii="Times New Roman" w:hAnsi="Times New Roman" w:cs="Times New Roman"/>
        </w:rPr>
      </w:pPr>
      <w:r w:rsidRPr="00EE41C6">
        <w:rPr>
          <w:rFonts w:ascii="Times New Roman" w:hAnsi="Times New Roman" w:cs="Times New Roman"/>
          <w:noProof/>
        </w:rPr>
        <w:lastRenderedPageBreak/>
        <w:drawing>
          <wp:inline distT="0" distB="0" distL="0" distR="0" wp14:anchorId="2FCD8B9D" wp14:editId="7B71C9EB">
            <wp:extent cx="5724525" cy="4461510"/>
            <wp:effectExtent l="0" t="0" r="9525" b="0"/>
            <wp:docPr id="3917567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56748" name="Picture 391756748"/>
                    <pic:cNvPicPr/>
                  </pic:nvPicPr>
                  <pic:blipFill rotWithShape="1">
                    <a:blip r:embed="rId30">
                      <a:extLst>
                        <a:ext uri="{28A0092B-C50C-407E-A947-70E740481C1C}">
                          <a14:useLocalDpi xmlns:a14="http://schemas.microsoft.com/office/drawing/2010/main" val="0"/>
                        </a:ext>
                      </a:extLst>
                    </a:blip>
                    <a:srcRect l="1442" r="2244"/>
                    <a:stretch/>
                  </pic:blipFill>
                  <pic:spPr bwMode="auto">
                    <a:xfrm>
                      <a:off x="0" y="0"/>
                      <a:ext cx="5724525" cy="4461510"/>
                    </a:xfrm>
                    <a:prstGeom prst="rect">
                      <a:avLst/>
                    </a:prstGeom>
                    <a:ln>
                      <a:noFill/>
                    </a:ln>
                    <a:extLst>
                      <a:ext uri="{53640926-AAD7-44D8-BBD7-CCE9431645EC}">
                        <a14:shadowObscured xmlns:a14="http://schemas.microsoft.com/office/drawing/2010/main"/>
                      </a:ext>
                    </a:extLst>
                  </pic:spPr>
                </pic:pic>
              </a:graphicData>
            </a:graphic>
          </wp:inline>
        </w:drawing>
      </w:r>
    </w:p>
    <w:p w14:paraId="3CB0D665" w14:textId="07EAEEF9" w:rsidR="0056387E" w:rsidRPr="00EE41C6" w:rsidRDefault="007C1E3A" w:rsidP="002E3B1A">
      <w:pPr>
        <w:pStyle w:val="Caption"/>
        <w:jc w:val="center"/>
        <w:rPr>
          <w:rFonts w:ascii="Times New Roman" w:hAnsi="Times New Roman" w:cs="Times New Roman"/>
        </w:rPr>
      </w:pPr>
      <w:r w:rsidRPr="00EE41C6">
        <w:t xml:space="preserve">Supplementary Figure </w:t>
      </w:r>
      <w:fldSimple w:instr=" SEQ Supplementary_Figure \* ARABIC ">
        <w:r w:rsidR="00830047" w:rsidRPr="00EE41C6">
          <w:rPr>
            <w:noProof/>
          </w:rPr>
          <w:t>11</w:t>
        </w:r>
      </w:fldSimple>
      <w:r w:rsidR="00830047" w:rsidRPr="00EE41C6">
        <w:t xml:space="preserve"> </w:t>
      </w:r>
      <w:r w:rsidR="008D1BF3" w:rsidRPr="00EE41C6">
        <w:rPr>
          <w:rFonts w:ascii="Times New Roman" w:hAnsi="Times New Roman" w:cs="Times New Roman"/>
        </w:rPr>
        <w:t>Change in fertilizer</w:t>
      </w:r>
      <w:r w:rsidR="004C7E19" w:rsidRPr="00EE41C6">
        <w:rPr>
          <w:rFonts w:ascii="Times New Roman" w:hAnsi="Times New Roman" w:cs="Times New Roman"/>
        </w:rPr>
        <w:t xml:space="preserve"> demand </w:t>
      </w:r>
      <w:r w:rsidR="008D1BF3" w:rsidRPr="00EE41C6">
        <w:rPr>
          <w:rFonts w:ascii="Times New Roman" w:hAnsi="Times New Roman" w:cs="Times New Roman"/>
        </w:rPr>
        <w:t>by region for bioenergy crop cultivation 2025-2100 (%)</w:t>
      </w:r>
      <w:r w:rsidR="008D47F7" w:rsidRPr="00EE41C6">
        <w:rPr>
          <w:rFonts w:ascii="Times New Roman" w:hAnsi="Times New Roman" w:cs="Times New Roman"/>
        </w:rPr>
        <w:t xml:space="preserve">. </w:t>
      </w:r>
      <w:r w:rsidR="002E3B1A" w:rsidRPr="00EE41C6">
        <w:rPr>
          <w:rFonts w:ascii="Times New Roman" w:hAnsi="Times New Roman" w:cs="Times New Roman"/>
        </w:rPr>
        <w:t>There is a general increase in global fertilizer demand for bioenergy crop cultivation as energy demand rises and CO</w:t>
      </w:r>
      <w:r w:rsidR="002E3B1A" w:rsidRPr="00EE41C6">
        <w:rPr>
          <w:rFonts w:ascii="Times New Roman" w:hAnsi="Times New Roman" w:cs="Times New Roman"/>
          <w:vertAlign w:val="subscript"/>
        </w:rPr>
        <w:t>2</w:t>
      </w:r>
      <w:r w:rsidR="002E3B1A" w:rsidRPr="00EE41C6">
        <w:rPr>
          <w:rFonts w:ascii="Times New Roman" w:hAnsi="Times New Roman" w:cs="Times New Roman"/>
        </w:rPr>
        <w:t xml:space="preserve"> removal efforts intensify. The expectation of multigigatonne CDR under the CONV pathway results in a significantly higher fertilizer demand for cultivating bioenergy crops, with a global average increase of 1580%, compared to an 875% increase under the AMB pathway. The highest increases are expected in the Middle East, Pakistan, and Northern South America, particularly under CONV. The lowest increases, excluding regions and countries with negative growth, are expected in Europe, especially under AMB.</w:t>
      </w:r>
    </w:p>
    <w:p w14:paraId="7ABD82BF" w14:textId="77777777" w:rsidR="0056387E" w:rsidRPr="00EE41C6" w:rsidRDefault="0056387E" w:rsidP="008D1BF3">
      <w:pPr>
        <w:spacing w:line="480" w:lineRule="auto"/>
        <w:ind w:firstLine="288"/>
        <w:jc w:val="center"/>
        <w:rPr>
          <w:rFonts w:ascii="Times New Roman" w:hAnsi="Times New Roman" w:cs="Times New Roman"/>
        </w:rPr>
      </w:pPr>
    </w:p>
    <w:p w14:paraId="0B834BE2" w14:textId="77777777" w:rsidR="0056387E" w:rsidRPr="00EE41C6" w:rsidRDefault="0056387E" w:rsidP="008D1BF3">
      <w:pPr>
        <w:spacing w:line="480" w:lineRule="auto"/>
        <w:ind w:firstLine="288"/>
        <w:jc w:val="center"/>
        <w:rPr>
          <w:rFonts w:ascii="Times New Roman" w:hAnsi="Times New Roman" w:cs="Times New Roman"/>
        </w:rPr>
      </w:pPr>
    </w:p>
    <w:p w14:paraId="53AC3C8E" w14:textId="77777777" w:rsidR="0056387E" w:rsidRPr="00EE41C6" w:rsidRDefault="0056387E" w:rsidP="008D1BF3">
      <w:pPr>
        <w:spacing w:line="480" w:lineRule="auto"/>
        <w:ind w:firstLine="288"/>
        <w:jc w:val="center"/>
        <w:rPr>
          <w:rFonts w:ascii="Times New Roman" w:hAnsi="Times New Roman" w:cs="Times New Roman"/>
        </w:rPr>
      </w:pPr>
    </w:p>
    <w:p w14:paraId="27B0AC19" w14:textId="77777777" w:rsidR="0056387E" w:rsidRPr="00EE41C6" w:rsidRDefault="0056387E" w:rsidP="008D1BF3">
      <w:pPr>
        <w:spacing w:line="480" w:lineRule="auto"/>
        <w:ind w:firstLine="288"/>
        <w:jc w:val="center"/>
        <w:rPr>
          <w:rFonts w:ascii="Times New Roman" w:hAnsi="Times New Roman" w:cs="Times New Roman"/>
        </w:rPr>
      </w:pPr>
    </w:p>
    <w:p w14:paraId="473700A4" w14:textId="09A563F9" w:rsidR="0056387E" w:rsidRPr="00EE41C6" w:rsidRDefault="0056387E" w:rsidP="0056387E">
      <w:pPr>
        <w:spacing w:after="0" w:line="240" w:lineRule="auto"/>
        <w:ind w:firstLine="288"/>
        <w:jc w:val="center"/>
        <w:rPr>
          <w:rFonts w:ascii="Times New Roman" w:hAnsi="Times New Roman" w:cs="Times New Roman"/>
        </w:rPr>
      </w:pPr>
      <w:r w:rsidRPr="00EE41C6">
        <w:rPr>
          <w:rFonts w:ascii="Times New Roman" w:hAnsi="Times New Roman" w:cs="Times New Roman"/>
          <w:noProof/>
        </w:rPr>
        <w:lastRenderedPageBreak/>
        <w:drawing>
          <wp:inline distT="0" distB="0" distL="0" distR="0" wp14:anchorId="28F8ECC6" wp14:editId="77DB9504">
            <wp:extent cx="5943600" cy="1247775"/>
            <wp:effectExtent l="0" t="0" r="0" b="9525"/>
            <wp:docPr id="1897478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78476" name="Picture 1897478476"/>
                    <pic:cNvPicPr/>
                  </pic:nvPicPr>
                  <pic:blipFill rotWithShape="1">
                    <a:blip r:embed="rId31">
                      <a:extLst>
                        <a:ext uri="{28A0092B-C50C-407E-A947-70E740481C1C}">
                          <a14:useLocalDpi xmlns:a14="http://schemas.microsoft.com/office/drawing/2010/main" val="0"/>
                        </a:ext>
                      </a:extLst>
                    </a:blip>
                    <a:srcRect t="35867" b="36166"/>
                    <a:stretch/>
                  </pic:blipFill>
                  <pic:spPr bwMode="auto">
                    <a:xfrm>
                      <a:off x="0" y="0"/>
                      <a:ext cx="5943600" cy="1247775"/>
                    </a:xfrm>
                    <a:prstGeom prst="rect">
                      <a:avLst/>
                    </a:prstGeom>
                    <a:ln>
                      <a:noFill/>
                    </a:ln>
                    <a:extLst>
                      <a:ext uri="{53640926-AAD7-44D8-BBD7-CCE9431645EC}">
                        <a14:shadowObscured xmlns:a14="http://schemas.microsoft.com/office/drawing/2010/main"/>
                      </a:ext>
                    </a:extLst>
                  </pic:spPr>
                </pic:pic>
              </a:graphicData>
            </a:graphic>
          </wp:inline>
        </w:drawing>
      </w:r>
    </w:p>
    <w:p w14:paraId="5FE3BB82" w14:textId="34377B9B" w:rsidR="0056387E" w:rsidRPr="00EE41C6" w:rsidRDefault="0056387E" w:rsidP="00814A66">
      <w:pPr>
        <w:spacing w:after="0" w:line="240" w:lineRule="auto"/>
        <w:ind w:firstLine="288"/>
        <w:jc w:val="center"/>
        <w:rPr>
          <w:rFonts w:ascii="Times New Roman" w:hAnsi="Times New Roman" w:cs="Times New Roman"/>
        </w:rPr>
      </w:pPr>
      <w:r w:rsidRPr="00EE41C6">
        <w:rPr>
          <w:rFonts w:ascii="Times New Roman" w:hAnsi="Times New Roman" w:cs="Times New Roman"/>
          <w:noProof/>
        </w:rPr>
        <w:drawing>
          <wp:inline distT="0" distB="0" distL="0" distR="0" wp14:anchorId="4F8DB06A" wp14:editId="3A5825DE">
            <wp:extent cx="5943600" cy="1266825"/>
            <wp:effectExtent l="0" t="0" r="0" b="9525"/>
            <wp:docPr id="1440721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21412" name="Picture 1440721412"/>
                    <pic:cNvPicPr/>
                  </pic:nvPicPr>
                  <pic:blipFill rotWithShape="1">
                    <a:blip r:embed="rId32">
                      <a:extLst>
                        <a:ext uri="{28A0092B-C50C-407E-A947-70E740481C1C}">
                          <a14:useLocalDpi xmlns:a14="http://schemas.microsoft.com/office/drawing/2010/main" val="0"/>
                        </a:ext>
                      </a:extLst>
                    </a:blip>
                    <a:srcRect t="35867" b="35739"/>
                    <a:stretch/>
                  </pic:blipFill>
                  <pic:spPr bwMode="auto">
                    <a:xfrm>
                      <a:off x="0" y="0"/>
                      <a:ext cx="5943600" cy="1266825"/>
                    </a:xfrm>
                    <a:prstGeom prst="rect">
                      <a:avLst/>
                    </a:prstGeom>
                    <a:ln>
                      <a:noFill/>
                    </a:ln>
                    <a:extLst>
                      <a:ext uri="{53640926-AAD7-44D8-BBD7-CCE9431645EC}">
                        <a14:shadowObscured xmlns:a14="http://schemas.microsoft.com/office/drawing/2010/main"/>
                      </a:ext>
                    </a:extLst>
                  </pic:spPr>
                </pic:pic>
              </a:graphicData>
            </a:graphic>
          </wp:inline>
        </w:drawing>
      </w:r>
    </w:p>
    <w:p w14:paraId="6BE52994" w14:textId="2CEAC511" w:rsidR="00814A66" w:rsidRPr="00EE41C6" w:rsidRDefault="00814A66" w:rsidP="008D1BF3">
      <w:pPr>
        <w:spacing w:line="480" w:lineRule="auto"/>
        <w:ind w:firstLine="288"/>
        <w:jc w:val="center"/>
        <w:rPr>
          <w:rFonts w:ascii="Times New Roman" w:hAnsi="Times New Roman" w:cs="Times New Roman"/>
        </w:rPr>
      </w:pPr>
      <w:r w:rsidRPr="00EE41C6">
        <w:rPr>
          <w:rFonts w:ascii="Times New Roman" w:hAnsi="Times New Roman" w:cs="Times New Roman"/>
          <w:noProof/>
        </w:rPr>
        <w:drawing>
          <wp:inline distT="0" distB="0" distL="0" distR="0" wp14:anchorId="4596E4CF" wp14:editId="4E9D5D11">
            <wp:extent cx="5943600" cy="1266825"/>
            <wp:effectExtent l="0" t="0" r="0" b="9525"/>
            <wp:docPr id="8132865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86597" name="Picture 813286597"/>
                    <pic:cNvPicPr/>
                  </pic:nvPicPr>
                  <pic:blipFill rotWithShape="1">
                    <a:blip r:embed="rId33">
                      <a:extLst>
                        <a:ext uri="{28A0092B-C50C-407E-A947-70E740481C1C}">
                          <a14:useLocalDpi xmlns:a14="http://schemas.microsoft.com/office/drawing/2010/main" val="0"/>
                        </a:ext>
                      </a:extLst>
                    </a:blip>
                    <a:srcRect t="35440" b="36166"/>
                    <a:stretch/>
                  </pic:blipFill>
                  <pic:spPr bwMode="auto">
                    <a:xfrm>
                      <a:off x="0" y="0"/>
                      <a:ext cx="5943600" cy="1266825"/>
                    </a:xfrm>
                    <a:prstGeom prst="rect">
                      <a:avLst/>
                    </a:prstGeom>
                    <a:ln>
                      <a:noFill/>
                    </a:ln>
                    <a:extLst>
                      <a:ext uri="{53640926-AAD7-44D8-BBD7-CCE9431645EC}">
                        <a14:shadowObscured xmlns:a14="http://schemas.microsoft.com/office/drawing/2010/main"/>
                      </a:ext>
                    </a:extLst>
                  </pic:spPr>
                </pic:pic>
              </a:graphicData>
            </a:graphic>
          </wp:inline>
        </w:drawing>
      </w:r>
    </w:p>
    <w:p w14:paraId="4E2DA98E" w14:textId="2BF38C4E" w:rsidR="0056387E" w:rsidRPr="00EE41C6" w:rsidRDefault="001D3A0D" w:rsidP="00CD20C5">
      <w:pPr>
        <w:pStyle w:val="Caption"/>
        <w:jc w:val="center"/>
        <w:rPr>
          <w:rFonts w:ascii="Times New Roman" w:hAnsi="Times New Roman" w:cs="Times New Roman"/>
        </w:rPr>
      </w:pPr>
      <w:r w:rsidRPr="00EE41C6">
        <w:t xml:space="preserve">Supplementary Figure </w:t>
      </w:r>
      <w:fldSimple w:instr=" SEQ Supplementary_Figure \* ARABIC ">
        <w:r w:rsidR="00830047" w:rsidRPr="00EE41C6">
          <w:rPr>
            <w:noProof/>
          </w:rPr>
          <w:t>12</w:t>
        </w:r>
      </w:fldSimple>
      <w:r w:rsidRPr="00EE41C6">
        <w:t xml:space="preserve"> </w:t>
      </w:r>
      <w:r w:rsidRPr="00EE41C6">
        <w:rPr>
          <w:rFonts w:ascii="Times New Roman" w:hAnsi="Times New Roman" w:cs="Times New Roman"/>
        </w:rPr>
        <w:t xml:space="preserve">Impact on agricultural commodity prices. </w:t>
      </w:r>
      <w:r w:rsidR="0056387E" w:rsidRPr="00EE41C6">
        <w:rPr>
          <w:rFonts w:ascii="Times New Roman" w:hAnsi="Times New Roman" w:cs="Times New Roman"/>
        </w:rPr>
        <w:t xml:space="preserve">Change in </w:t>
      </w:r>
      <w:r w:rsidR="00814A66" w:rsidRPr="00EE41C6">
        <w:rPr>
          <w:rFonts w:ascii="Times New Roman" w:hAnsi="Times New Roman" w:cs="Times New Roman"/>
        </w:rPr>
        <w:t xml:space="preserve">three major </w:t>
      </w:r>
      <w:r w:rsidR="0056387E" w:rsidRPr="00EE41C6">
        <w:rPr>
          <w:rFonts w:ascii="Times New Roman" w:hAnsi="Times New Roman" w:cs="Times New Roman"/>
        </w:rPr>
        <w:t>staple food prices by 2100 relative to 2010 levels (%)</w:t>
      </w:r>
      <w:r w:rsidRPr="00EE41C6">
        <w:rPr>
          <w:rFonts w:ascii="Times New Roman" w:hAnsi="Times New Roman" w:cs="Times New Roman"/>
        </w:rPr>
        <w:t xml:space="preserve">. </w:t>
      </w:r>
      <w:r w:rsidR="00CD20C5" w:rsidRPr="00EE41C6">
        <w:rPr>
          <w:rFonts w:ascii="Times New Roman" w:hAnsi="Times New Roman" w:cs="Times New Roman"/>
        </w:rPr>
        <w:t>Among the three agricultural commodities, corn prices are expected to experience the most significant increase between 2010 and 2100. Following the CONV pathway leads to higher growth in staple food prices for all commodity types. On average, the global increase in prices for rice, wheat, and corn under CONV is projected to reach 913%, 781%, and 1123% by 2100, respectively, compared to 636%, 535%, and 777% under AMB. The highest price hikes across these three commodities are expected to be concentrated in Taiwan (China) and Africa.</w:t>
      </w:r>
    </w:p>
    <w:p w14:paraId="04CBAE07" w14:textId="6B869BD2" w:rsidR="004D66E9" w:rsidRPr="00EE41C6" w:rsidRDefault="004D66E9" w:rsidP="004D66E9">
      <w:pPr>
        <w:jc w:val="center"/>
      </w:pPr>
      <w:r w:rsidRPr="00EE41C6">
        <w:rPr>
          <w:noProof/>
        </w:rPr>
        <w:lastRenderedPageBreak/>
        <w:drawing>
          <wp:inline distT="0" distB="0" distL="0" distR="0" wp14:anchorId="2614C7F1" wp14:editId="3D603B0F">
            <wp:extent cx="5943600" cy="4456430"/>
            <wp:effectExtent l="0" t="0" r="0" b="1270"/>
            <wp:docPr id="1231859060"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59060" name="Graphic 1231859060"/>
                    <pic:cNvPicPr/>
                  </pic:nvPicPr>
                  <pic:blipFill>
                    <a:blip r:embed="rId34">
                      <a:extLst>
                        <a:ext uri="{96DAC541-7B7A-43D3-8B79-37D633B846F1}">
                          <asvg:svgBlip xmlns:asvg="http://schemas.microsoft.com/office/drawing/2016/SVG/main" r:embed="rId35"/>
                        </a:ext>
                      </a:extLst>
                    </a:blip>
                    <a:stretch>
                      <a:fillRect/>
                    </a:stretch>
                  </pic:blipFill>
                  <pic:spPr>
                    <a:xfrm>
                      <a:off x="0" y="0"/>
                      <a:ext cx="5943600" cy="4456430"/>
                    </a:xfrm>
                    <a:prstGeom prst="rect">
                      <a:avLst/>
                    </a:prstGeom>
                  </pic:spPr>
                </pic:pic>
              </a:graphicData>
            </a:graphic>
          </wp:inline>
        </w:drawing>
      </w:r>
    </w:p>
    <w:p w14:paraId="132FD4BC" w14:textId="28A565B5" w:rsidR="004D66E9" w:rsidRPr="00EE41C6" w:rsidRDefault="007C1E3A" w:rsidP="007C1E3A">
      <w:pPr>
        <w:pStyle w:val="Caption"/>
        <w:jc w:val="center"/>
      </w:pPr>
      <w:r w:rsidRPr="00EE41C6">
        <w:t xml:space="preserve">Supplementary Figure </w:t>
      </w:r>
      <w:fldSimple w:instr=" SEQ Supplementary_Figure \* ARABIC ">
        <w:r w:rsidR="00830047" w:rsidRPr="00EE41C6">
          <w:rPr>
            <w:noProof/>
          </w:rPr>
          <w:t>13</w:t>
        </w:r>
      </w:fldSimple>
      <w:r w:rsidRPr="00EE41C6">
        <w:t xml:space="preserve"> </w:t>
      </w:r>
      <w:r w:rsidR="004D66E9" w:rsidRPr="00EE41C6">
        <w:rPr>
          <w:rFonts w:ascii="Times New Roman" w:hAnsi="Times New Roman" w:cs="Times New Roman"/>
        </w:rPr>
        <w:t>Annual global projection of three major staple food prices (2010$/kg)</w:t>
      </w:r>
      <w:r w:rsidR="00003056" w:rsidRPr="00EE41C6">
        <w:rPr>
          <w:rFonts w:ascii="Times New Roman" w:hAnsi="Times New Roman" w:cs="Times New Roman"/>
        </w:rPr>
        <w:t>. Overall, the CONV pathway leads to increased land allocation towards energy crops, which negatively impacts food cropland. As a result, staple food prices increase more under the CONV pathway compared to the AMB pathway across all three commodities.</w:t>
      </w:r>
    </w:p>
    <w:p w14:paraId="4A62454C" w14:textId="034DED76" w:rsidR="004D66E9" w:rsidRPr="00EE41C6" w:rsidRDefault="004D66E9" w:rsidP="004D66E9">
      <w:pPr>
        <w:jc w:val="center"/>
      </w:pPr>
      <w:r w:rsidRPr="00EE41C6">
        <w:rPr>
          <w:noProof/>
        </w:rPr>
        <w:lastRenderedPageBreak/>
        <w:drawing>
          <wp:inline distT="0" distB="0" distL="0" distR="0" wp14:anchorId="5F9B7040" wp14:editId="7D58E35C">
            <wp:extent cx="5943600" cy="4456430"/>
            <wp:effectExtent l="0" t="0" r="0" b="1270"/>
            <wp:docPr id="587182071"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82071" name="Graphic 587182071"/>
                    <pic:cNvPicPr/>
                  </pic:nvPicPr>
                  <pic:blipFill>
                    <a:blip r:embed="rId36">
                      <a:extLst>
                        <a:ext uri="{96DAC541-7B7A-43D3-8B79-37D633B846F1}">
                          <asvg:svgBlip xmlns:asvg="http://schemas.microsoft.com/office/drawing/2016/SVG/main" r:embed="rId37"/>
                        </a:ext>
                      </a:extLst>
                    </a:blip>
                    <a:stretch>
                      <a:fillRect/>
                    </a:stretch>
                  </pic:blipFill>
                  <pic:spPr>
                    <a:xfrm>
                      <a:off x="0" y="0"/>
                      <a:ext cx="5943600" cy="4456430"/>
                    </a:xfrm>
                    <a:prstGeom prst="rect">
                      <a:avLst/>
                    </a:prstGeom>
                  </pic:spPr>
                </pic:pic>
              </a:graphicData>
            </a:graphic>
          </wp:inline>
        </w:drawing>
      </w:r>
    </w:p>
    <w:p w14:paraId="7AD7F3DE" w14:textId="74B3261C" w:rsidR="004D66E9" w:rsidRPr="00EE41C6" w:rsidRDefault="0027477F" w:rsidP="00830047">
      <w:pPr>
        <w:pStyle w:val="Caption"/>
        <w:jc w:val="center"/>
      </w:pPr>
      <w:r w:rsidRPr="00EE41C6">
        <w:t xml:space="preserve">Supplementary Figure </w:t>
      </w:r>
      <w:fldSimple w:instr=" SEQ Supplementary_Figure \* ARABIC ">
        <w:r w:rsidR="00830047" w:rsidRPr="00EE41C6">
          <w:rPr>
            <w:noProof/>
          </w:rPr>
          <w:t>14</w:t>
        </w:r>
      </w:fldSimple>
      <w:r w:rsidR="00830047" w:rsidRPr="00EE41C6">
        <w:t xml:space="preserve"> </w:t>
      </w:r>
      <w:r w:rsidR="007C1E3A" w:rsidRPr="00EE41C6">
        <w:rPr>
          <w:rFonts w:ascii="Times New Roman" w:hAnsi="Times New Roman" w:cs="Times New Roman"/>
        </w:rPr>
        <w:t xml:space="preserve">Water withdrawal implications. </w:t>
      </w:r>
      <w:r w:rsidR="004C7E19" w:rsidRPr="00EE41C6">
        <w:rPr>
          <w:rFonts w:ascii="Times New Roman" w:hAnsi="Times New Roman" w:cs="Times New Roman"/>
        </w:rPr>
        <w:t>Water withdrawal by three energy-related activities: bioenergy crop cultivation, electricity generation, and extraction of primary energy resources (coal, oil, gas, nuclear). Large-scale reliance on CDR under the CONV pathway increases bioenergy crop cultivation and their related water withdrawals compared to the AMB pathway. Although AMB requires higher electrification, especially in the near term, its related water withdrawal is relatively lower compared to CONV. This is due to the faster phase-out of carbon-based electricity generation technologies under AMB, which reduces the amount of water withdrawn for electricity generation.</w:t>
      </w:r>
    </w:p>
    <w:p w14:paraId="12DF939E" w14:textId="77777777" w:rsidR="0028282E" w:rsidRPr="00EE41C6" w:rsidRDefault="0028282E" w:rsidP="0028282E"/>
    <w:p w14:paraId="6A4F5E36" w14:textId="77777777" w:rsidR="0028282E" w:rsidRPr="00EE41C6" w:rsidRDefault="0028282E" w:rsidP="0028282E"/>
    <w:p w14:paraId="429AF9A1" w14:textId="77777777" w:rsidR="0028282E" w:rsidRPr="00EE41C6" w:rsidRDefault="0028282E" w:rsidP="0028282E"/>
    <w:p w14:paraId="71C4EB13" w14:textId="77777777" w:rsidR="0028282E" w:rsidRPr="00EE41C6" w:rsidRDefault="0028282E" w:rsidP="0028282E"/>
    <w:p w14:paraId="533E3FE7" w14:textId="77777777" w:rsidR="0028282E" w:rsidRPr="00EE41C6" w:rsidRDefault="0028282E" w:rsidP="0028282E"/>
    <w:p w14:paraId="5718C5CC" w14:textId="77777777" w:rsidR="0028282E" w:rsidRPr="00EE41C6" w:rsidRDefault="0028282E" w:rsidP="0028282E"/>
    <w:p w14:paraId="12A8A8DC" w14:textId="77777777" w:rsidR="0028282E" w:rsidRPr="00EE41C6" w:rsidRDefault="0028282E" w:rsidP="0028282E"/>
    <w:p w14:paraId="09EC0107" w14:textId="5825AE0C" w:rsidR="0028282E" w:rsidRPr="00EE41C6" w:rsidRDefault="0028282E" w:rsidP="00FA24EA">
      <w:pPr>
        <w:spacing w:after="0" w:line="240" w:lineRule="auto"/>
        <w:jc w:val="center"/>
      </w:pPr>
      <w:r w:rsidRPr="00EE41C6">
        <w:rPr>
          <w:noProof/>
        </w:rPr>
        <w:lastRenderedPageBreak/>
        <w:drawing>
          <wp:inline distT="0" distB="0" distL="0" distR="0" wp14:anchorId="3892F932" wp14:editId="2D493D90">
            <wp:extent cx="5943600" cy="1276350"/>
            <wp:effectExtent l="0" t="0" r="0" b="0"/>
            <wp:docPr id="17724534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53480" name="Picture 1772453480"/>
                    <pic:cNvPicPr/>
                  </pic:nvPicPr>
                  <pic:blipFill rotWithShape="1">
                    <a:blip r:embed="rId38">
                      <a:extLst>
                        <a:ext uri="{28A0092B-C50C-407E-A947-70E740481C1C}">
                          <a14:useLocalDpi xmlns:a14="http://schemas.microsoft.com/office/drawing/2010/main" val="0"/>
                        </a:ext>
                      </a:extLst>
                    </a:blip>
                    <a:srcRect t="35654" b="35738"/>
                    <a:stretch/>
                  </pic:blipFill>
                  <pic:spPr bwMode="auto">
                    <a:xfrm>
                      <a:off x="0" y="0"/>
                      <a:ext cx="5943600" cy="1276350"/>
                    </a:xfrm>
                    <a:prstGeom prst="rect">
                      <a:avLst/>
                    </a:prstGeom>
                    <a:ln>
                      <a:noFill/>
                    </a:ln>
                    <a:extLst>
                      <a:ext uri="{53640926-AAD7-44D8-BBD7-CCE9431645EC}">
                        <a14:shadowObscured xmlns:a14="http://schemas.microsoft.com/office/drawing/2010/main"/>
                      </a:ext>
                    </a:extLst>
                  </pic:spPr>
                </pic:pic>
              </a:graphicData>
            </a:graphic>
          </wp:inline>
        </w:drawing>
      </w:r>
    </w:p>
    <w:p w14:paraId="6D4CC5BA" w14:textId="33A70FCF" w:rsidR="0028282E" w:rsidRPr="00EE41C6" w:rsidRDefault="00FA24EA" w:rsidP="009C023D">
      <w:pPr>
        <w:spacing w:after="0" w:line="240" w:lineRule="auto"/>
        <w:jc w:val="center"/>
      </w:pPr>
      <w:r w:rsidRPr="00EE41C6">
        <w:rPr>
          <w:noProof/>
        </w:rPr>
        <w:drawing>
          <wp:inline distT="0" distB="0" distL="0" distR="0" wp14:anchorId="2B16356B" wp14:editId="4A6994AE">
            <wp:extent cx="5943600" cy="1266825"/>
            <wp:effectExtent l="0" t="0" r="0" b="9525"/>
            <wp:docPr id="4685774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77477" name="Picture 468577477"/>
                    <pic:cNvPicPr/>
                  </pic:nvPicPr>
                  <pic:blipFill rotWithShape="1">
                    <a:blip r:embed="rId39">
                      <a:extLst>
                        <a:ext uri="{28A0092B-C50C-407E-A947-70E740481C1C}">
                          <a14:useLocalDpi xmlns:a14="http://schemas.microsoft.com/office/drawing/2010/main" val="0"/>
                        </a:ext>
                      </a:extLst>
                    </a:blip>
                    <a:srcRect t="35440" b="36166"/>
                    <a:stretch/>
                  </pic:blipFill>
                  <pic:spPr bwMode="auto">
                    <a:xfrm>
                      <a:off x="0" y="0"/>
                      <a:ext cx="5943600" cy="1266825"/>
                    </a:xfrm>
                    <a:prstGeom prst="rect">
                      <a:avLst/>
                    </a:prstGeom>
                    <a:ln>
                      <a:noFill/>
                    </a:ln>
                    <a:extLst>
                      <a:ext uri="{53640926-AAD7-44D8-BBD7-CCE9431645EC}">
                        <a14:shadowObscured xmlns:a14="http://schemas.microsoft.com/office/drawing/2010/main"/>
                      </a:ext>
                    </a:extLst>
                  </pic:spPr>
                </pic:pic>
              </a:graphicData>
            </a:graphic>
          </wp:inline>
        </w:drawing>
      </w:r>
    </w:p>
    <w:p w14:paraId="2629E355" w14:textId="5C97CBE0" w:rsidR="009C023D" w:rsidRPr="00EE41C6" w:rsidRDefault="009C023D" w:rsidP="0028282E">
      <w:pPr>
        <w:jc w:val="center"/>
      </w:pPr>
      <w:r w:rsidRPr="00EE41C6">
        <w:rPr>
          <w:noProof/>
        </w:rPr>
        <w:drawing>
          <wp:inline distT="0" distB="0" distL="0" distR="0" wp14:anchorId="467527E4" wp14:editId="0763D6CC">
            <wp:extent cx="5943600" cy="1247775"/>
            <wp:effectExtent l="0" t="0" r="0" b="9525"/>
            <wp:docPr id="14474848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84813" name="Picture 1447484813"/>
                    <pic:cNvPicPr/>
                  </pic:nvPicPr>
                  <pic:blipFill rotWithShape="1">
                    <a:blip r:embed="rId40">
                      <a:extLst>
                        <a:ext uri="{28A0092B-C50C-407E-A947-70E740481C1C}">
                          <a14:useLocalDpi xmlns:a14="http://schemas.microsoft.com/office/drawing/2010/main" val="0"/>
                        </a:ext>
                      </a:extLst>
                    </a:blip>
                    <a:srcRect t="36080" b="35952"/>
                    <a:stretch/>
                  </pic:blipFill>
                  <pic:spPr bwMode="auto">
                    <a:xfrm>
                      <a:off x="0" y="0"/>
                      <a:ext cx="5943600" cy="1247775"/>
                    </a:xfrm>
                    <a:prstGeom prst="rect">
                      <a:avLst/>
                    </a:prstGeom>
                    <a:ln>
                      <a:noFill/>
                    </a:ln>
                    <a:extLst>
                      <a:ext uri="{53640926-AAD7-44D8-BBD7-CCE9431645EC}">
                        <a14:shadowObscured xmlns:a14="http://schemas.microsoft.com/office/drawing/2010/main"/>
                      </a:ext>
                    </a:extLst>
                  </pic:spPr>
                </pic:pic>
              </a:graphicData>
            </a:graphic>
          </wp:inline>
        </w:drawing>
      </w:r>
    </w:p>
    <w:p w14:paraId="4A4AA24C" w14:textId="7C322088" w:rsidR="0028282E" w:rsidRPr="00EE41C6" w:rsidRDefault="009C023D" w:rsidP="00F81E86">
      <w:pPr>
        <w:pStyle w:val="Caption"/>
        <w:jc w:val="center"/>
        <w:rPr>
          <w:rFonts w:ascii="Times New Roman" w:hAnsi="Times New Roman" w:cs="Times New Roman"/>
        </w:rPr>
      </w:pPr>
      <w:r w:rsidRPr="00EE41C6">
        <w:t xml:space="preserve">Supplementary Figure </w:t>
      </w:r>
      <w:fldSimple w:instr=" SEQ Supplementary_Figure \* ARABIC ">
        <w:r w:rsidR="00830047" w:rsidRPr="00EE41C6">
          <w:rPr>
            <w:noProof/>
          </w:rPr>
          <w:t>15</w:t>
        </w:r>
      </w:fldSimple>
      <w:r w:rsidR="00830047" w:rsidRPr="00EE41C6">
        <w:t xml:space="preserve"> </w:t>
      </w:r>
      <w:r w:rsidR="004C7E19" w:rsidRPr="00EE41C6">
        <w:rPr>
          <w:rFonts w:ascii="Times New Roman" w:hAnsi="Times New Roman" w:cs="Times New Roman"/>
        </w:rPr>
        <w:t>Change in water withdrawal for energy-related purposes between</w:t>
      </w:r>
      <w:r w:rsidR="0028282E" w:rsidRPr="00EE41C6">
        <w:rPr>
          <w:rFonts w:ascii="Times New Roman" w:hAnsi="Times New Roman" w:cs="Times New Roman"/>
        </w:rPr>
        <w:t xml:space="preserve"> 2025-2100 (%)</w:t>
      </w:r>
      <w:r w:rsidR="004C7E19" w:rsidRPr="00EE41C6">
        <w:rPr>
          <w:rFonts w:ascii="Times New Roman" w:hAnsi="Times New Roman" w:cs="Times New Roman"/>
        </w:rPr>
        <w:t xml:space="preserve">. </w:t>
      </w:r>
      <w:r w:rsidR="00F81E86" w:rsidRPr="00EE41C6">
        <w:rPr>
          <w:rFonts w:ascii="Times New Roman" w:hAnsi="Times New Roman" w:cs="Times New Roman"/>
        </w:rPr>
        <w:t>Water withdrawals by three energy-related activities—bioenergy crop cultivation, electricity generation, and extraction of primary energy resources (coal, oil, gas, nuclear)—show different trends over time. For bioenergy crop cultivation and electricity generation, there is a general increase in water withdrawals due to rising energy demand, electrification of end-use sectors, and CO</w:t>
      </w:r>
      <w:r w:rsidR="00F81E86" w:rsidRPr="00EE41C6">
        <w:rPr>
          <w:rFonts w:ascii="Times New Roman" w:hAnsi="Times New Roman" w:cs="Times New Roman"/>
          <w:vertAlign w:val="subscript"/>
        </w:rPr>
        <w:t>2</w:t>
      </w:r>
      <w:r w:rsidR="00F81E86" w:rsidRPr="00EE41C6">
        <w:rPr>
          <w:rFonts w:ascii="Times New Roman" w:hAnsi="Times New Roman" w:cs="Times New Roman"/>
        </w:rPr>
        <w:t xml:space="preserve"> removal efforts. However, water withdrawals for primary energy extraction generally decrease over time as fossil fuels phase down under climate change mitigation actions. For electricity generation and bioenergy crop cultivation</w:t>
      </w:r>
      <w:r w:rsidR="00526A5F" w:rsidRPr="00EE41C6">
        <w:rPr>
          <w:rFonts w:ascii="Times New Roman" w:hAnsi="Times New Roman" w:cs="Times New Roman"/>
        </w:rPr>
        <w:t xml:space="preserve"> (on a global average)</w:t>
      </w:r>
      <w:r w:rsidR="00F81E86" w:rsidRPr="00EE41C6">
        <w:rPr>
          <w:rFonts w:ascii="Times New Roman" w:hAnsi="Times New Roman" w:cs="Times New Roman"/>
        </w:rPr>
        <w:t>, water withdrawal increases are expected to be higher under the CONV pathway than under the AMB pathway. This is due to AMB’s lower CDR demand and the rapid phase-out of carbon-based electricity generation technologies. For example, under CONV, global average changes in water withdrawals for electricity generation and bioenergy crop cultivation are 260% and 1650%, respectively, compared to 225% and 830% under AMB. The largest growth in water withdrawals for bioenergy crop cultivation is expected in the Middle East and Argentina, particularly under CONV, while the largest growth in water withdrawals for electricity generation is expected to occur in Africa. Regarding water withdrawals for primary energy extraction, the highest reduction is expected under AMB, with a global average decrease of 35% compared to 20% under CONV. The most significant reductions in water withdrawals for primary energy extraction are expected in South America, Australia, and Mexico.</w:t>
      </w:r>
    </w:p>
    <w:p w14:paraId="65D3C318" w14:textId="2D4A8AAF" w:rsidR="00AE51C9" w:rsidRPr="00EE41C6" w:rsidRDefault="00AE51C9" w:rsidP="00AE51C9">
      <w:r w:rsidRPr="00EE41C6">
        <w:rPr>
          <w:noProof/>
        </w:rPr>
        <w:lastRenderedPageBreak/>
        <w:drawing>
          <wp:inline distT="0" distB="0" distL="0" distR="0" wp14:anchorId="1FB7302C" wp14:editId="3DA9AC68">
            <wp:extent cx="5943600" cy="4456430"/>
            <wp:effectExtent l="0" t="0" r="0" b="1270"/>
            <wp:docPr id="712959155"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59155" name="Graphic 712959155"/>
                    <pic:cNvPicPr/>
                  </pic:nvPicPr>
                  <pic:blipFill>
                    <a:blip r:embed="rId41">
                      <a:extLst>
                        <a:ext uri="{96DAC541-7B7A-43D3-8B79-37D633B846F1}">
                          <asvg:svgBlip xmlns:asvg="http://schemas.microsoft.com/office/drawing/2016/SVG/main" r:embed="rId42"/>
                        </a:ext>
                      </a:extLst>
                    </a:blip>
                    <a:stretch>
                      <a:fillRect/>
                    </a:stretch>
                  </pic:blipFill>
                  <pic:spPr>
                    <a:xfrm>
                      <a:off x="0" y="0"/>
                      <a:ext cx="5943600" cy="4456430"/>
                    </a:xfrm>
                    <a:prstGeom prst="rect">
                      <a:avLst/>
                    </a:prstGeom>
                  </pic:spPr>
                </pic:pic>
              </a:graphicData>
            </a:graphic>
          </wp:inline>
        </w:drawing>
      </w:r>
    </w:p>
    <w:p w14:paraId="1513238F" w14:textId="6D6066C9" w:rsidR="00830047" w:rsidRPr="00EE41C6" w:rsidRDefault="00830047" w:rsidP="00830047">
      <w:pPr>
        <w:pStyle w:val="Caption"/>
        <w:jc w:val="center"/>
      </w:pPr>
      <w:r w:rsidRPr="00EE41C6">
        <w:t xml:space="preserve">Supplementary Figure </w:t>
      </w:r>
      <w:fldSimple w:instr=" SEQ Supplementary_Figure \* ARABIC ">
        <w:r w:rsidRPr="00EE41C6">
          <w:rPr>
            <w:noProof/>
          </w:rPr>
          <w:t>16</w:t>
        </w:r>
      </w:fldSimple>
      <w:r w:rsidRPr="00EE41C6">
        <w:t xml:space="preserve"> </w:t>
      </w:r>
      <w:r w:rsidRPr="00EE41C6">
        <w:rPr>
          <w:rFonts w:ascii="Times New Roman" w:hAnsi="Times New Roman" w:cs="Times New Roman"/>
        </w:rPr>
        <w:t>Investment cost in energy supply related to CO</w:t>
      </w:r>
      <w:r w:rsidRPr="00EE41C6">
        <w:rPr>
          <w:rFonts w:ascii="Times New Roman" w:hAnsi="Times New Roman" w:cs="Times New Roman"/>
          <w:vertAlign w:val="subscript"/>
        </w:rPr>
        <w:t>2</w:t>
      </w:r>
      <w:r w:rsidRPr="00EE41C6">
        <w:rPr>
          <w:rFonts w:ascii="Times New Roman" w:hAnsi="Times New Roman" w:cs="Times New Roman"/>
        </w:rPr>
        <w:t xml:space="preserve"> transport and storage</w:t>
      </w:r>
    </w:p>
    <w:p w14:paraId="7F470A3C" w14:textId="01E6E69B" w:rsidR="00830047" w:rsidRPr="00EE41C6" w:rsidRDefault="00830047" w:rsidP="00AE51C9"/>
    <w:p w14:paraId="22F25E65" w14:textId="12F83BF4" w:rsidR="00AE51C9" w:rsidRPr="00EE41C6" w:rsidRDefault="00AE51C9" w:rsidP="00AE51C9">
      <w:r w:rsidRPr="00EE41C6">
        <w:rPr>
          <w:noProof/>
        </w:rPr>
        <w:lastRenderedPageBreak/>
        <w:drawing>
          <wp:inline distT="0" distB="0" distL="0" distR="0" wp14:anchorId="5820AEC5" wp14:editId="7D69B0A8">
            <wp:extent cx="5943600" cy="4456430"/>
            <wp:effectExtent l="0" t="0" r="0" b="1270"/>
            <wp:docPr id="1663440412"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40412" name="Graphic 1663440412"/>
                    <pic:cNvPicPr/>
                  </pic:nvPicPr>
                  <pic:blipFill>
                    <a:blip r:embed="rId43">
                      <a:extLst>
                        <a:ext uri="{96DAC541-7B7A-43D3-8B79-37D633B846F1}">
                          <asvg:svgBlip xmlns:asvg="http://schemas.microsoft.com/office/drawing/2016/SVG/main" r:embed="rId44"/>
                        </a:ext>
                      </a:extLst>
                    </a:blip>
                    <a:stretch>
                      <a:fillRect/>
                    </a:stretch>
                  </pic:blipFill>
                  <pic:spPr>
                    <a:xfrm>
                      <a:off x="0" y="0"/>
                      <a:ext cx="5943600" cy="4456430"/>
                    </a:xfrm>
                    <a:prstGeom prst="rect">
                      <a:avLst/>
                    </a:prstGeom>
                  </pic:spPr>
                </pic:pic>
              </a:graphicData>
            </a:graphic>
          </wp:inline>
        </w:drawing>
      </w:r>
    </w:p>
    <w:p w14:paraId="71609834" w14:textId="553639B4" w:rsidR="00830047" w:rsidRPr="00EE41C6" w:rsidRDefault="00830047" w:rsidP="00830047">
      <w:pPr>
        <w:pStyle w:val="Caption"/>
        <w:jc w:val="center"/>
        <w:rPr>
          <w:rFonts w:ascii="Times New Roman" w:hAnsi="Times New Roman" w:cs="Times New Roman"/>
        </w:rPr>
      </w:pPr>
      <w:r w:rsidRPr="00EE41C6">
        <w:t xml:space="preserve">Supplementary Figure </w:t>
      </w:r>
      <w:fldSimple w:instr=" SEQ Supplementary_Figure \* ARABIC ">
        <w:r w:rsidRPr="00EE41C6">
          <w:rPr>
            <w:noProof/>
          </w:rPr>
          <w:t>17</w:t>
        </w:r>
      </w:fldSimple>
      <w:r w:rsidRPr="00EE41C6">
        <w:t xml:space="preserve"> </w:t>
      </w:r>
      <w:r w:rsidRPr="00EE41C6">
        <w:rPr>
          <w:rFonts w:ascii="Times New Roman" w:hAnsi="Times New Roman" w:cs="Times New Roman"/>
        </w:rPr>
        <w:t>Investment cost in energy supply related to fossil fuel (oil, coal, gas) extraction</w:t>
      </w:r>
    </w:p>
    <w:p w14:paraId="15092DA8" w14:textId="035A67C2" w:rsidR="00DF12E8" w:rsidRPr="00EE41C6" w:rsidRDefault="00DF12E8" w:rsidP="00AE51C9">
      <w:r w:rsidRPr="00EE41C6">
        <w:rPr>
          <w:noProof/>
        </w:rPr>
        <w:lastRenderedPageBreak/>
        <w:drawing>
          <wp:inline distT="0" distB="0" distL="0" distR="0" wp14:anchorId="3E4B2A0F" wp14:editId="531C0BF4">
            <wp:extent cx="5943600" cy="4456430"/>
            <wp:effectExtent l="0" t="0" r="0" b="1270"/>
            <wp:docPr id="367549732"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49732" name="Graphic 367549732"/>
                    <pic:cNvPicPr/>
                  </pic:nvPicPr>
                  <pic:blipFill>
                    <a:blip r:embed="rId45">
                      <a:extLst>
                        <a:ext uri="{96DAC541-7B7A-43D3-8B79-37D633B846F1}">
                          <asvg:svgBlip xmlns:asvg="http://schemas.microsoft.com/office/drawing/2016/SVG/main" r:embed="rId46"/>
                        </a:ext>
                      </a:extLst>
                    </a:blip>
                    <a:stretch>
                      <a:fillRect/>
                    </a:stretch>
                  </pic:blipFill>
                  <pic:spPr>
                    <a:xfrm>
                      <a:off x="0" y="0"/>
                      <a:ext cx="5943600" cy="4456430"/>
                    </a:xfrm>
                    <a:prstGeom prst="rect">
                      <a:avLst/>
                    </a:prstGeom>
                  </pic:spPr>
                </pic:pic>
              </a:graphicData>
            </a:graphic>
          </wp:inline>
        </w:drawing>
      </w:r>
    </w:p>
    <w:p w14:paraId="46251C23" w14:textId="06C4468B" w:rsidR="00830047" w:rsidRPr="00EE41C6" w:rsidRDefault="00830047" w:rsidP="00830047">
      <w:pPr>
        <w:pStyle w:val="Caption"/>
        <w:jc w:val="center"/>
      </w:pPr>
      <w:r w:rsidRPr="00EE41C6">
        <w:t xml:space="preserve">Supplementary Figure </w:t>
      </w:r>
      <w:fldSimple w:instr=" SEQ Supplementary_Figure \* ARABIC ">
        <w:r w:rsidRPr="00EE41C6">
          <w:rPr>
            <w:noProof/>
          </w:rPr>
          <w:t>18</w:t>
        </w:r>
      </w:fldSimple>
      <w:r w:rsidRPr="00EE41C6">
        <w:t xml:space="preserve"> </w:t>
      </w:r>
      <w:r w:rsidRPr="00EE41C6">
        <w:rPr>
          <w:rFonts w:ascii="Times New Roman" w:hAnsi="Times New Roman" w:cs="Times New Roman"/>
        </w:rPr>
        <w:t>Investment cost in energy supply related to electricity</w:t>
      </w:r>
    </w:p>
    <w:p w14:paraId="51AE21F2" w14:textId="2268B79F" w:rsidR="00830047" w:rsidRPr="00EE41C6" w:rsidRDefault="00830047" w:rsidP="00AE51C9">
      <w:r w:rsidRPr="00EE41C6">
        <w:rPr>
          <w:noProof/>
        </w:rPr>
        <w:lastRenderedPageBreak/>
        <w:drawing>
          <wp:inline distT="0" distB="0" distL="0" distR="0" wp14:anchorId="2659139F" wp14:editId="5EC8DB1B">
            <wp:extent cx="5943600" cy="4456430"/>
            <wp:effectExtent l="0" t="0" r="0" b="1270"/>
            <wp:docPr id="1288279741"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79741" name="Graphic 1288279741"/>
                    <pic:cNvPicPr/>
                  </pic:nvPicPr>
                  <pic:blipFill>
                    <a:blip r:embed="rId47">
                      <a:extLst>
                        <a:ext uri="{96DAC541-7B7A-43D3-8B79-37D633B846F1}">
                          <asvg:svgBlip xmlns:asvg="http://schemas.microsoft.com/office/drawing/2016/SVG/main" r:embed="rId48"/>
                        </a:ext>
                      </a:extLst>
                    </a:blip>
                    <a:stretch>
                      <a:fillRect/>
                    </a:stretch>
                  </pic:blipFill>
                  <pic:spPr>
                    <a:xfrm>
                      <a:off x="0" y="0"/>
                      <a:ext cx="5943600" cy="4456430"/>
                    </a:xfrm>
                    <a:prstGeom prst="rect">
                      <a:avLst/>
                    </a:prstGeom>
                  </pic:spPr>
                </pic:pic>
              </a:graphicData>
            </a:graphic>
          </wp:inline>
        </w:drawing>
      </w:r>
    </w:p>
    <w:p w14:paraId="1854B203" w14:textId="50910DE9" w:rsidR="00830047" w:rsidRPr="00EE41C6" w:rsidRDefault="00830047" w:rsidP="00830047">
      <w:pPr>
        <w:pStyle w:val="Caption"/>
        <w:jc w:val="center"/>
        <w:rPr>
          <w:rFonts w:ascii="Times New Roman" w:hAnsi="Times New Roman" w:cs="Times New Roman"/>
        </w:rPr>
      </w:pPr>
      <w:r w:rsidRPr="00EE41C6">
        <w:t xml:space="preserve">Supplementary Figure </w:t>
      </w:r>
      <w:fldSimple w:instr=" SEQ Supplementary_Figure \* ARABIC ">
        <w:r w:rsidRPr="00EE41C6">
          <w:rPr>
            <w:noProof/>
          </w:rPr>
          <w:t>19</w:t>
        </w:r>
      </w:fldSimple>
      <w:r w:rsidRPr="00EE41C6">
        <w:t xml:space="preserve"> </w:t>
      </w:r>
      <w:r w:rsidRPr="00EE41C6">
        <w:rPr>
          <w:rFonts w:ascii="Times New Roman" w:hAnsi="Times New Roman" w:cs="Times New Roman"/>
        </w:rPr>
        <w:t>Investment cost in energy supply related to electricity transmission and distribution</w:t>
      </w:r>
    </w:p>
    <w:p w14:paraId="053B0AE7" w14:textId="77777777" w:rsidR="00AE51C9" w:rsidRPr="00EE41C6" w:rsidRDefault="00AE51C9" w:rsidP="00AE51C9"/>
    <w:p w14:paraId="320C006E" w14:textId="77777777" w:rsidR="00E87A43" w:rsidRPr="00EE41C6" w:rsidRDefault="00E87A43" w:rsidP="008D1BF3">
      <w:pPr>
        <w:spacing w:line="480" w:lineRule="auto"/>
        <w:ind w:firstLine="288"/>
        <w:jc w:val="center"/>
        <w:rPr>
          <w:rFonts w:ascii="Times New Roman" w:hAnsi="Times New Roman" w:cs="Times New Roman"/>
        </w:rPr>
      </w:pPr>
    </w:p>
    <w:p w14:paraId="7539BE06" w14:textId="77777777" w:rsidR="00E87A43" w:rsidRPr="00EE41C6" w:rsidRDefault="00E87A43" w:rsidP="008D1BF3">
      <w:pPr>
        <w:spacing w:line="480" w:lineRule="auto"/>
        <w:ind w:firstLine="288"/>
        <w:jc w:val="center"/>
        <w:rPr>
          <w:rFonts w:ascii="Times New Roman" w:hAnsi="Times New Roman" w:cs="Times New Roman"/>
        </w:rPr>
      </w:pPr>
    </w:p>
    <w:p w14:paraId="6B055313" w14:textId="77777777" w:rsidR="00E87A43" w:rsidRPr="00EE41C6" w:rsidRDefault="00E87A43" w:rsidP="008D1BF3">
      <w:pPr>
        <w:spacing w:line="480" w:lineRule="auto"/>
        <w:ind w:firstLine="288"/>
        <w:jc w:val="center"/>
        <w:rPr>
          <w:rFonts w:ascii="Times New Roman" w:hAnsi="Times New Roman" w:cs="Times New Roman"/>
        </w:rPr>
      </w:pPr>
    </w:p>
    <w:p w14:paraId="27FD317E" w14:textId="77777777" w:rsidR="00E87A43" w:rsidRPr="00EE41C6" w:rsidRDefault="00E87A43" w:rsidP="008D1BF3">
      <w:pPr>
        <w:spacing w:line="480" w:lineRule="auto"/>
        <w:ind w:firstLine="288"/>
        <w:jc w:val="center"/>
        <w:rPr>
          <w:rFonts w:ascii="Times New Roman" w:hAnsi="Times New Roman" w:cs="Times New Roman"/>
        </w:rPr>
      </w:pPr>
    </w:p>
    <w:p w14:paraId="0A1B869A" w14:textId="77777777" w:rsidR="00E87A43" w:rsidRPr="00EE41C6" w:rsidRDefault="00E87A43" w:rsidP="008D1BF3">
      <w:pPr>
        <w:spacing w:line="480" w:lineRule="auto"/>
        <w:ind w:firstLine="288"/>
        <w:jc w:val="center"/>
        <w:rPr>
          <w:rFonts w:ascii="Times New Roman" w:hAnsi="Times New Roman" w:cs="Times New Roman"/>
        </w:rPr>
      </w:pPr>
    </w:p>
    <w:p w14:paraId="04D9C343" w14:textId="77777777" w:rsidR="00E87A43" w:rsidRPr="00EE41C6" w:rsidRDefault="00E87A43" w:rsidP="008D1BF3">
      <w:pPr>
        <w:spacing w:line="480" w:lineRule="auto"/>
        <w:ind w:firstLine="288"/>
        <w:jc w:val="center"/>
        <w:rPr>
          <w:rFonts w:ascii="Times New Roman" w:hAnsi="Times New Roman" w:cs="Times New Roman"/>
        </w:rPr>
      </w:pPr>
    </w:p>
    <w:p w14:paraId="60B926C3" w14:textId="77777777" w:rsidR="00E87A43" w:rsidRPr="00EE41C6" w:rsidRDefault="00E87A43" w:rsidP="008D1BF3">
      <w:pPr>
        <w:spacing w:line="480" w:lineRule="auto"/>
        <w:ind w:firstLine="288"/>
        <w:jc w:val="center"/>
        <w:rPr>
          <w:rFonts w:ascii="Times New Roman" w:hAnsi="Times New Roman" w:cs="Times New Roman"/>
        </w:rPr>
      </w:pPr>
    </w:p>
    <w:p w14:paraId="6D494B68" w14:textId="1A083F18" w:rsidR="008409AF" w:rsidRPr="00EE41C6" w:rsidRDefault="008409AF" w:rsidP="008409AF">
      <w:pPr>
        <w:pStyle w:val="Heading1"/>
        <w:rPr>
          <w:rFonts w:ascii="Times New Roman" w:hAnsi="Times New Roman" w:cs="Times New Roman"/>
        </w:rPr>
      </w:pPr>
      <w:bookmarkStart w:id="19" w:name="_Toc176517751"/>
      <w:r w:rsidRPr="00EE41C6">
        <w:rPr>
          <w:rFonts w:ascii="Times New Roman" w:hAnsi="Times New Roman" w:cs="Times New Roman"/>
        </w:rPr>
        <w:lastRenderedPageBreak/>
        <w:t>Supplementary Tables</w:t>
      </w:r>
      <w:bookmarkEnd w:id="19"/>
      <w:r w:rsidRPr="00EE41C6">
        <w:rPr>
          <w:rFonts w:ascii="Times New Roman" w:hAnsi="Times New Roman" w:cs="Times New Roman"/>
        </w:rPr>
        <w:t xml:space="preserve"> </w:t>
      </w:r>
    </w:p>
    <w:p w14:paraId="15865234" w14:textId="77777777" w:rsidR="008409AF" w:rsidRPr="00EE41C6" w:rsidRDefault="008409AF" w:rsidP="008409AF">
      <w:pPr>
        <w:spacing w:after="0"/>
      </w:pPr>
    </w:p>
    <w:p w14:paraId="1BAD2380" w14:textId="2D1268CF" w:rsidR="008409AF" w:rsidRPr="00EE41C6" w:rsidRDefault="00CD20C5" w:rsidP="00CD20C5">
      <w:pPr>
        <w:pStyle w:val="Caption"/>
        <w:jc w:val="center"/>
      </w:pPr>
      <w:r w:rsidRPr="00EE41C6">
        <w:t xml:space="preserve">Supplementary Table </w:t>
      </w:r>
      <w:fldSimple w:instr=" SEQ Supplementary_Table \* ARABIC ">
        <w:r w:rsidR="008628F3" w:rsidRPr="00EE41C6">
          <w:rPr>
            <w:noProof/>
          </w:rPr>
          <w:t>1</w:t>
        </w:r>
      </w:fldSimple>
      <w:r w:rsidRPr="00EE41C6">
        <w:t xml:space="preserve"> </w:t>
      </w:r>
      <w:r w:rsidR="008409AF" w:rsidRPr="00EE41C6">
        <w:rPr>
          <w:rFonts w:ascii="Times New Roman" w:eastAsia="DengXian" w:hAnsi="Times New Roman" w:cs="Times New Roman"/>
          <w:color w:val="auto"/>
          <w:kern w:val="0"/>
          <w14:ligatures w14:val="none"/>
        </w:rPr>
        <w:t>Input assumptions for SECT-FAIR scenario</w:t>
      </w:r>
    </w:p>
    <w:tbl>
      <w:tblPr>
        <w:tblStyle w:val="TableGrid"/>
        <w:tblW w:w="0" w:type="auto"/>
        <w:tblLook w:val="04A0" w:firstRow="1" w:lastRow="0" w:firstColumn="1" w:lastColumn="0" w:noHBand="0" w:noVBand="1"/>
      </w:tblPr>
      <w:tblGrid>
        <w:gridCol w:w="1802"/>
        <w:gridCol w:w="1889"/>
        <w:gridCol w:w="1748"/>
        <w:gridCol w:w="1456"/>
        <w:gridCol w:w="2455"/>
      </w:tblGrid>
      <w:tr w:rsidR="005647E6" w:rsidRPr="00EE41C6" w14:paraId="110B1F5C" w14:textId="77777777" w:rsidTr="005647E6">
        <w:tc>
          <w:tcPr>
            <w:tcW w:w="0" w:type="auto"/>
          </w:tcPr>
          <w:p w14:paraId="1F2910F8" w14:textId="77777777" w:rsidR="005647E6" w:rsidRPr="00EE41C6" w:rsidRDefault="005647E6" w:rsidP="005647E6">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GCAM Region</w:t>
            </w:r>
          </w:p>
        </w:tc>
        <w:tc>
          <w:tcPr>
            <w:tcW w:w="1889" w:type="dxa"/>
          </w:tcPr>
          <w:p w14:paraId="057CC0C1" w14:textId="77777777" w:rsidR="005647E6" w:rsidRPr="00EE41C6" w:rsidRDefault="005647E6" w:rsidP="005647E6">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Zero emissions power sector</w:t>
            </w:r>
          </w:p>
        </w:tc>
        <w:tc>
          <w:tcPr>
            <w:tcW w:w="1748" w:type="dxa"/>
            <w:shd w:val="clear" w:color="auto" w:fill="FFF2CC" w:themeFill="accent4" w:themeFillTint="33"/>
          </w:tcPr>
          <w:p w14:paraId="1DFB6A9B" w14:textId="77777777" w:rsidR="005647E6" w:rsidRPr="00EE41C6" w:rsidRDefault="005647E6" w:rsidP="005647E6">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Modeled period for power based on ‘ability to pay’ equity principle*</w:t>
            </w:r>
          </w:p>
        </w:tc>
        <w:tc>
          <w:tcPr>
            <w:tcW w:w="0" w:type="auto"/>
          </w:tcPr>
          <w:p w14:paraId="51358284" w14:textId="77777777" w:rsidR="005647E6" w:rsidRPr="00EE41C6" w:rsidRDefault="005647E6" w:rsidP="005647E6">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Zero emissions transport sector</w:t>
            </w:r>
          </w:p>
        </w:tc>
        <w:tc>
          <w:tcPr>
            <w:tcW w:w="0" w:type="auto"/>
            <w:shd w:val="clear" w:color="auto" w:fill="FFF2CC" w:themeFill="accent4" w:themeFillTint="33"/>
          </w:tcPr>
          <w:p w14:paraId="0CDCE35D" w14:textId="77777777" w:rsidR="005647E6" w:rsidRPr="00EE41C6" w:rsidRDefault="005647E6" w:rsidP="005647E6">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Modeled period for transport based on ‘ability to pay’ equity principle*</w:t>
            </w:r>
          </w:p>
        </w:tc>
      </w:tr>
      <w:tr w:rsidR="005647E6" w:rsidRPr="00EE41C6" w14:paraId="18DD6F1C" w14:textId="77777777" w:rsidTr="005647E6">
        <w:tc>
          <w:tcPr>
            <w:tcW w:w="0" w:type="auto"/>
          </w:tcPr>
          <w:p w14:paraId="72BEC537"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Middle East</w:t>
            </w:r>
          </w:p>
        </w:tc>
        <w:tc>
          <w:tcPr>
            <w:tcW w:w="1889" w:type="dxa"/>
          </w:tcPr>
          <w:p w14:paraId="1BA0C30C"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2040-2043</w:t>
            </w:r>
          </w:p>
        </w:tc>
        <w:tc>
          <w:tcPr>
            <w:tcW w:w="1748" w:type="dxa"/>
            <w:shd w:val="clear" w:color="auto" w:fill="FFF2CC" w:themeFill="accent4" w:themeFillTint="33"/>
          </w:tcPr>
          <w:p w14:paraId="016764C7"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2045</w:t>
            </w:r>
          </w:p>
        </w:tc>
        <w:tc>
          <w:tcPr>
            <w:tcW w:w="0" w:type="auto"/>
          </w:tcPr>
          <w:p w14:paraId="7691C95B"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2055-2067</w:t>
            </w:r>
          </w:p>
        </w:tc>
        <w:tc>
          <w:tcPr>
            <w:tcW w:w="0" w:type="auto"/>
            <w:shd w:val="clear" w:color="auto" w:fill="FFF2CC" w:themeFill="accent4" w:themeFillTint="33"/>
          </w:tcPr>
          <w:p w14:paraId="51E6A890"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2065</w:t>
            </w:r>
          </w:p>
        </w:tc>
      </w:tr>
      <w:tr w:rsidR="005647E6" w:rsidRPr="00EE41C6" w14:paraId="0C88AFF9" w14:textId="77777777" w:rsidTr="005647E6">
        <w:tc>
          <w:tcPr>
            <w:tcW w:w="0" w:type="auto"/>
          </w:tcPr>
          <w:p w14:paraId="01FC5400"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 xml:space="preserve">European </w:t>
            </w:r>
            <w:proofErr w:type="gramStart"/>
            <w:r w:rsidRPr="00EE41C6">
              <w:rPr>
                <w:rFonts w:ascii="Times New Roman" w:hAnsi="Times New Roman" w:cs="Times New Roman"/>
                <w:sz w:val="18"/>
                <w:szCs w:val="18"/>
              </w:rPr>
              <w:t>Non-EU</w:t>
            </w:r>
            <w:proofErr w:type="gramEnd"/>
          </w:p>
        </w:tc>
        <w:tc>
          <w:tcPr>
            <w:tcW w:w="1889" w:type="dxa"/>
          </w:tcPr>
          <w:p w14:paraId="482F3AC6"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2038-2039</w:t>
            </w:r>
          </w:p>
        </w:tc>
        <w:tc>
          <w:tcPr>
            <w:tcW w:w="1748" w:type="dxa"/>
            <w:shd w:val="clear" w:color="auto" w:fill="FFF2CC" w:themeFill="accent4" w:themeFillTint="33"/>
          </w:tcPr>
          <w:p w14:paraId="56EE8F4E"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2040</w:t>
            </w:r>
          </w:p>
        </w:tc>
        <w:tc>
          <w:tcPr>
            <w:tcW w:w="0" w:type="auto"/>
          </w:tcPr>
          <w:p w14:paraId="18FC77DC"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2049-2070</w:t>
            </w:r>
          </w:p>
        </w:tc>
        <w:tc>
          <w:tcPr>
            <w:tcW w:w="0" w:type="auto"/>
            <w:shd w:val="clear" w:color="auto" w:fill="FFF2CC" w:themeFill="accent4" w:themeFillTint="33"/>
          </w:tcPr>
          <w:p w14:paraId="288EE234"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2070</w:t>
            </w:r>
          </w:p>
        </w:tc>
      </w:tr>
      <w:tr w:rsidR="005647E6" w:rsidRPr="00EE41C6" w14:paraId="6454BA14" w14:textId="77777777" w:rsidTr="005647E6">
        <w:tc>
          <w:tcPr>
            <w:tcW w:w="0" w:type="auto"/>
          </w:tcPr>
          <w:p w14:paraId="72D39714"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Southeast Asia</w:t>
            </w:r>
          </w:p>
        </w:tc>
        <w:tc>
          <w:tcPr>
            <w:tcW w:w="1889" w:type="dxa"/>
          </w:tcPr>
          <w:p w14:paraId="3A57E03D"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2040</w:t>
            </w:r>
          </w:p>
        </w:tc>
        <w:tc>
          <w:tcPr>
            <w:tcW w:w="1748" w:type="dxa"/>
            <w:shd w:val="clear" w:color="auto" w:fill="FFF2CC" w:themeFill="accent4" w:themeFillTint="33"/>
          </w:tcPr>
          <w:p w14:paraId="5842554E"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2040</w:t>
            </w:r>
          </w:p>
        </w:tc>
        <w:tc>
          <w:tcPr>
            <w:tcW w:w="0" w:type="auto"/>
          </w:tcPr>
          <w:p w14:paraId="03CF86AD"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2055-2068</w:t>
            </w:r>
          </w:p>
        </w:tc>
        <w:tc>
          <w:tcPr>
            <w:tcW w:w="0" w:type="auto"/>
            <w:shd w:val="clear" w:color="auto" w:fill="FFF2CC" w:themeFill="accent4" w:themeFillTint="33"/>
          </w:tcPr>
          <w:p w14:paraId="4B6E5F8E"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2070</w:t>
            </w:r>
          </w:p>
        </w:tc>
      </w:tr>
      <w:tr w:rsidR="005647E6" w:rsidRPr="00EE41C6" w14:paraId="78BD9386" w14:textId="77777777" w:rsidTr="005647E6">
        <w:tc>
          <w:tcPr>
            <w:tcW w:w="0" w:type="auto"/>
          </w:tcPr>
          <w:p w14:paraId="217375E6"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Central Asia</w:t>
            </w:r>
          </w:p>
        </w:tc>
        <w:tc>
          <w:tcPr>
            <w:tcW w:w="1889" w:type="dxa"/>
          </w:tcPr>
          <w:p w14:paraId="657EA9DB"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2033-2040</w:t>
            </w:r>
          </w:p>
        </w:tc>
        <w:tc>
          <w:tcPr>
            <w:tcW w:w="1748" w:type="dxa"/>
            <w:shd w:val="clear" w:color="auto" w:fill="FFF2CC" w:themeFill="accent4" w:themeFillTint="33"/>
          </w:tcPr>
          <w:p w14:paraId="47472454"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2040</w:t>
            </w:r>
          </w:p>
        </w:tc>
        <w:tc>
          <w:tcPr>
            <w:tcW w:w="0" w:type="auto"/>
          </w:tcPr>
          <w:p w14:paraId="0F498854"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2055-2058</w:t>
            </w:r>
          </w:p>
        </w:tc>
        <w:tc>
          <w:tcPr>
            <w:tcW w:w="0" w:type="auto"/>
            <w:shd w:val="clear" w:color="auto" w:fill="FFF2CC" w:themeFill="accent4" w:themeFillTint="33"/>
          </w:tcPr>
          <w:p w14:paraId="12FFC1E1"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2060</w:t>
            </w:r>
          </w:p>
        </w:tc>
      </w:tr>
      <w:tr w:rsidR="005647E6" w:rsidRPr="00EE41C6" w14:paraId="2D73344F" w14:textId="77777777" w:rsidTr="005647E6">
        <w:tc>
          <w:tcPr>
            <w:tcW w:w="0" w:type="auto"/>
          </w:tcPr>
          <w:p w14:paraId="1BD18420"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Africa Northern</w:t>
            </w:r>
          </w:p>
        </w:tc>
        <w:tc>
          <w:tcPr>
            <w:tcW w:w="1889" w:type="dxa"/>
          </w:tcPr>
          <w:p w14:paraId="4FC6909F"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2036-2039</w:t>
            </w:r>
          </w:p>
        </w:tc>
        <w:tc>
          <w:tcPr>
            <w:tcW w:w="1748" w:type="dxa"/>
            <w:shd w:val="clear" w:color="auto" w:fill="FFF2CC" w:themeFill="accent4" w:themeFillTint="33"/>
          </w:tcPr>
          <w:p w14:paraId="0FA70B2B"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2040</w:t>
            </w:r>
          </w:p>
        </w:tc>
        <w:tc>
          <w:tcPr>
            <w:tcW w:w="0" w:type="auto"/>
          </w:tcPr>
          <w:p w14:paraId="16641736"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2050-2065</w:t>
            </w:r>
          </w:p>
        </w:tc>
        <w:tc>
          <w:tcPr>
            <w:tcW w:w="0" w:type="auto"/>
            <w:shd w:val="clear" w:color="auto" w:fill="FFF2CC" w:themeFill="accent4" w:themeFillTint="33"/>
          </w:tcPr>
          <w:p w14:paraId="18DB3B00"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2065</w:t>
            </w:r>
          </w:p>
        </w:tc>
      </w:tr>
      <w:tr w:rsidR="005647E6" w:rsidRPr="00EE41C6" w14:paraId="36C12AEC" w14:textId="77777777" w:rsidTr="005647E6">
        <w:tc>
          <w:tcPr>
            <w:tcW w:w="0" w:type="auto"/>
          </w:tcPr>
          <w:p w14:paraId="37AA9537"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Africa Western</w:t>
            </w:r>
          </w:p>
        </w:tc>
        <w:tc>
          <w:tcPr>
            <w:tcW w:w="1889" w:type="dxa"/>
          </w:tcPr>
          <w:p w14:paraId="262B22A5"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2030-2040</w:t>
            </w:r>
          </w:p>
        </w:tc>
        <w:tc>
          <w:tcPr>
            <w:tcW w:w="1748" w:type="dxa"/>
            <w:shd w:val="clear" w:color="auto" w:fill="FFF2CC" w:themeFill="accent4" w:themeFillTint="33"/>
          </w:tcPr>
          <w:p w14:paraId="5FDCC83D"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2040</w:t>
            </w:r>
          </w:p>
        </w:tc>
        <w:tc>
          <w:tcPr>
            <w:tcW w:w="0" w:type="auto"/>
          </w:tcPr>
          <w:p w14:paraId="33FAC41F"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2047-2053</w:t>
            </w:r>
          </w:p>
        </w:tc>
        <w:tc>
          <w:tcPr>
            <w:tcW w:w="0" w:type="auto"/>
            <w:shd w:val="clear" w:color="auto" w:fill="FFF2CC" w:themeFill="accent4" w:themeFillTint="33"/>
          </w:tcPr>
          <w:p w14:paraId="3642ABAF"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2055</w:t>
            </w:r>
          </w:p>
        </w:tc>
      </w:tr>
      <w:tr w:rsidR="005647E6" w:rsidRPr="00EE41C6" w14:paraId="129E0528" w14:textId="77777777" w:rsidTr="005647E6">
        <w:tc>
          <w:tcPr>
            <w:tcW w:w="0" w:type="auto"/>
          </w:tcPr>
          <w:p w14:paraId="2B986B1D"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South Asia</w:t>
            </w:r>
          </w:p>
        </w:tc>
        <w:tc>
          <w:tcPr>
            <w:tcW w:w="1889" w:type="dxa"/>
          </w:tcPr>
          <w:p w14:paraId="1152070A"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2040</w:t>
            </w:r>
          </w:p>
        </w:tc>
        <w:tc>
          <w:tcPr>
            <w:tcW w:w="1748" w:type="dxa"/>
            <w:shd w:val="clear" w:color="auto" w:fill="FFF2CC" w:themeFill="accent4" w:themeFillTint="33"/>
          </w:tcPr>
          <w:p w14:paraId="12E4B366"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2040</w:t>
            </w:r>
          </w:p>
        </w:tc>
        <w:tc>
          <w:tcPr>
            <w:tcW w:w="0" w:type="auto"/>
          </w:tcPr>
          <w:p w14:paraId="6AC2FC56"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2048-2065</w:t>
            </w:r>
          </w:p>
        </w:tc>
        <w:tc>
          <w:tcPr>
            <w:tcW w:w="0" w:type="auto"/>
            <w:shd w:val="clear" w:color="auto" w:fill="FFF2CC" w:themeFill="accent4" w:themeFillTint="33"/>
          </w:tcPr>
          <w:p w14:paraId="5557567E"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2065</w:t>
            </w:r>
          </w:p>
        </w:tc>
      </w:tr>
      <w:tr w:rsidR="005647E6" w:rsidRPr="00EE41C6" w14:paraId="2D1C905E" w14:textId="77777777" w:rsidTr="005647E6">
        <w:tc>
          <w:tcPr>
            <w:tcW w:w="0" w:type="auto"/>
          </w:tcPr>
          <w:p w14:paraId="533879CA"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South America Southern</w:t>
            </w:r>
          </w:p>
        </w:tc>
        <w:tc>
          <w:tcPr>
            <w:tcW w:w="1889" w:type="dxa"/>
          </w:tcPr>
          <w:p w14:paraId="38A5254E"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2030-2038</w:t>
            </w:r>
          </w:p>
        </w:tc>
        <w:tc>
          <w:tcPr>
            <w:tcW w:w="1748" w:type="dxa"/>
            <w:shd w:val="clear" w:color="auto" w:fill="FFF2CC" w:themeFill="accent4" w:themeFillTint="33"/>
          </w:tcPr>
          <w:p w14:paraId="329502E5"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2040</w:t>
            </w:r>
          </w:p>
        </w:tc>
        <w:tc>
          <w:tcPr>
            <w:tcW w:w="0" w:type="auto"/>
          </w:tcPr>
          <w:p w14:paraId="199CD1B4"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2049-2051</w:t>
            </w:r>
          </w:p>
        </w:tc>
        <w:tc>
          <w:tcPr>
            <w:tcW w:w="0" w:type="auto"/>
            <w:shd w:val="clear" w:color="auto" w:fill="FFF2CC" w:themeFill="accent4" w:themeFillTint="33"/>
          </w:tcPr>
          <w:p w14:paraId="302596F2"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2050</w:t>
            </w:r>
          </w:p>
        </w:tc>
      </w:tr>
      <w:tr w:rsidR="005647E6" w:rsidRPr="00EE41C6" w14:paraId="751DF6C3" w14:textId="77777777" w:rsidTr="005647E6">
        <w:tc>
          <w:tcPr>
            <w:tcW w:w="0" w:type="auto"/>
          </w:tcPr>
          <w:p w14:paraId="3BDB2071"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South America Northern</w:t>
            </w:r>
          </w:p>
        </w:tc>
        <w:tc>
          <w:tcPr>
            <w:tcW w:w="1889" w:type="dxa"/>
          </w:tcPr>
          <w:p w14:paraId="60787507"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2035-2039</w:t>
            </w:r>
          </w:p>
        </w:tc>
        <w:tc>
          <w:tcPr>
            <w:tcW w:w="1748" w:type="dxa"/>
            <w:shd w:val="clear" w:color="auto" w:fill="FFF2CC" w:themeFill="accent4" w:themeFillTint="33"/>
          </w:tcPr>
          <w:p w14:paraId="082E6F8E"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2040</w:t>
            </w:r>
          </w:p>
        </w:tc>
        <w:tc>
          <w:tcPr>
            <w:tcW w:w="0" w:type="auto"/>
          </w:tcPr>
          <w:p w14:paraId="787A3E2C"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2052</w:t>
            </w:r>
          </w:p>
        </w:tc>
        <w:tc>
          <w:tcPr>
            <w:tcW w:w="0" w:type="auto"/>
            <w:shd w:val="clear" w:color="auto" w:fill="FFF2CC" w:themeFill="accent4" w:themeFillTint="33"/>
          </w:tcPr>
          <w:p w14:paraId="04B028E8"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2050</w:t>
            </w:r>
          </w:p>
        </w:tc>
      </w:tr>
      <w:tr w:rsidR="005647E6" w:rsidRPr="00EE41C6" w14:paraId="4EE03E65" w14:textId="77777777" w:rsidTr="005647E6">
        <w:tc>
          <w:tcPr>
            <w:tcW w:w="0" w:type="auto"/>
          </w:tcPr>
          <w:p w14:paraId="199096AC"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European Eastern</w:t>
            </w:r>
          </w:p>
        </w:tc>
        <w:tc>
          <w:tcPr>
            <w:tcW w:w="1889" w:type="dxa"/>
          </w:tcPr>
          <w:p w14:paraId="5AF0F377"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2040-2041</w:t>
            </w:r>
          </w:p>
        </w:tc>
        <w:tc>
          <w:tcPr>
            <w:tcW w:w="1748" w:type="dxa"/>
            <w:shd w:val="clear" w:color="auto" w:fill="FFF2CC" w:themeFill="accent4" w:themeFillTint="33"/>
          </w:tcPr>
          <w:p w14:paraId="68B8F1CC"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2040</w:t>
            </w:r>
          </w:p>
        </w:tc>
        <w:tc>
          <w:tcPr>
            <w:tcW w:w="0" w:type="auto"/>
          </w:tcPr>
          <w:p w14:paraId="1A210996"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2055-2066</w:t>
            </w:r>
          </w:p>
        </w:tc>
        <w:tc>
          <w:tcPr>
            <w:tcW w:w="0" w:type="auto"/>
            <w:shd w:val="clear" w:color="auto" w:fill="FFF2CC" w:themeFill="accent4" w:themeFillTint="33"/>
          </w:tcPr>
          <w:p w14:paraId="0079773E"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2065</w:t>
            </w:r>
          </w:p>
        </w:tc>
      </w:tr>
      <w:tr w:rsidR="005647E6" w:rsidRPr="00EE41C6" w14:paraId="3EFF5BD3" w14:textId="77777777" w:rsidTr="005647E6">
        <w:tc>
          <w:tcPr>
            <w:tcW w:w="0" w:type="auto"/>
          </w:tcPr>
          <w:p w14:paraId="0BC67D5D"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European Free Trade Association</w:t>
            </w:r>
          </w:p>
        </w:tc>
        <w:tc>
          <w:tcPr>
            <w:tcW w:w="1889" w:type="dxa"/>
          </w:tcPr>
          <w:p w14:paraId="58C42177"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2025</w:t>
            </w:r>
          </w:p>
        </w:tc>
        <w:tc>
          <w:tcPr>
            <w:tcW w:w="1748" w:type="dxa"/>
            <w:shd w:val="clear" w:color="auto" w:fill="FFF2CC" w:themeFill="accent4" w:themeFillTint="33"/>
          </w:tcPr>
          <w:p w14:paraId="7744B369"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2025</w:t>
            </w:r>
          </w:p>
        </w:tc>
        <w:tc>
          <w:tcPr>
            <w:tcW w:w="0" w:type="auto"/>
          </w:tcPr>
          <w:p w14:paraId="21A3B38A"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2046-2049</w:t>
            </w:r>
          </w:p>
        </w:tc>
        <w:tc>
          <w:tcPr>
            <w:tcW w:w="0" w:type="auto"/>
            <w:shd w:val="clear" w:color="auto" w:fill="FFF2CC" w:themeFill="accent4" w:themeFillTint="33"/>
          </w:tcPr>
          <w:p w14:paraId="202B7A4B"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2045</w:t>
            </w:r>
          </w:p>
        </w:tc>
      </w:tr>
      <w:tr w:rsidR="005647E6" w:rsidRPr="00EE41C6" w14:paraId="4D8499E4" w14:textId="77777777" w:rsidTr="005647E6">
        <w:tc>
          <w:tcPr>
            <w:tcW w:w="0" w:type="auto"/>
          </w:tcPr>
          <w:p w14:paraId="6572798E"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Central America and the Caribbean</w:t>
            </w:r>
          </w:p>
        </w:tc>
        <w:tc>
          <w:tcPr>
            <w:tcW w:w="1889" w:type="dxa"/>
          </w:tcPr>
          <w:p w14:paraId="73AE167F"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2038-2040</w:t>
            </w:r>
          </w:p>
        </w:tc>
        <w:tc>
          <w:tcPr>
            <w:tcW w:w="1748" w:type="dxa"/>
            <w:shd w:val="clear" w:color="auto" w:fill="FFF2CC" w:themeFill="accent4" w:themeFillTint="33"/>
          </w:tcPr>
          <w:p w14:paraId="78A20523"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2040</w:t>
            </w:r>
          </w:p>
        </w:tc>
        <w:tc>
          <w:tcPr>
            <w:tcW w:w="0" w:type="auto"/>
          </w:tcPr>
          <w:p w14:paraId="7AAC0B6B"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2036-2050</w:t>
            </w:r>
          </w:p>
        </w:tc>
        <w:tc>
          <w:tcPr>
            <w:tcW w:w="0" w:type="auto"/>
            <w:shd w:val="clear" w:color="auto" w:fill="FFF2CC" w:themeFill="accent4" w:themeFillTint="33"/>
          </w:tcPr>
          <w:p w14:paraId="353F03E1"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2050</w:t>
            </w:r>
          </w:p>
        </w:tc>
      </w:tr>
      <w:tr w:rsidR="005647E6" w:rsidRPr="00EE41C6" w14:paraId="530CF0B4" w14:textId="77777777" w:rsidTr="005647E6">
        <w:tc>
          <w:tcPr>
            <w:tcW w:w="0" w:type="auto"/>
          </w:tcPr>
          <w:p w14:paraId="7310A0C8" w14:textId="77777777" w:rsidR="005647E6" w:rsidRPr="00EE41C6" w:rsidRDefault="005647E6" w:rsidP="00CD20C5">
            <w:pPr>
              <w:spacing w:after="160" w:line="480" w:lineRule="auto"/>
              <w:rPr>
                <w:rFonts w:ascii="Times New Roman" w:hAnsi="Times New Roman" w:cs="Times New Roman"/>
                <w:sz w:val="18"/>
                <w:szCs w:val="18"/>
              </w:rPr>
            </w:pPr>
            <w:proofErr w:type="spellStart"/>
            <w:r w:rsidRPr="00EE41C6">
              <w:rPr>
                <w:rFonts w:ascii="Times New Roman" w:hAnsi="Times New Roman" w:cs="Times New Roman"/>
                <w:sz w:val="18"/>
                <w:szCs w:val="18"/>
              </w:rPr>
              <w:t>Australia_New</w:t>
            </w:r>
            <w:proofErr w:type="spellEnd"/>
            <w:r w:rsidRPr="00EE41C6">
              <w:rPr>
                <w:rFonts w:ascii="Times New Roman" w:hAnsi="Times New Roman" w:cs="Times New Roman"/>
                <w:sz w:val="18"/>
                <w:szCs w:val="18"/>
              </w:rPr>
              <w:t xml:space="preserve"> Zealand</w:t>
            </w:r>
          </w:p>
        </w:tc>
        <w:tc>
          <w:tcPr>
            <w:tcW w:w="1889" w:type="dxa"/>
          </w:tcPr>
          <w:p w14:paraId="5FF51A81"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2039-2040</w:t>
            </w:r>
          </w:p>
        </w:tc>
        <w:tc>
          <w:tcPr>
            <w:tcW w:w="1748" w:type="dxa"/>
            <w:shd w:val="clear" w:color="auto" w:fill="FFF2CC" w:themeFill="accent4" w:themeFillTint="33"/>
          </w:tcPr>
          <w:p w14:paraId="5906BED3"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2040</w:t>
            </w:r>
          </w:p>
        </w:tc>
        <w:tc>
          <w:tcPr>
            <w:tcW w:w="0" w:type="auto"/>
          </w:tcPr>
          <w:p w14:paraId="72D37712"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2052-2057</w:t>
            </w:r>
          </w:p>
        </w:tc>
        <w:tc>
          <w:tcPr>
            <w:tcW w:w="0" w:type="auto"/>
            <w:shd w:val="clear" w:color="auto" w:fill="FFF2CC" w:themeFill="accent4" w:themeFillTint="33"/>
          </w:tcPr>
          <w:p w14:paraId="358BE640"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2050</w:t>
            </w:r>
          </w:p>
        </w:tc>
      </w:tr>
      <w:tr w:rsidR="005647E6" w:rsidRPr="00EE41C6" w14:paraId="62C063B4" w14:textId="77777777" w:rsidTr="005647E6">
        <w:tc>
          <w:tcPr>
            <w:tcW w:w="0" w:type="auto"/>
          </w:tcPr>
          <w:p w14:paraId="327AFFDC"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lastRenderedPageBreak/>
              <w:t>Africa Eastern</w:t>
            </w:r>
          </w:p>
        </w:tc>
        <w:tc>
          <w:tcPr>
            <w:tcW w:w="1889" w:type="dxa"/>
          </w:tcPr>
          <w:p w14:paraId="33B665ED"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2025</w:t>
            </w:r>
          </w:p>
        </w:tc>
        <w:tc>
          <w:tcPr>
            <w:tcW w:w="1748" w:type="dxa"/>
            <w:shd w:val="clear" w:color="auto" w:fill="FFF2CC" w:themeFill="accent4" w:themeFillTint="33"/>
          </w:tcPr>
          <w:p w14:paraId="7771081D"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2025</w:t>
            </w:r>
          </w:p>
        </w:tc>
        <w:tc>
          <w:tcPr>
            <w:tcW w:w="0" w:type="auto"/>
          </w:tcPr>
          <w:p w14:paraId="46514AA1"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2047-2050</w:t>
            </w:r>
          </w:p>
        </w:tc>
        <w:tc>
          <w:tcPr>
            <w:tcW w:w="0" w:type="auto"/>
            <w:shd w:val="clear" w:color="auto" w:fill="FFF2CC" w:themeFill="accent4" w:themeFillTint="33"/>
          </w:tcPr>
          <w:p w14:paraId="37A8D356"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2050</w:t>
            </w:r>
          </w:p>
        </w:tc>
      </w:tr>
      <w:tr w:rsidR="005647E6" w:rsidRPr="00EE41C6" w14:paraId="7574DD43" w14:textId="77777777" w:rsidTr="005647E6">
        <w:tc>
          <w:tcPr>
            <w:tcW w:w="0" w:type="auto"/>
          </w:tcPr>
          <w:p w14:paraId="09BDEBF3"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Africa Southern</w:t>
            </w:r>
          </w:p>
        </w:tc>
        <w:tc>
          <w:tcPr>
            <w:tcW w:w="1889" w:type="dxa"/>
          </w:tcPr>
          <w:p w14:paraId="561190E8"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2030-2031</w:t>
            </w:r>
          </w:p>
        </w:tc>
        <w:tc>
          <w:tcPr>
            <w:tcW w:w="1748" w:type="dxa"/>
            <w:shd w:val="clear" w:color="auto" w:fill="FFF2CC" w:themeFill="accent4" w:themeFillTint="33"/>
          </w:tcPr>
          <w:p w14:paraId="7AF106FE"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2030</w:t>
            </w:r>
          </w:p>
        </w:tc>
        <w:tc>
          <w:tcPr>
            <w:tcW w:w="0" w:type="auto"/>
          </w:tcPr>
          <w:p w14:paraId="0BA64200"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2047-2050</w:t>
            </w:r>
          </w:p>
        </w:tc>
        <w:tc>
          <w:tcPr>
            <w:tcW w:w="0" w:type="auto"/>
            <w:shd w:val="clear" w:color="auto" w:fill="FFF2CC" w:themeFill="accent4" w:themeFillTint="33"/>
          </w:tcPr>
          <w:p w14:paraId="043EBA11"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2050</w:t>
            </w:r>
          </w:p>
        </w:tc>
      </w:tr>
      <w:tr w:rsidR="005647E6" w:rsidRPr="00EE41C6" w14:paraId="1A8760DE" w14:textId="77777777" w:rsidTr="005647E6">
        <w:tc>
          <w:tcPr>
            <w:tcW w:w="0" w:type="auto"/>
          </w:tcPr>
          <w:p w14:paraId="1F59514C"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China (including Taiwan)</w:t>
            </w:r>
          </w:p>
        </w:tc>
        <w:tc>
          <w:tcPr>
            <w:tcW w:w="1889" w:type="dxa"/>
          </w:tcPr>
          <w:p w14:paraId="4090911F"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2030-2039</w:t>
            </w:r>
          </w:p>
        </w:tc>
        <w:tc>
          <w:tcPr>
            <w:tcW w:w="1748" w:type="dxa"/>
            <w:shd w:val="clear" w:color="auto" w:fill="FFF2CC" w:themeFill="accent4" w:themeFillTint="33"/>
          </w:tcPr>
          <w:p w14:paraId="051C3B2A"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2030</w:t>
            </w:r>
          </w:p>
        </w:tc>
        <w:tc>
          <w:tcPr>
            <w:tcW w:w="0" w:type="auto"/>
          </w:tcPr>
          <w:p w14:paraId="27167920"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2049-2050</w:t>
            </w:r>
          </w:p>
        </w:tc>
        <w:tc>
          <w:tcPr>
            <w:tcW w:w="0" w:type="auto"/>
            <w:shd w:val="clear" w:color="auto" w:fill="FFF2CC" w:themeFill="accent4" w:themeFillTint="33"/>
          </w:tcPr>
          <w:p w14:paraId="24318350"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2050</w:t>
            </w:r>
          </w:p>
        </w:tc>
      </w:tr>
      <w:tr w:rsidR="005647E6" w:rsidRPr="00EE41C6" w14:paraId="5140D8EE" w14:textId="77777777" w:rsidTr="005647E6">
        <w:tc>
          <w:tcPr>
            <w:tcW w:w="0" w:type="auto"/>
          </w:tcPr>
          <w:p w14:paraId="569BDF17"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India</w:t>
            </w:r>
          </w:p>
        </w:tc>
        <w:tc>
          <w:tcPr>
            <w:tcW w:w="1889" w:type="dxa"/>
          </w:tcPr>
          <w:p w14:paraId="34CA6945"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2039-2040</w:t>
            </w:r>
          </w:p>
        </w:tc>
        <w:tc>
          <w:tcPr>
            <w:tcW w:w="1748" w:type="dxa"/>
            <w:shd w:val="clear" w:color="auto" w:fill="FFF2CC" w:themeFill="accent4" w:themeFillTint="33"/>
          </w:tcPr>
          <w:p w14:paraId="543555D4"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2040</w:t>
            </w:r>
          </w:p>
        </w:tc>
        <w:tc>
          <w:tcPr>
            <w:tcW w:w="0" w:type="auto"/>
          </w:tcPr>
          <w:p w14:paraId="1D2A9716"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2041-2059</w:t>
            </w:r>
          </w:p>
        </w:tc>
        <w:tc>
          <w:tcPr>
            <w:tcW w:w="0" w:type="auto"/>
            <w:shd w:val="clear" w:color="auto" w:fill="FFF2CC" w:themeFill="accent4" w:themeFillTint="33"/>
          </w:tcPr>
          <w:p w14:paraId="05F2DE25"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2060</w:t>
            </w:r>
          </w:p>
        </w:tc>
      </w:tr>
      <w:tr w:rsidR="005647E6" w:rsidRPr="00EE41C6" w14:paraId="1BFF06B3" w14:textId="77777777" w:rsidTr="005647E6">
        <w:tc>
          <w:tcPr>
            <w:tcW w:w="0" w:type="auto"/>
          </w:tcPr>
          <w:p w14:paraId="3FCEF1BC"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Indonesia</w:t>
            </w:r>
          </w:p>
        </w:tc>
        <w:tc>
          <w:tcPr>
            <w:tcW w:w="1889" w:type="dxa"/>
          </w:tcPr>
          <w:p w14:paraId="011C99E2"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2035-2040</w:t>
            </w:r>
          </w:p>
        </w:tc>
        <w:tc>
          <w:tcPr>
            <w:tcW w:w="1748" w:type="dxa"/>
            <w:shd w:val="clear" w:color="auto" w:fill="FFF2CC" w:themeFill="accent4" w:themeFillTint="33"/>
          </w:tcPr>
          <w:p w14:paraId="41482BBF"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2040</w:t>
            </w:r>
          </w:p>
        </w:tc>
        <w:tc>
          <w:tcPr>
            <w:tcW w:w="0" w:type="auto"/>
          </w:tcPr>
          <w:p w14:paraId="08C32485"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2055-2058</w:t>
            </w:r>
          </w:p>
        </w:tc>
        <w:tc>
          <w:tcPr>
            <w:tcW w:w="0" w:type="auto"/>
            <w:shd w:val="clear" w:color="auto" w:fill="FFF2CC" w:themeFill="accent4" w:themeFillTint="33"/>
          </w:tcPr>
          <w:p w14:paraId="415CB0FF"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2060</w:t>
            </w:r>
          </w:p>
        </w:tc>
      </w:tr>
      <w:tr w:rsidR="005647E6" w:rsidRPr="00EE41C6" w14:paraId="7739810D" w14:textId="77777777" w:rsidTr="005647E6">
        <w:tc>
          <w:tcPr>
            <w:tcW w:w="0" w:type="auto"/>
          </w:tcPr>
          <w:p w14:paraId="21B0AF43"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Japan</w:t>
            </w:r>
          </w:p>
        </w:tc>
        <w:tc>
          <w:tcPr>
            <w:tcW w:w="1889" w:type="dxa"/>
          </w:tcPr>
          <w:p w14:paraId="12405397"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2040-2043</w:t>
            </w:r>
          </w:p>
        </w:tc>
        <w:tc>
          <w:tcPr>
            <w:tcW w:w="1748" w:type="dxa"/>
            <w:shd w:val="clear" w:color="auto" w:fill="FFF2CC" w:themeFill="accent4" w:themeFillTint="33"/>
          </w:tcPr>
          <w:p w14:paraId="48D38ED0"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2040</w:t>
            </w:r>
          </w:p>
        </w:tc>
        <w:tc>
          <w:tcPr>
            <w:tcW w:w="0" w:type="auto"/>
          </w:tcPr>
          <w:p w14:paraId="771A9BEC"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2053-2057</w:t>
            </w:r>
          </w:p>
        </w:tc>
        <w:tc>
          <w:tcPr>
            <w:tcW w:w="0" w:type="auto"/>
            <w:shd w:val="clear" w:color="auto" w:fill="FFF2CC" w:themeFill="accent4" w:themeFillTint="33"/>
          </w:tcPr>
          <w:p w14:paraId="52DCAF2F"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2055</w:t>
            </w:r>
          </w:p>
        </w:tc>
      </w:tr>
      <w:tr w:rsidR="005647E6" w:rsidRPr="00EE41C6" w14:paraId="5FE90AE7" w14:textId="77777777" w:rsidTr="005647E6">
        <w:tc>
          <w:tcPr>
            <w:tcW w:w="0" w:type="auto"/>
          </w:tcPr>
          <w:p w14:paraId="7418CDE6"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Pakistan</w:t>
            </w:r>
          </w:p>
        </w:tc>
        <w:tc>
          <w:tcPr>
            <w:tcW w:w="1889" w:type="dxa"/>
          </w:tcPr>
          <w:p w14:paraId="769FEC42"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2038</w:t>
            </w:r>
          </w:p>
        </w:tc>
        <w:tc>
          <w:tcPr>
            <w:tcW w:w="1748" w:type="dxa"/>
            <w:shd w:val="clear" w:color="auto" w:fill="FFF2CC" w:themeFill="accent4" w:themeFillTint="33"/>
          </w:tcPr>
          <w:p w14:paraId="70379BFB"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2040</w:t>
            </w:r>
          </w:p>
        </w:tc>
        <w:tc>
          <w:tcPr>
            <w:tcW w:w="0" w:type="auto"/>
          </w:tcPr>
          <w:p w14:paraId="2067DDB4"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2048-2066</w:t>
            </w:r>
          </w:p>
        </w:tc>
        <w:tc>
          <w:tcPr>
            <w:tcW w:w="0" w:type="auto"/>
            <w:shd w:val="clear" w:color="auto" w:fill="FFF2CC" w:themeFill="accent4" w:themeFillTint="33"/>
          </w:tcPr>
          <w:p w14:paraId="4BB0FD0F"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2065</w:t>
            </w:r>
          </w:p>
        </w:tc>
      </w:tr>
      <w:tr w:rsidR="005647E6" w:rsidRPr="00EE41C6" w14:paraId="4E34B33C" w14:textId="77777777" w:rsidTr="005647E6">
        <w:tc>
          <w:tcPr>
            <w:tcW w:w="0" w:type="auto"/>
          </w:tcPr>
          <w:p w14:paraId="0A5433B0"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South Korea</w:t>
            </w:r>
          </w:p>
        </w:tc>
        <w:tc>
          <w:tcPr>
            <w:tcW w:w="1889" w:type="dxa"/>
          </w:tcPr>
          <w:p w14:paraId="5B4F8C66"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2040-2045</w:t>
            </w:r>
          </w:p>
        </w:tc>
        <w:tc>
          <w:tcPr>
            <w:tcW w:w="1748" w:type="dxa"/>
            <w:shd w:val="clear" w:color="auto" w:fill="FFF2CC" w:themeFill="accent4" w:themeFillTint="33"/>
          </w:tcPr>
          <w:p w14:paraId="15CA1E5E"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2040</w:t>
            </w:r>
          </w:p>
        </w:tc>
        <w:tc>
          <w:tcPr>
            <w:tcW w:w="0" w:type="auto"/>
          </w:tcPr>
          <w:p w14:paraId="05FBB28D"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2050-2062</w:t>
            </w:r>
          </w:p>
        </w:tc>
        <w:tc>
          <w:tcPr>
            <w:tcW w:w="0" w:type="auto"/>
            <w:shd w:val="clear" w:color="auto" w:fill="FFF2CC" w:themeFill="accent4" w:themeFillTint="33"/>
          </w:tcPr>
          <w:p w14:paraId="23FD79C1"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2050</w:t>
            </w:r>
          </w:p>
        </w:tc>
      </w:tr>
      <w:tr w:rsidR="005647E6" w:rsidRPr="00EE41C6" w14:paraId="324A3A2A" w14:textId="77777777" w:rsidTr="005647E6">
        <w:tc>
          <w:tcPr>
            <w:tcW w:w="0" w:type="auto"/>
          </w:tcPr>
          <w:p w14:paraId="56CCE1A2"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Argentina</w:t>
            </w:r>
          </w:p>
        </w:tc>
        <w:tc>
          <w:tcPr>
            <w:tcW w:w="1889" w:type="dxa"/>
          </w:tcPr>
          <w:p w14:paraId="0CF8DFB8"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2034-2038</w:t>
            </w:r>
          </w:p>
        </w:tc>
        <w:tc>
          <w:tcPr>
            <w:tcW w:w="1748" w:type="dxa"/>
            <w:shd w:val="clear" w:color="auto" w:fill="FFF2CC" w:themeFill="accent4" w:themeFillTint="33"/>
          </w:tcPr>
          <w:p w14:paraId="42AB3D7B"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2040</w:t>
            </w:r>
          </w:p>
        </w:tc>
        <w:tc>
          <w:tcPr>
            <w:tcW w:w="0" w:type="auto"/>
          </w:tcPr>
          <w:p w14:paraId="3E6274E5"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2044-2049</w:t>
            </w:r>
          </w:p>
        </w:tc>
        <w:tc>
          <w:tcPr>
            <w:tcW w:w="0" w:type="auto"/>
            <w:shd w:val="clear" w:color="auto" w:fill="FFF2CC" w:themeFill="accent4" w:themeFillTint="33"/>
          </w:tcPr>
          <w:p w14:paraId="622B4D88"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2050</w:t>
            </w:r>
          </w:p>
        </w:tc>
      </w:tr>
      <w:tr w:rsidR="005647E6" w:rsidRPr="00EE41C6" w14:paraId="33A79E9A" w14:textId="77777777" w:rsidTr="005647E6">
        <w:tc>
          <w:tcPr>
            <w:tcW w:w="0" w:type="auto"/>
          </w:tcPr>
          <w:p w14:paraId="64A63C57"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Brazil</w:t>
            </w:r>
          </w:p>
        </w:tc>
        <w:tc>
          <w:tcPr>
            <w:tcW w:w="1889" w:type="dxa"/>
          </w:tcPr>
          <w:p w14:paraId="5865C2B3"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2025-2030</w:t>
            </w:r>
          </w:p>
        </w:tc>
        <w:tc>
          <w:tcPr>
            <w:tcW w:w="1748" w:type="dxa"/>
            <w:shd w:val="clear" w:color="auto" w:fill="FFF2CC" w:themeFill="accent4" w:themeFillTint="33"/>
          </w:tcPr>
          <w:p w14:paraId="52EB38D9"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2030</w:t>
            </w:r>
          </w:p>
        </w:tc>
        <w:tc>
          <w:tcPr>
            <w:tcW w:w="0" w:type="auto"/>
          </w:tcPr>
          <w:p w14:paraId="24F0C549"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2037-2048</w:t>
            </w:r>
          </w:p>
        </w:tc>
        <w:tc>
          <w:tcPr>
            <w:tcW w:w="0" w:type="auto"/>
            <w:shd w:val="clear" w:color="auto" w:fill="FFF2CC" w:themeFill="accent4" w:themeFillTint="33"/>
          </w:tcPr>
          <w:p w14:paraId="43CD3CF0"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2050</w:t>
            </w:r>
          </w:p>
        </w:tc>
      </w:tr>
      <w:tr w:rsidR="005647E6" w:rsidRPr="00EE41C6" w14:paraId="16643B11" w14:textId="77777777" w:rsidTr="005647E6">
        <w:tc>
          <w:tcPr>
            <w:tcW w:w="0" w:type="auto"/>
          </w:tcPr>
          <w:p w14:paraId="407C4480"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Colombia</w:t>
            </w:r>
          </w:p>
        </w:tc>
        <w:tc>
          <w:tcPr>
            <w:tcW w:w="1889" w:type="dxa"/>
          </w:tcPr>
          <w:p w14:paraId="7A5CB212"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2027-2035</w:t>
            </w:r>
          </w:p>
        </w:tc>
        <w:tc>
          <w:tcPr>
            <w:tcW w:w="1748" w:type="dxa"/>
            <w:shd w:val="clear" w:color="auto" w:fill="FFF2CC" w:themeFill="accent4" w:themeFillTint="33"/>
          </w:tcPr>
          <w:p w14:paraId="512858FF"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2035</w:t>
            </w:r>
          </w:p>
        </w:tc>
        <w:tc>
          <w:tcPr>
            <w:tcW w:w="0" w:type="auto"/>
          </w:tcPr>
          <w:p w14:paraId="13EAFD3D"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2050-2063</w:t>
            </w:r>
          </w:p>
        </w:tc>
        <w:tc>
          <w:tcPr>
            <w:tcW w:w="0" w:type="auto"/>
            <w:shd w:val="clear" w:color="auto" w:fill="FFF2CC" w:themeFill="accent4" w:themeFillTint="33"/>
          </w:tcPr>
          <w:p w14:paraId="3901D564"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2065</w:t>
            </w:r>
          </w:p>
        </w:tc>
      </w:tr>
      <w:tr w:rsidR="005647E6" w:rsidRPr="00EE41C6" w14:paraId="35FD637A" w14:textId="77777777" w:rsidTr="005647E6">
        <w:tc>
          <w:tcPr>
            <w:tcW w:w="0" w:type="auto"/>
          </w:tcPr>
          <w:p w14:paraId="1E3AB792"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Mexico</w:t>
            </w:r>
          </w:p>
        </w:tc>
        <w:tc>
          <w:tcPr>
            <w:tcW w:w="1889" w:type="dxa"/>
          </w:tcPr>
          <w:p w14:paraId="4DA11EF3"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2039</w:t>
            </w:r>
          </w:p>
        </w:tc>
        <w:tc>
          <w:tcPr>
            <w:tcW w:w="1748" w:type="dxa"/>
            <w:shd w:val="clear" w:color="auto" w:fill="FFF2CC" w:themeFill="accent4" w:themeFillTint="33"/>
          </w:tcPr>
          <w:p w14:paraId="392D31FC"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2040</w:t>
            </w:r>
          </w:p>
        </w:tc>
        <w:tc>
          <w:tcPr>
            <w:tcW w:w="0" w:type="auto"/>
          </w:tcPr>
          <w:p w14:paraId="15E364FE"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2051-2056</w:t>
            </w:r>
          </w:p>
        </w:tc>
        <w:tc>
          <w:tcPr>
            <w:tcW w:w="0" w:type="auto"/>
            <w:shd w:val="clear" w:color="auto" w:fill="FFF2CC" w:themeFill="accent4" w:themeFillTint="33"/>
          </w:tcPr>
          <w:p w14:paraId="4FA632F3"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2055</w:t>
            </w:r>
          </w:p>
        </w:tc>
      </w:tr>
      <w:tr w:rsidR="005647E6" w:rsidRPr="00EE41C6" w14:paraId="331E933E" w14:textId="77777777" w:rsidTr="005647E6">
        <w:tc>
          <w:tcPr>
            <w:tcW w:w="0" w:type="auto"/>
          </w:tcPr>
          <w:p w14:paraId="54DE18EF"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South Africa</w:t>
            </w:r>
          </w:p>
        </w:tc>
        <w:tc>
          <w:tcPr>
            <w:tcW w:w="1889" w:type="dxa"/>
          </w:tcPr>
          <w:p w14:paraId="676F6BF4"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2036-2040</w:t>
            </w:r>
          </w:p>
        </w:tc>
        <w:tc>
          <w:tcPr>
            <w:tcW w:w="1748" w:type="dxa"/>
            <w:shd w:val="clear" w:color="auto" w:fill="FFF2CC" w:themeFill="accent4" w:themeFillTint="33"/>
          </w:tcPr>
          <w:p w14:paraId="388D5565"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2040</w:t>
            </w:r>
          </w:p>
        </w:tc>
        <w:tc>
          <w:tcPr>
            <w:tcW w:w="0" w:type="auto"/>
          </w:tcPr>
          <w:p w14:paraId="2111D0CB"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2037-2062</w:t>
            </w:r>
          </w:p>
        </w:tc>
        <w:tc>
          <w:tcPr>
            <w:tcW w:w="0" w:type="auto"/>
            <w:shd w:val="clear" w:color="auto" w:fill="FFF2CC" w:themeFill="accent4" w:themeFillTint="33"/>
          </w:tcPr>
          <w:p w14:paraId="4383D210"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2060</w:t>
            </w:r>
          </w:p>
        </w:tc>
      </w:tr>
      <w:tr w:rsidR="005647E6" w:rsidRPr="00EE41C6" w14:paraId="1BC93D54" w14:textId="77777777" w:rsidTr="005647E6">
        <w:tc>
          <w:tcPr>
            <w:tcW w:w="0" w:type="auto"/>
          </w:tcPr>
          <w:p w14:paraId="37038CC9"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Canada</w:t>
            </w:r>
          </w:p>
        </w:tc>
        <w:tc>
          <w:tcPr>
            <w:tcW w:w="1889" w:type="dxa"/>
          </w:tcPr>
          <w:p w14:paraId="1E3CDE01"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2029-2030</w:t>
            </w:r>
          </w:p>
        </w:tc>
        <w:tc>
          <w:tcPr>
            <w:tcW w:w="1748" w:type="dxa"/>
            <w:shd w:val="clear" w:color="auto" w:fill="FFF2CC" w:themeFill="accent4" w:themeFillTint="33"/>
          </w:tcPr>
          <w:p w14:paraId="201D7DD1"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2030</w:t>
            </w:r>
          </w:p>
        </w:tc>
        <w:tc>
          <w:tcPr>
            <w:tcW w:w="0" w:type="auto"/>
          </w:tcPr>
          <w:p w14:paraId="26709045"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2051-2054</w:t>
            </w:r>
          </w:p>
        </w:tc>
        <w:tc>
          <w:tcPr>
            <w:tcW w:w="0" w:type="auto"/>
            <w:shd w:val="clear" w:color="auto" w:fill="FFF2CC" w:themeFill="accent4" w:themeFillTint="33"/>
          </w:tcPr>
          <w:p w14:paraId="475B7CA2"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2050</w:t>
            </w:r>
          </w:p>
        </w:tc>
      </w:tr>
      <w:tr w:rsidR="005647E6" w:rsidRPr="00EE41C6" w14:paraId="56BBD7D2" w14:textId="77777777" w:rsidTr="005647E6">
        <w:tc>
          <w:tcPr>
            <w:tcW w:w="0" w:type="auto"/>
          </w:tcPr>
          <w:p w14:paraId="12427744" w14:textId="77777777" w:rsidR="005647E6" w:rsidRPr="00EE41C6" w:rsidRDefault="005647E6" w:rsidP="00CD20C5">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US</w:t>
            </w:r>
          </w:p>
        </w:tc>
        <w:tc>
          <w:tcPr>
            <w:tcW w:w="1889" w:type="dxa"/>
          </w:tcPr>
          <w:p w14:paraId="1AE62494"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2036</w:t>
            </w:r>
          </w:p>
        </w:tc>
        <w:tc>
          <w:tcPr>
            <w:tcW w:w="1748" w:type="dxa"/>
            <w:shd w:val="clear" w:color="auto" w:fill="FFF2CC" w:themeFill="accent4" w:themeFillTint="33"/>
          </w:tcPr>
          <w:p w14:paraId="0A15F013"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2035</w:t>
            </w:r>
          </w:p>
        </w:tc>
        <w:tc>
          <w:tcPr>
            <w:tcW w:w="0" w:type="auto"/>
          </w:tcPr>
          <w:p w14:paraId="06A7C61F"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2044-2054</w:t>
            </w:r>
          </w:p>
        </w:tc>
        <w:tc>
          <w:tcPr>
            <w:tcW w:w="0" w:type="auto"/>
            <w:shd w:val="clear" w:color="auto" w:fill="FFF2CC" w:themeFill="accent4" w:themeFillTint="33"/>
          </w:tcPr>
          <w:p w14:paraId="6D685618"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2045</w:t>
            </w:r>
          </w:p>
        </w:tc>
      </w:tr>
      <w:tr w:rsidR="005647E6" w:rsidRPr="00EE41C6" w14:paraId="0F5EAA76" w14:textId="77777777" w:rsidTr="005647E6">
        <w:tc>
          <w:tcPr>
            <w:tcW w:w="0" w:type="auto"/>
          </w:tcPr>
          <w:p w14:paraId="7F536BED" w14:textId="77777777" w:rsidR="005647E6" w:rsidRPr="00EE41C6" w:rsidRDefault="005647E6" w:rsidP="005647E6">
            <w:pPr>
              <w:spacing w:after="160" w:line="480" w:lineRule="auto"/>
              <w:ind w:firstLine="288"/>
              <w:rPr>
                <w:rFonts w:ascii="Times New Roman" w:hAnsi="Times New Roman" w:cs="Times New Roman"/>
                <w:sz w:val="18"/>
                <w:szCs w:val="18"/>
              </w:rPr>
            </w:pPr>
            <w:r w:rsidRPr="00EE41C6">
              <w:rPr>
                <w:rFonts w:ascii="Times New Roman" w:hAnsi="Times New Roman" w:cs="Times New Roman"/>
                <w:sz w:val="18"/>
                <w:szCs w:val="18"/>
              </w:rPr>
              <w:t>EU-27 (i.e. EU15 and 12)</w:t>
            </w:r>
          </w:p>
        </w:tc>
        <w:tc>
          <w:tcPr>
            <w:tcW w:w="1889" w:type="dxa"/>
          </w:tcPr>
          <w:p w14:paraId="3E605EBB"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2038-2040</w:t>
            </w:r>
          </w:p>
        </w:tc>
        <w:tc>
          <w:tcPr>
            <w:tcW w:w="1748" w:type="dxa"/>
            <w:shd w:val="clear" w:color="auto" w:fill="FFF2CC" w:themeFill="accent4" w:themeFillTint="33"/>
          </w:tcPr>
          <w:p w14:paraId="121EFAB0"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2040</w:t>
            </w:r>
          </w:p>
        </w:tc>
        <w:tc>
          <w:tcPr>
            <w:tcW w:w="0" w:type="auto"/>
          </w:tcPr>
          <w:p w14:paraId="4983E1BE"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2048-2053</w:t>
            </w:r>
          </w:p>
        </w:tc>
        <w:tc>
          <w:tcPr>
            <w:tcW w:w="0" w:type="auto"/>
            <w:shd w:val="clear" w:color="auto" w:fill="FFF2CC" w:themeFill="accent4" w:themeFillTint="33"/>
          </w:tcPr>
          <w:p w14:paraId="63780B84"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2050</w:t>
            </w:r>
          </w:p>
        </w:tc>
      </w:tr>
      <w:tr w:rsidR="005647E6" w:rsidRPr="00EE41C6" w14:paraId="61A17FFE" w14:textId="77777777" w:rsidTr="005647E6">
        <w:tc>
          <w:tcPr>
            <w:tcW w:w="0" w:type="auto"/>
          </w:tcPr>
          <w:p w14:paraId="3DBE2CBC" w14:textId="77777777" w:rsidR="005647E6" w:rsidRPr="00EE41C6" w:rsidRDefault="005647E6" w:rsidP="005647E6">
            <w:pPr>
              <w:spacing w:after="160" w:line="480" w:lineRule="auto"/>
              <w:ind w:firstLine="288"/>
              <w:jc w:val="both"/>
              <w:rPr>
                <w:rFonts w:ascii="Times New Roman" w:hAnsi="Times New Roman" w:cs="Times New Roman"/>
                <w:sz w:val="18"/>
                <w:szCs w:val="18"/>
              </w:rPr>
            </w:pPr>
            <w:r w:rsidRPr="00EE41C6">
              <w:rPr>
                <w:rFonts w:ascii="Times New Roman" w:hAnsi="Times New Roman" w:cs="Times New Roman"/>
                <w:sz w:val="18"/>
                <w:szCs w:val="18"/>
              </w:rPr>
              <w:t>Russia</w:t>
            </w:r>
          </w:p>
        </w:tc>
        <w:tc>
          <w:tcPr>
            <w:tcW w:w="1889" w:type="dxa"/>
          </w:tcPr>
          <w:p w14:paraId="43C70728"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2039</w:t>
            </w:r>
          </w:p>
        </w:tc>
        <w:tc>
          <w:tcPr>
            <w:tcW w:w="1748" w:type="dxa"/>
            <w:shd w:val="clear" w:color="auto" w:fill="FFF2CC" w:themeFill="accent4" w:themeFillTint="33"/>
          </w:tcPr>
          <w:p w14:paraId="456A61B9"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2040</w:t>
            </w:r>
          </w:p>
        </w:tc>
        <w:tc>
          <w:tcPr>
            <w:tcW w:w="0" w:type="auto"/>
          </w:tcPr>
          <w:p w14:paraId="1D33C808"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By 2049-2054</w:t>
            </w:r>
          </w:p>
        </w:tc>
        <w:tc>
          <w:tcPr>
            <w:tcW w:w="0" w:type="auto"/>
            <w:shd w:val="clear" w:color="auto" w:fill="FFF2CC" w:themeFill="accent4" w:themeFillTint="33"/>
          </w:tcPr>
          <w:p w14:paraId="668D9BDE" w14:textId="77777777" w:rsidR="005647E6" w:rsidRPr="00EE41C6" w:rsidRDefault="005647E6" w:rsidP="00902C60">
            <w:pPr>
              <w:spacing w:after="160" w:line="480" w:lineRule="auto"/>
              <w:rPr>
                <w:rFonts w:ascii="Times New Roman" w:hAnsi="Times New Roman" w:cs="Times New Roman"/>
                <w:sz w:val="18"/>
                <w:szCs w:val="18"/>
              </w:rPr>
            </w:pPr>
            <w:r w:rsidRPr="00EE41C6">
              <w:rPr>
                <w:rFonts w:ascii="Times New Roman" w:hAnsi="Times New Roman" w:cs="Times New Roman"/>
                <w:sz w:val="18"/>
                <w:szCs w:val="18"/>
              </w:rPr>
              <w:t>2050</w:t>
            </w:r>
          </w:p>
        </w:tc>
      </w:tr>
    </w:tbl>
    <w:p w14:paraId="3D213CAD" w14:textId="4FA60BE2" w:rsidR="005647E6" w:rsidRPr="00EE41C6" w:rsidRDefault="005647E6" w:rsidP="00B411FB">
      <w:pPr>
        <w:spacing w:line="480" w:lineRule="auto"/>
        <w:ind w:firstLine="288"/>
        <w:jc w:val="both"/>
        <w:rPr>
          <w:rFonts w:ascii="Times New Roman" w:hAnsi="Times New Roman" w:cs="Times New Roman"/>
          <w:sz w:val="18"/>
          <w:szCs w:val="18"/>
        </w:rPr>
        <w:sectPr w:rsidR="005647E6" w:rsidRPr="00EE41C6" w:rsidSect="00820C99">
          <w:pgSz w:w="12240" w:h="15840"/>
          <w:pgMar w:top="1440" w:right="1440" w:bottom="1440" w:left="1440" w:header="720" w:footer="720" w:gutter="0"/>
          <w:cols w:space="720"/>
          <w:docGrid w:linePitch="360"/>
        </w:sectPr>
      </w:pPr>
      <w:r w:rsidRPr="00EE41C6">
        <w:rPr>
          <w:rFonts w:ascii="Times New Roman" w:hAnsi="Times New Roman" w:cs="Times New Roman"/>
          <w:sz w:val="18"/>
          <w:szCs w:val="18"/>
        </w:rPr>
        <w:t xml:space="preserve">* Since the data from Climate Analytics has an upper and lower bound, we have to decide on which bound to model for each country. Thus, the regions were divided into two based on equity principle. The modeled period (highlighted in yellow) is based on the 'ability to pay' principle, where we assume that a country with more resources is more capable of financing its own decarbonization strategies. We assume that countries with GDP per capita below the global average would require more time and resources (financial assistance) to decarbonize their sectors, irrespective of their total GDP and cumulative emissions, compared to </w:t>
      </w:r>
      <w:r w:rsidRPr="00EE41C6">
        <w:rPr>
          <w:rFonts w:ascii="Times New Roman" w:hAnsi="Times New Roman" w:cs="Times New Roman"/>
          <w:sz w:val="18"/>
          <w:szCs w:val="18"/>
        </w:rPr>
        <w:lastRenderedPageBreak/>
        <w:t>countries with GDP per capita higher than the global average. The lower bound (i.e., the country/region reaches zero carbon in the sector earlier) is applied when the GDP (at purchasing power parity) per capita is greater than the global average. The upper bound (i.e., the country/region reaches zero carbon in the sector late) is applied when the GDP (at purchasing power parity) per capita is lower than the global average.</w:t>
      </w:r>
      <w:r w:rsidR="00B411FB" w:rsidRPr="00EE41C6">
        <w:rPr>
          <w:rFonts w:ascii="Times New Roman" w:hAnsi="Times New Roman" w:cs="Times New Roman"/>
          <w:sz w:val="18"/>
          <w:szCs w:val="18"/>
        </w:rPr>
        <w:t xml:space="preserve"> See </w:t>
      </w:r>
      <w:r w:rsidR="005F665D" w:rsidRPr="00EE41C6">
        <w:rPr>
          <w:rFonts w:ascii="Times New Roman" w:hAnsi="Times New Roman" w:cs="Times New Roman"/>
          <w:sz w:val="18"/>
          <w:szCs w:val="18"/>
        </w:rPr>
        <w:t xml:space="preserve">the </w:t>
      </w:r>
      <w:r w:rsidR="00B411FB" w:rsidRPr="00EE41C6">
        <w:rPr>
          <w:rFonts w:ascii="Times New Roman" w:hAnsi="Times New Roman" w:cs="Times New Roman"/>
          <w:sz w:val="18"/>
          <w:szCs w:val="18"/>
        </w:rPr>
        <w:t xml:space="preserve">Method section </w:t>
      </w:r>
      <w:r w:rsidR="005F665D" w:rsidRPr="00EE41C6">
        <w:rPr>
          <w:rFonts w:ascii="Times New Roman" w:hAnsi="Times New Roman" w:cs="Times New Roman"/>
          <w:sz w:val="18"/>
          <w:szCs w:val="18"/>
        </w:rPr>
        <w:t>from</w:t>
      </w:r>
      <w:r w:rsidR="00B411FB" w:rsidRPr="00EE41C6">
        <w:rPr>
          <w:rFonts w:ascii="Times New Roman" w:hAnsi="Times New Roman" w:cs="Times New Roman"/>
          <w:sz w:val="18"/>
          <w:szCs w:val="18"/>
        </w:rPr>
        <w:t xml:space="preserve"> </w:t>
      </w:r>
      <w:r w:rsidR="005F665D" w:rsidRPr="00EE41C6">
        <w:rPr>
          <w:rFonts w:ascii="Times New Roman" w:hAnsi="Times New Roman" w:cs="Times New Roman"/>
          <w:sz w:val="18"/>
          <w:szCs w:val="18"/>
        </w:rPr>
        <w:t xml:space="preserve">the </w:t>
      </w:r>
      <w:r w:rsidR="00B411FB" w:rsidRPr="00EE41C6">
        <w:rPr>
          <w:rFonts w:ascii="Times New Roman" w:hAnsi="Times New Roman" w:cs="Times New Roman"/>
          <w:sz w:val="18"/>
          <w:szCs w:val="18"/>
        </w:rPr>
        <w:t>main text for assumptions considered for regions not included in Climate Analytics</w:t>
      </w:r>
      <w:r w:rsidR="005F665D" w:rsidRPr="00EE41C6">
        <w:rPr>
          <w:rFonts w:ascii="Times New Roman" w:hAnsi="Times New Roman" w:cs="Times New Roman"/>
          <w:sz w:val="18"/>
          <w:szCs w:val="18"/>
        </w:rPr>
        <w:t>’</w:t>
      </w:r>
      <w:r w:rsidR="00B411FB" w:rsidRPr="00EE41C6">
        <w:rPr>
          <w:rFonts w:ascii="Times New Roman" w:hAnsi="Times New Roman" w:cs="Times New Roman"/>
          <w:sz w:val="18"/>
          <w:szCs w:val="18"/>
        </w:rPr>
        <w:t xml:space="preserve"> assessment</w:t>
      </w:r>
    </w:p>
    <w:p w14:paraId="72985E90" w14:textId="33747E75" w:rsidR="00F77190" w:rsidRPr="00EE41C6" w:rsidRDefault="00F77190" w:rsidP="00176F76">
      <w:pPr>
        <w:pStyle w:val="Heading1"/>
        <w:rPr>
          <w:rFonts w:ascii="Times New Roman" w:hAnsi="Times New Roman" w:cs="Times New Roman"/>
        </w:rPr>
      </w:pPr>
      <w:bookmarkStart w:id="20" w:name="_Hlk169014855"/>
      <w:bookmarkStart w:id="21" w:name="_Hlk169100464"/>
      <w:bookmarkStart w:id="22" w:name="_Toc176517752"/>
      <w:r w:rsidRPr="00EE41C6">
        <w:rPr>
          <w:rFonts w:ascii="Times New Roman" w:hAnsi="Times New Roman" w:cs="Times New Roman"/>
        </w:rPr>
        <w:lastRenderedPageBreak/>
        <w:t xml:space="preserve">Supplementary </w:t>
      </w:r>
      <w:r w:rsidR="00176F76" w:rsidRPr="00EE41C6">
        <w:rPr>
          <w:rFonts w:ascii="Times New Roman" w:hAnsi="Times New Roman" w:cs="Times New Roman"/>
        </w:rPr>
        <w:t xml:space="preserve">Note </w:t>
      </w:r>
      <w:r w:rsidR="008409AF" w:rsidRPr="00EE41C6">
        <w:rPr>
          <w:rFonts w:ascii="Times New Roman" w:hAnsi="Times New Roman" w:cs="Times New Roman"/>
        </w:rPr>
        <w:t>1</w:t>
      </w:r>
      <w:r w:rsidR="00176F76" w:rsidRPr="00EE41C6">
        <w:rPr>
          <w:rFonts w:ascii="Times New Roman" w:hAnsi="Times New Roman" w:cs="Times New Roman"/>
        </w:rPr>
        <w:t>: L</w:t>
      </w:r>
      <w:r w:rsidRPr="00EE41C6">
        <w:rPr>
          <w:rFonts w:ascii="Times New Roman" w:hAnsi="Times New Roman" w:cs="Times New Roman"/>
        </w:rPr>
        <w:t>and use change as a carbon dioxide removal method in GCAM</w:t>
      </w:r>
      <w:bookmarkEnd w:id="20"/>
      <w:bookmarkEnd w:id="22"/>
    </w:p>
    <w:bookmarkEnd w:id="21"/>
    <w:p w14:paraId="4DAF2C7C" w14:textId="77777777" w:rsidR="00FF1A3C" w:rsidRPr="00EE41C6" w:rsidRDefault="00FF1A3C" w:rsidP="00FF1A3C"/>
    <w:p w14:paraId="132BF660" w14:textId="28E0EF63" w:rsidR="00FF1A3C" w:rsidRPr="00EE41C6" w:rsidRDefault="00FF1A3C" w:rsidP="00FF1A3C">
      <w:pPr>
        <w:spacing w:line="480" w:lineRule="auto"/>
        <w:ind w:firstLine="288"/>
        <w:jc w:val="both"/>
        <w:rPr>
          <w:rFonts w:ascii="Times New Roman" w:hAnsi="Times New Roman" w:cs="Times New Roman"/>
        </w:rPr>
      </w:pPr>
      <w:bookmarkStart w:id="23" w:name="_Hlk169014192"/>
      <w:r w:rsidRPr="00EE41C6">
        <w:rPr>
          <w:rFonts w:ascii="Times New Roman" w:hAnsi="Times New Roman" w:cs="Times New Roman"/>
        </w:rPr>
        <w:t xml:space="preserve">GCAM tracks carbon flows between the atmosphere, biosphere, and anthroposphere resulting from land-use change (e.g., forest or grassland conversion to cropland). Under a carbon price policy, GCAM imposes a cost penalty </w:t>
      </w:r>
      <w:bookmarkEnd w:id="23"/>
      <w:r w:rsidRPr="00EE41C6">
        <w:rPr>
          <w:rFonts w:ascii="Times New Roman" w:hAnsi="Times New Roman" w:cs="Times New Roman"/>
        </w:rPr>
        <w:t xml:space="preserve">on land-use change emissions and provides a subsidy for land-use carbon sequestration (e.g., expanding forest area). While fossil fuel emissions can theoretically be priced at the source, land-use change and agricultural emissions currently lack regulatory frameworks or mature market infrastructure. Realizing the full climate benefits of biospheric carbon management will require developing governance and pricing mechanisms for these diffuse emissions and sinks </w:t>
      </w:r>
      <w:r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{"citationID":"ppLRjnwZ","properties":{"formattedCitation":"\\super 14\\nosupersub{}","plainCitation":"14","noteIndex":0},"citationItems":[{"id":1599,"uris":["http://zotero.org/users/local/YcBHrSK0/items/63V53XM8"],"itemData":{"id":1599,"type":"article-journal","abstract":"Net-zero greenhouse gas emission targets are central to current international efforts to stabilize global climate, and many of these plans rely on carbon dioxide removal (CDR) to meet mid-century goals. CDR can be performed via nature-based approaches, such as afforestation, or engineered approaches, such as direct air capture. Both will have large impacts in the regions where they are sited. We used the Global Change Analysis Model for the United States to analyze how regional resources will influence and be influenced by CDR deployment in service of United States national net-zero targets. Our modeling suggests that CDR will be deployed extensively, but unevenly, across the country. A number of US states have the resources, such as geologic carbon storage capacity and agricultural land, needed to become net exporters of negative emissions. But this will require reallocation of resources, such as natural gas and electricity, and dramatically increase water and fertilizer use in many places. Modeling these kinds of regional or sub-national impacts associated with CDR, as intrinsically uncertain as it is at this time, is critical for understanding its true potential in meeting decarbonization commitments.","container-title":"Environmental Research Letters","DOI":"10.1088/1748-9326/aced18","ISSN":"1748-9326","issue":"9","journalAbbreviation":"Environ. Res. Lett.","language":"en","note":"publisher: IOP Publishing","page":"094019","source":"Institute of Physics","title":"Regional implications of carbon dioxide removal in meeting net zero targets for the United States","volume":"18","author":[{"family":"Fauvel","given":"Chloé"},{"family":"Fuhrman","given":"Jay"},{"family":"Ou","given":"Yang"},{"family":"Shobe","given":"William"},{"family":"Doney","given":"Scott"},{"family":"McJeon","given":"Haewon"},{"family":"Clarens","given":"Andrés"}],"issued":{"date-parts":[["2023",8]]}}}],"schema":"https://github.com/citation-style-language/schema/raw/master/csl-citation.json"} </w:instrText>
      </w:r>
      <w:r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14</w:t>
      </w:r>
      <w:r w:rsidRPr="00EE41C6">
        <w:rPr>
          <w:rFonts w:ascii="Times New Roman" w:hAnsi="Times New Roman" w:cs="Times New Roman"/>
        </w:rPr>
        <w:fldChar w:fldCharType="end"/>
      </w:r>
      <w:r w:rsidRPr="00EE41C6">
        <w:rPr>
          <w:rFonts w:ascii="Times New Roman" w:hAnsi="Times New Roman" w:cs="Times New Roman"/>
        </w:rPr>
        <w:t>.</w:t>
      </w:r>
    </w:p>
    <w:p w14:paraId="1494A2C3" w14:textId="3D206F22" w:rsidR="00FF1A3C" w:rsidRPr="00EE41C6" w:rsidRDefault="00FF1A3C" w:rsidP="00EA4A5A">
      <w:pPr>
        <w:spacing w:line="480" w:lineRule="auto"/>
        <w:ind w:firstLine="288"/>
        <w:jc w:val="both"/>
        <w:rPr>
          <w:rFonts w:ascii="Times New Roman" w:hAnsi="Times New Roman" w:cs="Times New Roman"/>
        </w:rPr>
      </w:pPr>
      <w:r w:rsidRPr="00EE41C6">
        <w:rPr>
          <w:rFonts w:ascii="Times New Roman" w:hAnsi="Times New Roman" w:cs="Times New Roman"/>
        </w:rPr>
        <w:t xml:space="preserve">GCAM applies a carbon price to all anthropogenic carbon flows, despite the lack of existing policy levers for biospheric carbon. To better reflect real-world constraints, we implement a separate carbon price trajectory for land-use change emissions, starting at 10% in 2025 and linearly approaching the fossil fuel carbon price by 2100. This gradual convergence represents the long-term effort needed to implement land-use policies and infrastructure that address current barriers, including non-permanence risks of biospheric carbon storage. </w:t>
      </w:r>
      <w:r w:rsidR="00EA4A5A" w:rsidRPr="00EE41C6">
        <w:rPr>
          <w:rFonts w:ascii="Times New Roman" w:hAnsi="Times New Roman" w:cs="Times New Roman"/>
        </w:rPr>
        <w:t>For sensitivity analysis, we have introduced two additional mitigation roles for the land use sector. These roles consist of a mid-range role, where a constant carbon price of 30% is applied to the land use sector from 2025 to 2050, and a low role, where a constant carbon price of 10% is applied to the land use sector over the same period</w:t>
      </w:r>
      <w:r w:rsidRPr="00EE41C6">
        <w:rPr>
          <w:rFonts w:ascii="Times New Roman" w:hAnsi="Times New Roman" w:cs="Times New Roman"/>
        </w:rPr>
        <w:t>.</w:t>
      </w:r>
    </w:p>
    <w:p w14:paraId="5DB5E660" w14:textId="60C22E6D" w:rsidR="00793B5E" w:rsidRPr="00EE41C6" w:rsidRDefault="00F77190" w:rsidP="00176F76">
      <w:pPr>
        <w:pStyle w:val="Heading1"/>
        <w:rPr>
          <w:rFonts w:ascii="Times New Roman" w:hAnsi="Times New Roman" w:cs="Times New Roman"/>
        </w:rPr>
      </w:pPr>
      <w:bookmarkStart w:id="24" w:name="_Toc176517753"/>
      <w:r w:rsidRPr="00EE41C6">
        <w:rPr>
          <w:rFonts w:ascii="Times New Roman" w:hAnsi="Times New Roman" w:cs="Times New Roman"/>
        </w:rPr>
        <w:t xml:space="preserve">Supplementary </w:t>
      </w:r>
      <w:r w:rsidR="00176F76" w:rsidRPr="00EE41C6">
        <w:rPr>
          <w:rFonts w:ascii="Times New Roman" w:hAnsi="Times New Roman" w:cs="Times New Roman"/>
        </w:rPr>
        <w:t>N</w:t>
      </w:r>
      <w:r w:rsidRPr="00EE41C6">
        <w:rPr>
          <w:rFonts w:ascii="Times New Roman" w:hAnsi="Times New Roman" w:cs="Times New Roman"/>
        </w:rPr>
        <w:t xml:space="preserve">ote </w:t>
      </w:r>
      <w:r w:rsidR="008409AF" w:rsidRPr="00EE41C6">
        <w:rPr>
          <w:rFonts w:ascii="Times New Roman" w:hAnsi="Times New Roman" w:cs="Times New Roman"/>
        </w:rPr>
        <w:t>2</w:t>
      </w:r>
      <w:r w:rsidR="00176F76" w:rsidRPr="00EE41C6">
        <w:rPr>
          <w:rFonts w:ascii="Times New Roman" w:hAnsi="Times New Roman" w:cs="Times New Roman"/>
        </w:rPr>
        <w:t xml:space="preserve">: </w:t>
      </w:r>
      <w:r w:rsidRPr="00EE41C6">
        <w:rPr>
          <w:rFonts w:ascii="Times New Roman" w:hAnsi="Times New Roman" w:cs="Times New Roman"/>
        </w:rPr>
        <w:t>BECCS as a carbon dioxide removal method in GCAM</w:t>
      </w:r>
      <w:bookmarkEnd w:id="24"/>
    </w:p>
    <w:p w14:paraId="2853B8D2" w14:textId="77777777" w:rsidR="00F77190" w:rsidRPr="00EE41C6" w:rsidRDefault="00F77190" w:rsidP="00793B5E"/>
    <w:p w14:paraId="3FF5DE87" w14:textId="4F7CEB3D" w:rsidR="00793B5E" w:rsidRPr="00EE41C6" w:rsidRDefault="00793B5E" w:rsidP="00793B5E">
      <w:pPr>
        <w:spacing w:line="480" w:lineRule="auto"/>
        <w:ind w:firstLine="288"/>
        <w:jc w:val="both"/>
        <w:rPr>
          <w:rFonts w:ascii="Times New Roman" w:hAnsi="Times New Roman" w:cs="Times New Roman"/>
        </w:rPr>
      </w:pPr>
      <w:r w:rsidRPr="00EE41C6">
        <w:rPr>
          <w:rFonts w:ascii="Times New Roman" w:hAnsi="Times New Roman" w:cs="Times New Roman"/>
        </w:rPr>
        <w:t xml:space="preserve">GCAM includes bioenergy with carbon capture and storage (BECCS) technologies in the refining, electricity generation, hydrogen production and industrial sectors. The land, water, and fertilizer requirements for bioenergy supply and afforestation/reforestation are resolved endogenously in GCAM among 384 land-use regions. These regions represent the intersection of 32 geopolitical regions and 235 </w:t>
      </w:r>
      <w:r w:rsidRPr="00EE41C6">
        <w:rPr>
          <w:rFonts w:ascii="Times New Roman" w:hAnsi="Times New Roman" w:cs="Times New Roman"/>
        </w:rPr>
        <w:lastRenderedPageBreak/>
        <w:t xml:space="preserve">water basins. This accounts for the interactions with food crop production and natural lands </w:t>
      </w:r>
      <w:r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{"citationID":"PxvnEjwY","properties":{"formattedCitation":"\\super 15\\nosupersub{}","plainCitation":"15","noteIndex":0},"citationItems":[{"id":684,"uris":["http://zotero.org/users/local/YcBHrSK0/items/5JS8F3ST"],"itemData":{"id":684,"type":"article-journal","container-title":"Nature Climate Change","DOI":"10.1038/s41558-023-01604-9","ISSN":"1758-678X, 1758-6798","journalAbbreviation":"Nat. Clim. Chang.","language":"en","source":"DOI.org (Crossref)","title":"Diverse carbon dioxide removal approaches could reduce impacts on the energy–water–land system","URL":"https://www.nature.com/articles/s41558-023-01604-9","author":[{"family":"Fuhrman","given":"Jay"},{"family":"Bergero","given":"Candelaria"},{"family":"Weber","given":"Maridee"},{"family":"Monteith","given":"Seth"},{"family":"Wang","given":"Frances M."},{"family":"Clarens","given":"Andres F."},{"family":"Doney","given":"Scott C."},{"family":"Shobe","given":"William"},{"family":"McJeon","given":"Haewon"}],"accessed":{"date-parts":[["2023",3,20]]},"issued":{"date-parts":[["2023",3,9]]}}}],"schema":"https://github.com/citation-style-language/schema/raw/master/csl-citation.json"} </w:instrText>
      </w:r>
      <w:r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15</w:t>
      </w:r>
      <w:r w:rsidRPr="00EE41C6">
        <w:rPr>
          <w:rFonts w:ascii="Times New Roman" w:hAnsi="Times New Roman" w:cs="Times New Roman"/>
        </w:rPr>
        <w:fldChar w:fldCharType="end"/>
      </w:r>
      <w:r w:rsidRPr="00EE41C6">
        <w:rPr>
          <w:rFonts w:ascii="Times New Roman" w:hAnsi="Times New Roman" w:cs="Times New Roman"/>
        </w:rPr>
        <w:t xml:space="preserve">. The parameterization of all biomass energy technologies, including BECCS, is based on previous GCAM studies </w:t>
      </w:r>
      <w:r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{"citationID":"CGKDLXyM","properties":{"formattedCitation":"\\super 16\\uc0\\u8211{}18\\nosupersub{}","plainCitation":"16–18","noteIndex":0},"citationItems":[{"id":1602,"uris":["http://zotero.org/users/local/YcBHrSK0/items/JC6ADIGU"],"itemData":{"id":1602,"type":"article-journal","abstract":"Limiting atmospheric carbon dioxide (CO2) concentrations to low levels requires strategies to manage anthropogenic carbon emissions from terrestrial systems as well as fossil fuel and industrial sources. We explore the implications of fully integrating terrestrial systems and the energy system into a comprehensive mitigation regime that limits atmospheric CO2 concentrations. We find that this comprehensive approach lowers the cost of meeting environmental goals but also carries with it profound implications for agriculture: Unmanaged ecosystems and forests expand, and food crop and livestock prices rise. Finally, we find that future improvement in food crop productivity directly affects land-use change emissions, making the technology for growing crops potentially important for limiting atmospheric CO2 concentrations.","container-title":"Science","DOI":"10.1126/science.1168475","issue":"5931","note":"publisher: American Association for the Advancement of Science","page":"1183-1186","source":"science.org (Atypon)","title":"Implications of Limiting CO2 Concentrations for Land Use and Energy","volume":"324","author":[{"family":"Wise","given":"Marshall"},{"family":"Calvin","given":"Katherine"},{"family":"Thomson","given":"Allison"},{"family":"Clarke","given":"Leon"},{"family":"Bond-Lamberty","given":"Benjamin"},{"family":"Sands","given":"Ronald"},{"family":"Smith","given":"Steven J."},{"family":"Janetos","given":"Anthony"},{"family":"Edmonds","given":"James"}],"issued":{"date-parts":[["2009",5,29]]}}},{"id":1603,"uris":["http://zotero.org/users/local/YcBHrSK0/items/3DXEWHPE"],"itemData":{"id":1603,"type":"article-journal","abstract":"Energy from biomass is potentially an important contributor to U.S. climate change mitigation efforts. However, large-scale implementation of bioenergy competes with other uses of land, including agriculture and forest production and terrestrial carbon storage in non-commercial lands. And with trade, bioenergy could mean greater reliance on imported energy. Based on EMF-24 policy specifications, this paper explores these dimensions of bioenergy’s role in U.S. climate policy and the relationship to alternative measures for ameliorating the trade and land use consequences. It shows how widespread use of biomass in the U.S. could lead to imports; and it highlights that the relative stringency of domestic and international carbon mitigation policy will heavily influence the amount of imports. It demonstrates that limiting biomass imports could alter the balance of trade in other agricultural products. Finally, it shows that increasing efforts to protect both U.S. and international forests could also affect the balance of trade in other agricultural products.","container-title":"The Energy Journal","DOI":"10.5547/01956574.35.SI1.9","ISSN":"0195-6574","issue":"1_suppl","language":"en","note":"publisher: SAGE Publications","page":"165-180","source":"SAGE Journals","title":"Assessing the Interactions among U.S. Climate Policy, Biomass Energy, and Agricultural Trade","volume":"35","author":[{"family":"Wise","given":"Marshall A."},{"family":"McJeon","given":"Haewon C."},{"family":"Calvin","given":"Katherine V."},{"family":"Clarke","given":"Leon E."},{"family":"Kyle","given":"Page"}],"issued":{"date-parts":[["2014",6,1]]}}},{"id":1601,"uris":["http://zotero.org/users/local/YcBHrSK0/items/JTK2NNUJ"],"itemData":{"id":1601,"type":"article-journal","abstract":"Carbon capture and storage (CCS) is broadly understood to be a key mitigation technology, yet modeling analyses provide different results regarding the applications in which it might be used most effectively. Here we use the Global Change Assessment Model (GCAM) to explore the sensitivity of CCS deployment across sectors and fuels to future technology cost assumptions. We find that CCS is deployed preferentially in electricity generation or in liquid fuels production, depending on CCS and biofuels production cost assumptions. We consistently find significant deployment across both sectors in all of the scenarios considered here, with bioenergy with CCS (BECCS) often the dominant application. As such, this study challenges the view that CCS will primarily be coupled with power plants and used mainly in conjunction with fossil fuels, and suggests greater focus on practical implications of significant CCS and BECCS deployment to inform energy system transformation scenarios over the 21st century.","container-title":"International Journal of Greenhouse Gas Control","DOI":"10.1016/j.ijggc.2016.11.026","ISSN":"1750-5836","journalAbbreviation":"International Journal of Greenhouse Gas Control","page":"34-41","source":"ScienceDirect","title":"Carbon capture and storage across fuels and sectors in energy system transformation pathways","volume":"57","author":[{"family":"Muratori","given":"Matteo"},{"family":"Kheshgi","given":"Haroon"},{"family":"Mignone","given":"Bryan"},{"family":"Clarke","given":"Leon"},{"family":"McJeon","given":"Haewon"},{"family":"Edmonds","given":"Jae"}],"issued":{"date-parts":[["2017",2,1]]}}}],"schema":"https://github.com/citation-style-language/schema/raw/master/csl-citation.json"} </w:instrText>
      </w:r>
      <w:r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16–18</w:t>
      </w:r>
      <w:r w:rsidRPr="00EE41C6">
        <w:rPr>
          <w:rFonts w:ascii="Times New Roman" w:hAnsi="Times New Roman" w:cs="Times New Roman"/>
        </w:rPr>
        <w:fldChar w:fldCharType="end"/>
      </w:r>
      <w:r w:rsidRPr="00EE41C6">
        <w:rPr>
          <w:rFonts w:ascii="Times New Roman" w:hAnsi="Times New Roman" w:cs="Times New Roman"/>
        </w:rPr>
        <w:t xml:space="preserve">. In GCAM, land area allocated to biomass competes with other uses including cropland and natural lands. GCAM endogenously solves for irrigation water utilization (rainfed versus irrigated crops) and fertilizer application for biomass and all other agricultural commodities in each major river basin. It accounts for the yield effects of irrigation, fertilization, and any emissions tax or carbon sequestration subsidy </w:t>
      </w:r>
      <w:r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{"citationID":"5i1hlKmG","properties":{"formattedCitation":"\\super 14\\nosupersub{}","plainCitation":"14","noteIndex":0},"citationItems":[{"id":1599,"uris":["http://zotero.org/users/local/YcBHrSK0/items/63V53XM8"],"itemData":{"id":1599,"type":"article-journal","abstract":"Net-zero greenhouse gas emission targets are central to current international efforts to stabilize global climate, and many of these plans rely on carbon dioxide removal (CDR) to meet mid-century goals. CDR can be performed via nature-based approaches, such as afforestation, or engineered approaches, such as direct air capture. Both will have large impacts in the regions where they are sited. We used the Global Change Analysis Model for the United States to analyze how regional resources will influence and be influenced by CDR deployment in service of United States national net-zero targets. Our modeling suggests that CDR will be deployed extensively, but unevenly, across the country. A number of US states have the resources, such as geologic carbon storage capacity and agricultural land, needed to become net exporters of negative emissions. But this will require reallocation of resources, such as natural gas and electricity, and dramatically increase water and fertilizer use in many places. Modeling these kinds of regional or sub-national impacts associated with CDR, as intrinsically uncertain as it is at this time, is critical for understanding its true potential in meeting decarbonization commitments.","container-title":"Environmental Research Letters","DOI":"10.1088/1748-9326/aced18","ISSN":"1748-9326","issue":"9","journalAbbreviation":"Environ. Res. Lett.","language":"en","note":"publisher: IOP Publishing","page":"094019","source":"Institute of Physics","title":"Regional implications of carbon dioxide removal in meeting net zero targets for the United States","volume":"18","author":[{"family":"Fauvel","given":"Chloé"},{"family":"Fuhrman","given":"Jay"},{"family":"Ou","given":"Yang"},{"family":"Shobe","given":"William"},{"family":"Doney","given":"Scott"},{"family":"McJeon","given":"Haewon"},{"family":"Clarens","given":"Andrés"}],"issued":{"date-parts":[["2023",8]]}}}],"schema":"https://github.com/citation-style-language/schema/raw/master/csl-citation.json"} </w:instrText>
      </w:r>
      <w:r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14</w:t>
      </w:r>
      <w:r w:rsidRPr="00EE41C6">
        <w:rPr>
          <w:rFonts w:ascii="Times New Roman" w:hAnsi="Times New Roman" w:cs="Times New Roman"/>
        </w:rPr>
        <w:fldChar w:fldCharType="end"/>
      </w:r>
      <w:r w:rsidRPr="00EE41C6">
        <w:rPr>
          <w:rFonts w:ascii="Times New Roman" w:hAnsi="Times New Roman" w:cs="Times New Roman"/>
        </w:rPr>
        <w:t>.</w:t>
      </w:r>
    </w:p>
    <w:p w14:paraId="7737B4DE" w14:textId="6FE72DD0" w:rsidR="00902D8F" w:rsidRPr="00EE41C6" w:rsidRDefault="00F77190" w:rsidP="00176F76">
      <w:pPr>
        <w:pStyle w:val="Heading1"/>
        <w:rPr>
          <w:rFonts w:ascii="Times New Roman" w:hAnsi="Times New Roman" w:cs="Times New Roman"/>
        </w:rPr>
      </w:pPr>
      <w:bookmarkStart w:id="25" w:name="_Toc176517754"/>
      <w:r w:rsidRPr="00EE41C6">
        <w:rPr>
          <w:rFonts w:ascii="Times New Roman" w:hAnsi="Times New Roman" w:cs="Times New Roman"/>
        </w:rPr>
        <w:t xml:space="preserve">Supplementary </w:t>
      </w:r>
      <w:r w:rsidR="00176F76" w:rsidRPr="00EE41C6">
        <w:rPr>
          <w:rFonts w:ascii="Times New Roman" w:hAnsi="Times New Roman" w:cs="Times New Roman"/>
        </w:rPr>
        <w:t xml:space="preserve">Note </w:t>
      </w:r>
      <w:r w:rsidR="008409AF" w:rsidRPr="00EE41C6">
        <w:rPr>
          <w:rFonts w:ascii="Times New Roman" w:hAnsi="Times New Roman" w:cs="Times New Roman"/>
        </w:rPr>
        <w:t>3</w:t>
      </w:r>
      <w:r w:rsidR="00176F76" w:rsidRPr="00EE41C6">
        <w:rPr>
          <w:rFonts w:ascii="Times New Roman" w:hAnsi="Times New Roman" w:cs="Times New Roman"/>
        </w:rPr>
        <w:t xml:space="preserve">: </w:t>
      </w:r>
      <w:r w:rsidRPr="00EE41C6">
        <w:rPr>
          <w:rFonts w:ascii="Times New Roman" w:hAnsi="Times New Roman" w:cs="Times New Roman"/>
        </w:rPr>
        <w:t>DACCS as a carbon dioxide removal method in GCAM</w:t>
      </w:r>
      <w:bookmarkEnd w:id="25"/>
    </w:p>
    <w:p w14:paraId="11D090F0" w14:textId="77777777" w:rsidR="00F77190" w:rsidRPr="00EE41C6" w:rsidRDefault="00F77190" w:rsidP="00902D8F"/>
    <w:p w14:paraId="4BF0DA47" w14:textId="01074A92" w:rsidR="00793B5E" w:rsidRPr="00EE41C6" w:rsidRDefault="00793B5E" w:rsidP="00793B5E">
      <w:pPr>
        <w:spacing w:line="480" w:lineRule="auto"/>
        <w:ind w:firstLine="288"/>
        <w:jc w:val="both"/>
        <w:rPr>
          <w:rFonts w:ascii="Times New Roman" w:hAnsi="Times New Roman" w:cs="Times New Roman"/>
        </w:rPr>
      </w:pPr>
      <w:r w:rsidRPr="00EE41C6">
        <w:rPr>
          <w:rFonts w:ascii="Times New Roman" w:hAnsi="Times New Roman" w:cs="Times New Roman"/>
        </w:rPr>
        <w:t xml:space="preserve">We generally followed the detailed methodology of </w:t>
      </w:r>
      <w:proofErr w:type="spellStart"/>
      <w:r w:rsidRPr="00EE41C6">
        <w:rPr>
          <w:rFonts w:ascii="Times New Roman" w:hAnsi="Times New Roman" w:cs="Times New Roman"/>
        </w:rPr>
        <w:t>Fasihi</w:t>
      </w:r>
      <w:proofErr w:type="spellEnd"/>
      <w:r w:rsidRPr="00EE41C6">
        <w:rPr>
          <w:rFonts w:ascii="Times New Roman" w:hAnsi="Times New Roman" w:cs="Times New Roman"/>
        </w:rPr>
        <w:t xml:space="preserve"> et al.</w:t>
      </w:r>
      <w:r w:rsidR="005D2CD3" w:rsidRPr="00EE41C6">
        <w:rPr>
          <w:rFonts w:ascii="Times New Roman" w:hAnsi="Times New Roman" w:cs="Times New Roman"/>
        </w:rPr>
        <w:t xml:space="preserve"> </w:t>
      </w:r>
      <w:r w:rsidR="005D2CD3"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{"citationID":"FwIRatmi","properties":{"formattedCitation":"\\super 19\\nosupersub{}","plainCitation":"19","noteIndex":0},"citationItems":[{"id":656,"uris":["http://zotero.org/users/local/YcBHrSK0/items/T9QTXV4U"],"itemData":{"id":656,"type":"article-journal","container-title":"Journal of Cleaner Production","DOI":"10.1016/j.jclepro.2019.03.086","ISSN":"09596526","journalAbbreviation":"Journal of Cleaner Production","language":"en","page":"957-980","source":"DOI.org (Crossref)","title":"Techno-economic assessment of CO2 direct air capture plants","volume":"224","author":[{"family":"Fasihi","given":"Mahdi"},{"family":"Efimova","given":"Olga"},{"family":"Breyer","given":"Christian"}],"issued":{"date-parts":[["2019",7]]}}}],"schema":"https://github.com/citation-style-language/schema/raw/master/csl-citation.json"} </w:instrText>
      </w:r>
      <w:r w:rsidR="005D2CD3"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19</w:t>
      </w:r>
      <w:r w:rsidR="005D2CD3" w:rsidRPr="00EE41C6">
        <w:rPr>
          <w:rFonts w:ascii="Times New Roman" w:hAnsi="Times New Roman" w:cs="Times New Roman"/>
        </w:rPr>
        <w:fldChar w:fldCharType="end"/>
      </w:r>
      <w:r w:rsidRPr="00EE41C6">
        <w:rPr>
          <w:rFonts w:ascii="Times New Roman" w:hAnsi="Times New Roman" w:cs="Times New Roman"/>
        </w:rPr>
        <w:t>, adjusting the financial discount rate assumptions to derive more conservative early cost estimates for these emerging technologies. For low-temperature DACCS, we converted the required low-temperature thermal energy to electricity assuming an electric compression heat pump with a coefficient of performance of 3. We also accounted for the additional electricity required to compress the captured CO</w:t>
      </w:r>
      <w:r w:rsidRPr="00EE41C6">
        <w:rPr>
          <w:rFonts w:ascii="Times New Roman" w:hAnsi="Times New Roman" w:cs="Times New Roman"/>
          <w:vertAlign w:val="subscript"/>
        </w:rPr>
        <w:t>2</w:t>
      </w:r>
      <w:r w:rsidRPr="00EE41C6">
        <w:rPr>
          <w:rFonts w:ascii="Times New Roman" w:hAnsi="Times New Roman" w:cs="Times New Roman"/>
        </w:rPr>
        <w:t xml:space="preserve"> to pressures suitable for subsurface injection. To better inform near-term deployment potential, we assumed cost and energy efficiency improvements over the next decade (by 2030) that remain constant thereafter. The 1.6- to 4-fold non-energy cost reductions for DACCS over 10 years are partly due to our initially conservative estimates but are within historical improvement rates for solar photovoltaics, batteries, and other mitigation technologies</w:t>
      </w:r>
      <w:r w:rsidR="005D2CD3" w:rsidRPr="00EE41C6">
        <w:rPr>
          <w:rFonts w:ascii="Times New Roman" w:hAnsi="Times New Roman" w:cs="Times New Roman"/>
        </w:rPr>
        <w:t xml:space="preserve"> </w:t>
      </w:r>
      <w:r w:rsidR="005D2CD3"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{"citationID":"Qkl5nOnd","properties":{"formattedCitation":"\\super 20\\nosupersub{}","plainCitation":"20","noteIndex":0},"citationItems":[{"id":1606,"uris":["http://zotero.org/users/local/YcBHrSK0/items/SWGZJLAC"],"itemData":{"id":1606,"type":"article-journal","container-title":"Climatic Change","DOI":"10.1007/s10584-020-02731-4","ISSN":"0165-0009, 1573-1480","issue":"1","journalAbbreviation":"Climatic Change","language":"en","page":"13-24","source":"DOI.org (Crossref)","title":"Back to the basic: toward improvement of technoeconomic representation in integrated assessment models","title-short":"Back to the basic","volume":"162","author":[{"family":"Shiraki","given":"Hiroto"},{"family":"Sugiyama","given":"Masahiro"}],"issued":{"date-parts":[["2020",9]]}}}],"schema":"https://github.com/citation-style-language/schema/raw/master/csl-citation.json"} </w:instrText>
      </w:r>
      <w:r w:rsidR="005D2CD3"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20</w:t>
      </w:r>
      <w:r w:rsidR="005D2CD3" w:rsidRPr="00EE41C6">
        <w:rPr>
          <w:rFonts w:ascii="Times New Roman" w:hAnsi="Times New Roman" w:cs="Times New Roman"/>
        </w:rPr>
        <w:fldChar w:fldCharType="end"/>
      </w:r>
      <w:r w:rsidRPr="00EE41C6">
        <w:rPr>
          <w:rFonts w:ascii="Times New Roman" w:hAnsi="Times New Roman" w:cs="Times New Roman"/>
        </w:rPr>
        <w:t xml:space="preserve">. Given minimal biophysical constraints on global DACCS scaling, even our lower bound estimates of financial and energetic inputs represent relatively conservative technology advancement projections compared to other literature </w:t>
      </w:r>
      <w:r w:rsidR="00902D8F"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{"citationID":"7WadzOPZ","properties":{"formattedCitation":"\\super 19,21\\nosupersub{}","plainCitation":"19,21","noteIndex":0},"citationItems":[{"id":656,"uris":["http://zotero.org/users/local/YcBHrSK0/items/T9QTXV4U"],"itemData":{"id":656,"type":"article-journal","container-title":"Journal of Cleaner Production","DOI":"10.1016/j.jclepro.2019.03.086","ISSN":"09596526","journalAbbreviation":"Journal of Cleaner Production","language":"en","page":"957-980","source":"DOI.org (Crossref)","title":"Techno-economic assessment of CO2 direct air capture plants","volume":"224","author":[{"family":"Fasihi","given":"Mahdi"},{"family":"Efimova","given":"Olga"},{"family":"Breyer","given":"Christian"}],"issued":{"date-parts":[["2019",7]]}}},{"id":1607,"uris":["http://zotero.org/users/local/YcBHrSK0/items/LZZX5WGN"],"itemData":{"id":1607,"type":"article-journal","abstract":"Pathways for achieving the 1.5–2 °C global temperature moderation target imply a massive scaling of carbon dioxide (CO2) removal technologies, in particular in the 2040s and onwards. CO2 direct air capture (DAC) is among the most promising negative emission technologies (NETs). The energy demands for low-temperature solid-sorbent DAC are mainly heat at around 100 °C and electricity, which lead to sustainably operated DAC systems based on low-cost renewable electricity and heat pumps for the heat supply. This analysis is carried out for the case of the Maghreb region, which enjoys abundantly available low-cost renewable energy resources. The energy transition results for the Maghreb region lead to a solar photovoltaic (PV)-dominated energy supply with some wind energy contribution. DAC systems will need the same energy supply structure. The research investigates the levelised cost of CO2 DAC (LCOD) in high spatial resolution and is based on full hourly modelling for the Maghreb region. The key results are LCOD of about 55 €/tCO2 in 2050 with a further cost reduction potential of up to 50%. The area demand is considered and concluded to be negligible. Major conclusions for CO2 removal as a new energy sector are drawn. Key options for a global climate change mitigation strategy are first an energy transition towards renewable energy and second NETs for achieving the targets of the Paris Agreement.","container-title":"Mitigation and Adaptation Strategies for Global Change","DOI":"10.1007/s11027-019-9847-y","ISSN":"1573-1596","issue":"1","journalAbbreviation":"Mitig Adapt Strateg Glob Change","language":"en","page":"43-65","source":"Springer Link","title":"Carbon dioxide direct air capture for effective climate change mitigation based on renewable electricity: a new type of energy system sector coupling","title-short":"Carbon dioxide direct air capture for effective climate change mitigation based on renewable electricity","volume":"25","author":[{"family":"Breyer","given":"Christian"},{"family":"Fasihi","given":"Mahdi"},{"family":"Aghahosseini","given":"Arman"}],"issued":{"date-parts":[["2020",1,1]]}}}],"schema":"https://github.com/citation-style-language/schema/raw/master/csl-citation.json"} </w:instrText>
      </w:r>
      <w:r w:rsidR="00902D8F"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19,21</w:t>
      </w:r>
      <w:r w:rsidR="00902D8F" w:rsidRPr="00EE41C6">
        <w:rPr>
          <w:rFonts w:ascii="Times New Roman" w:hAnsi="Times New Roman" w:cs="Times New Roman"/>
        </w:rPr>
        <w:fldChar w:fldCharType="end"/>
      </w:r>
      <w:r w:rsidR="00902D8F" w:rsidRPr="00EE41C6">
        <w:rPr>
          <w:rFonts w:ascii="Times New Roman" w:hAnsi="Times New Roman" w:cs="Times New Roman"/>
        </w:rPr>
        <w:t>.</w:t>
      </w:r>
    </w:p>
    <w:p w14:paraId="3846FEA3" w14:textId="247E4316" w:rsidR="00AF7FE1" w:rsidRPr="00EE41C6" w:rsidRDefault="00F77190" w:rsidP="00176F76">
      <w:pPr>
        <w:pStyle w:val="Heading1"/>
        <w:rPr>
          <w:rFonts w:ascii="Times New Roman" w:hAnsi="Times New Roman" w:cs="Times New Roman"/>
        </w:rPr>
      </w:pPr>
      <w:bookmarkStart w:id="26" w:name="_Toc176517755"/>
      <w:r w:rsidRPr="00EE41C6">
        <w:rPr>
          <w:rFonts w:ascii="Times New Roman" w:hAnsi="Times New Roman" w:cs="Times New Roman"/>
        </w:rPr>
        <w:t xml:space="preserve">Supplementary </w:t>
      </w:r>
      <w:r w:rsidR="00176F76" w:rsidRPr="00EE41C6">
        <w:rPr>
          <w:rFonts w:ascii="Times New Roman" w:hAnsi="Times New Roman" w:cs="Times New Roman"/>
        </w:rPr>
        <w:t xml:space="preserve">Note </w:t>
      </w:r>
      <w:r w:rsidR="008409AF" w:rsidRPr="00EE41C6">
        <w:rPr>
          <w:rFonts w:ascii="Times New Roman" w:hAnsi="Times New Roman" w:cs="Times New Roman"/>
        </w:rPr>
        <w:t>4</w:t>
      </w:r>
      <w:r w:rsidR="00176F76" w:rsidRPr="00EE41C6">
        <w:rPr>
          <w:rFonts w:ascii="Times New Roman" w:hAnsi="Times New Roman" w:cs="Times New Roman"/>
        </w:rPr>
        <w:t xml:space="preserve">: </w:t>
      </w:r>
      <w:r w:rsidRPr="00EE41C6">
        <w:rPr>
          <w:rFonts w:ascii="Times New Roman" w:hAnsi="Times New Roman" w:cs="Times New Roman"/>
        </w:rPr>
        <w:t>ERW as a carbon dioxide removal method in GCAM</w:t>
      </w:r>
      <w:bookmarkEnd w:id="26"/>
    </w:p>
    <w:p w14:paraId="31921145" w14:textId="77777777" w:rsidR="00F77190" w:rsidRPr="00EE41C6" w:rsidRDefault="00F77190" w:rsidP="00AF7FE1"/>
    <w:p w14:paraId="0F73C83E" w14:textId="6A07CA9D" w:rsidR="00503BAD" w:rsidRPr="00EE41C6" w:rsidRDefault="00B1121D" w:rsidP="00F77190">
      <w:pPr>
        <w:spacing w:line="480" w:lineRule="auto"/>
        <w:ind w:firstLine="288"/>
        <w:jc w:val="both"/>
        <w:rPr>
          <w:rFonts w:ascii="Times New Roman" w:hAnsi="Times New Roman" w:cs="Times New Roman"/>
        </w:rPr>
      </w:pPr>
      <w:r w:rsidRPr="00EE41C6">
        <w:rPr>
          <w:rFonts w:ascii="Times New Roman" w:hAnsi="Times New Roman" w:cs="Times New Roman"/>
        </w:rPr>
        <w:t xml:space="preserve">Enhanced rock weathering (ERW) accelerates natural processes that regulate Earth's carbon cycle over geological timescales </w:t>
      </w:r>
      <w:r w:rsidR="00E93590"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{"citationID":"hIxrRiQx","properties":{"formattedCitation":"\\super 22\\uc0\\u8211{}24\\nosupersub{}","plainCitation":"22–24","noteIndex":0},"citationItems":[{"id":1641,"uris":["http://zotero.org/users/local/YcBHrSK0/items/U7PP8UH2"],"itemData":{"id":1641,"type":"article-journal","abstract":"The onset of the late Palaeozoic ice age about 340 million years ago has been attributed to a decrease in atmospheric CO2 concentrations associated with expansion of land plants, as plants both enhance silicate rock weathering—which consumes CO2—and increase the storage of organic carbon on land. However, plant expansion and carbon uptake substantially predate glaciation. Here we use climate and carbon cycle simulations to investigate the potential effects of the uplift of the equatorial Hercynian mountains and the assembly of Pangaea on the late Palaeozoic carbon cycle. In our simulations, mountain uplift during the Late Carboniferous caused an increase in physical weathering that removed the thick soil cover that had inhibited silicate weathering. The resulting increase in chemical weathering was sufficient to cause atmospheric CO2 concentrations to fall below the levels required to initiate glaciation. During the Permian, the lowering of the mountains led to a re-establishment of thick soils, whilst the assembly of Pangaea promoted arid conditions in continental interiors that were unfavourable for silicate weathering. These changes allowed CO2 concentrations to rise to levels sufficient to terminate the glacial event. Based on our simulations, we suggest that tectonically influenced carbon cycle changes during the late Palaeozoic were sufficient to initiate and terminate the late Palaeozoic ice age.","container-title":"Nature Geoscience","DOI":"10.1038/ngeo2931","ISSN":"1752-0908","issue":"5","journalAbbreviation":"Nature Geosci","language":"en","license":"2017 Springer Nature Limited","note":"number: 5\npublisher: Nature Publishing Group","page":"382-386","source":"www.nature.com","title":"Onset and ending of the late Palaeozoic ice age triggered by tectonically paced rock weathering","volume":"10","author":[{"family":"Goddéris","given":"Yves"},{"family":"Donnadieu","given":"Yannick"},{"family":"Carretier","given":"Sébastien"},{"family":"Aretz","given":"Markus"},{"family":"Dera","given":"Guillaume"},{"family":"Macouin","given":"Mélina"},{"family":"Regard","given":"Vincent"}],"issued":{"date-parts":[["2017",5]]}}},{"id":1636,"uris":["http://zotero.org/users/local/YcBHrSK0/items/KW5SI82I"],"itemData":{"id":1636,"type":"article-journal","abstract":"We suggest that the partial pressure of carbon dioxide in the atmosphere is buffered, over geological time scales, by a negative feedback mechanism in which the rate of weathering of silicate minerals (followed by deposition of carbonate minerals) depends on surface temperature, and surface temperature, in turn, depends on carbon dioxide partial pressure through the greenhouse effect. Although the quantitative details of this mechanism are speculative, it appears able partially to stabilize earth's surface temperature against the steady increase of solar luminosity believed to have occurred since the origin of the solar system.","container-title":"Journal of Geophysical Research: Oceans","DOI":"10.1029/JC086iC10p09776","ISSN":"2156-2202","issue":"C10","language":"en","note":"_eprint: https://onlinelibrary.wiley.com/doi/pdf/10.1029/JC086iC10p09776","page":"9776-9782","source":"Wiley Online Library","title":"A negative feedback mechanism for the long-term stabilization of Earth's surface temperature","volume":"86","author":[{"family":"Walker","given":"James C. G."},{"family":"Hays","given":"P. B."},{"family":"Kasting","given":"J. F."}],"issued":{"date-parts":[["1981"]]}}},{"id":1634,"uris":["http://zotero.org/users/local/YcBHrSK0/items/XGJ6QCXD"],"itemData":{"id":1634,"type":"article-journal","abstract":"Weathering and subsequent precipitation of Ca- and Mg-carbonates are the main processes that control the CO2-concentration in the atmosphere. It seems logical, therefore, to use enhanced weathering as a tool to reduce rising CO2-levels. This can be applied as a technology, by reacting captured CO2 with olivine or calcium-silicates in autoclaves. It can also be applied extensively, by spreading fine-powdered olivine on farmland or forestland. Measures to control the CO2-levels of the atmosphere will be adopted more readily if they also serve some broader economic goals. An effective strategy for CO2 control will require many parallel approaches simultaneously.","container-title":"Climatic Change","DOI":"10.1007/s10584-005-3485-y","ISSN":"1573-1480","issue":"1","journalAbbreviation":"Climatic Change","language":"en","page":"349-354","source":"Springer Link","title":"Enhanced Weathering: An Effective and Cheap Tool to Sequester Co2","title-short":"Enhanced Weathering","volume":"74","author":[{"family":"Schuiling","given":"R. D."},{"family":"Krijgsman","given":"P."}],"issued":{"date-parts":[["2006",1,1]]}}}],"schema":"https://github.com/citation-style-language/schema/raw/master/csl-citation.json"} </w:instrText>
      </w:r>
      <w:r w:rsidR="00E93590"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22–24</w:t>
      </w:r>
      <w:r w:rsidR="00E93590" w:rsidRPr="00EE41C6">
        <w:rPr>
          <w:rFonts w:ascii="Times New Roman" w:hAnsi="Times New Roman" w:cs="Times New Roman"/>
        </w:rPr>
        <w:fldChar w:fldCharType="end"/>
      </w:r>
      <w:r w:rsidRPr="00EE41C6">
        <w:rPr>
          <w:rFonts w:ascii="Times New Roman" w:hAnsi="Times New Roman" w:cs="Times New Roman"/>
        </w:rPr>
        <w:t xml:space="preserve">. Crushing calcium- or magnesium-bearing minerals increases their surface area, </w:t>
      </w:r>
      <w:r w:rsidRPr="00EE41C6">
        <w:rPr>
          <w:rFonts w:ascii="Times New Roman" w:hAnsi="Times New Roman" w:cs="Times New Roman"/>
        </w:rPr>
        <w:lastRenderedPageBreak/>
        <w:t>dramatically enhancing the reaction rate of atmospheric CO</w:t>
      </w:r>
      <w:r w:rsidRPr="00EE41C6">
        <w:rPr>
          <w:rFonts w:ascii="Times New Roman" w:hAnsi="Times New Roman" w:cs="Times New Roman"/>
          <w:vertAlign w:val="subscript"/>
        </w:rPr>
        <w:t>2</w:t>
      </w:r>
      <w:r w:rsidRPr="00EE41C6">
        <w:rPr>
          <w:rFonts w:ascii="Times New Roman" w:hAnsi="Times New Roman" w:cs="Times New Roman"/>
        </w:rPr>
        <w:t xml:space="preserve"> into bicarbonate ions </w:t>
      </w:r>
      <w:r w:rsidR="00E93590"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{"citationID":"7lX6SHlz","properties":{"formattedCitation":"\\super 25\\uc0\\u8211{}27\\nosupersub{}","plainCitation":"25–27","noteIndex":0},"citationItems":[{"id":1637,"uris":["http://zotero.org/users/local/YcBHrSK0/items/IUR6WPJP"],"itemData":{"id":1637,"type":"article-journal","abstract":"7 billion tonnes of alkaline materials are produced globally each year as a product or by-product of industrial activity. The aqueous dissolution of these materials creates high pH solutions that dissolves CO2 to store carbon in the form of solid carbonate minerals or dissolved bicarbonate ions. Here we show that these materials have a carbon dioxide storage potential of 2.9–8.5 billion tonnes per year by 2100, and may contribute a substantial proportion of the negative emissions required to limit global temperature change to &lt;2 °C.","container-title":"Nature Communications","DOI":"10.1038/s41467-019-09475-5","ISSN":"2041-1723","issue":"1","journalAbbreviation":"Nat Commun","language":"en","license":"2019 The Author(s)","note":"number: 1\npublisher: Nature Publishing Group","page":"1401","source":"www.nature.com","title":"The negative emission potential of alkaline materials","volume":"10","author":[{"family":"Renforth","given":"Phil"}],"issued":{"date-parts":[["2019",3,28]]}}},{"id":1035,"uris":["http://zotero.org/users/local/YcBHrSK0/items/JG5G63QU"],"itemData":{"id":1035,"type":"article-journal","container-title":"Nature","DOI":"10.1038/s41586-020-2448-9","ISSN":"0028-0836, 1476-4687","issue":"7815","journalAbbreviation":"Nature","language":"en","page":"242-248","source":"DOI.org (Crossref)","title":"Potential for large-scale CO2 removal via enhanced rock weathering with croplands","volume":"583","author":[{"family":"Beerling","given":"David J."},{"family":"Kantzas","given":"Euripides P."},{"family":"Lomas","given":"Mark R."},{"family":"Wade","given":"Peter"},{"family":"Eufrasio","given":"Rafael M."},{"family":"Renforth","given":"Phil"},{"family":"Sarkar","given":"Binoy"},{"family":"Andrews","given":"M. Grace"},{"family":"James","given":"Rachael H."},{"family":"Pearce","given":"Christopher R."},{"family":"Mercure","given":"Jean-Francois"},{"family":"Pollitt","given":"Hector"},{"family":"Holden","given":"Philip B."},{"family":"Edwards","given":"Neil R."},{"family":"Khanna","given":"Madhu"},{"family":"Koh","given":"Lenny"},{"family":"Quegan","given":"Shaun"},{"family":"Pidgeon","given":"Nick F."},{"family":"Janssens","given":"Ivan A."},{"family":"Hansen","given":"James"},{"family":"Banwart","given":"Steven A."}],"issued":{"date-parts":[["2020",7,9]]}}},{"id":1643,"uris":["http://zotero.org/users/local/YcBHrSK0/items/D5RWKAET"],"itemData":{"id":1643,"type":"article-journal","abstract":"AbstractChemical weathering is an integral part of both the rock and carbon cycles and is being affected by changes in land use, particularly as a result of agricultural practices such as tilling, mineral fertilization, or liming to adjust soil pH. These human activities have already altered the terrestrial chemical cycles and land-ocean flux of major elements, although the extent remains difficult to quantify. When deployed on a grand scale, Enhanced Weathering (a form of mineral fertilization), the application of finely ground minerals over the land surface, could be used to remove CO2 from the atmosphere. The release of cations during the dissolution of such silicate minerals would convert dissolved CO2 to bicarbonate, increasing the alkalinity and pH of natural waters. Some products of mineral dissolution would precipitate in soils or be taken up by ecosystems, but a significant portion would be transported to the coastal zone and the open ocean, where the increase in alkalinity would partially counteract “ocean acidification” associated with the current marked increase in atmospheric CO2. Other elements released during this mineral dissolution, like Si, P, or K, could stimulate biological productivity, further helping to remove CO2 from the atmosphere. On land, the terrestrial carbon pool would likely increase in response to Enhanced Weathering in areas where ecosystem growth rates are currently limited by one of the nutrients that would be released during mineral dissolution. In the ocean, the biological carbon pumps (which export organic matter and CaCO3 to the deep ocean) may be altered by the resulting influx of nutrients and alkalinity to the ocean. This review merges current interdisciplinary knowledge about Enhanced Weathering, the processes involved, and the applicability as well as some of the consequences and risks of applying the method.","container-title":"Reviews of Geophysics","DOI":"10.1002/rog.20004","ISSN":"1944-9208","issue":"2","language":"en","license":"©2013. American Geophysical Union. All Rights Reserved","note":"_eprint: https://onlinelibrary.wiley.com/doi/pdf/10.1002/rog.20004","page":"113-149","source":"Wiley Online Library","title":"Enhanced chemical weathering as a geoengineering strategy to reduce atmospheric carbon dioxide, supply nutrients, and mitigate ocean acidification","volume":"51","author":[{"family":"Hartmann","given":"Jens"},{"family":"West","given":"A. Joshua"},{"family":"Renforth","given":"Phil"},{"family":"Köhler","given":"Peter"},{"family":"De La Rocha","given":"Christina L."},{"family":"Wolf-Gladrow","given":"Dieter A."},{"family":"Dürr","given":"Hans H."},{"family":"Scheffran","given":"Jürgen"}],"issued":{"date-parts":[["2013"]]}}}],"schema":"https://github.com/citation-style-language/schema/raw/master/csl-citation.json"} </w:instrText>
      </w:r>
      <w:r w:rsidR="00E93590"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25–27</w:t>
      </w:r>
      <w:r w:rsidR="00E93590" w:rsidRPr="00EE41C6">
        <w:rPr>
          <w:rFonts w:ascii="Times New Roman" w:hAnsi="Times New Roman" w:cs="Times New Roman"/>
        </w:rPr>
        <w:fldChar w:fldCharType="end"/>
      </w:r>
      <w:r w:rsidRPr="00EE41C6">
        <w:rPr>
          <w:rFonts w:ascii="Times New Roman" w:hAnsi="Times New Roman" w:cs="Times New Roman"/>
        </w:rPr>
        <w:t>. E</w:t>
      </w:r>
      <w:r w:rsidR="00E93590" w:rsidRPr="00EE41C6">
        <w:rPr>
          <w:rFonts w:ascii="Times New Roman" w:hAnsi="Times New Roman" w:cs="Times New Roman"/>
        </w:rPr>
        <w:t>R</w:t>
      </w:r>
      <w:r w:rsidRPr="00EE41C6">
        <w:rPr>
          <w:rFonts w:ascii="Times New Roman" w:hAnsi="Times New Roman" w:cs="Times New Roman"/>
        </w:rPr>
        <w:t xml:space="preserve">W has been demonstrated in lab experiments, small field trials, and idealized models </w:t>
      </w:r>
      <w:r w:rsidR="00E93590"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{"citationID":"0vVXgAYh","properties":{"formattedCitation":"\\super 28\\uc0\\u8211{}31\\nosupersub{}","plainCitation":"28–31","noteIndex":0},"citationItems":[{"id":1649,"uris":["http://zotero.org/users/local/YcBHrSK0/items/BEDFIF7Y"],"itemData":{"id":1649,"type":"article-journal","abstract":"Chemical weathering of silicate minerals consumes atmospheric CO2 and is a fundamental component of geochemical cycles and of the climate system on long timescales. Artificial acceleration of such weathering (“enhanced weathering”) has recently been proposed as a method of mitigating anthropogenic climate change, by adding fine-grained silicate materials to continental surfaces. The efficacy of such intervention in the carbon cycle strongly depends on the mineral dissolution rates that occur, but these rates remain uncertain. Dissolution rates determined from catchment scale investigations are generally several orders of magnitude slower than those predicted from kinetic information derived from laboratory studies. Here we present results from laboratory flow-through dissolution experiments which seek to bridge this observational discrepancy by using columns of soil returned to the laboratory from a field site. We constrain the dissolution rate of olivine added to the top of one of these columns, while maintaining much of the complexity inherent in the soil environment. Continual addition of water to the top of the soil columns, and analysis of elemental composition of waters exiting at the base was conducted for a period of five months, and the solid and leachable composition of the soils was also assessed before and after the experiments. Chemical results indicate clear release of Mg2+ from the dissolution of olivine and, by comparison with a control case, allow the rate of olivine dissolution to be estimated between 10−16.4 and 10−15.5 moles(Mg)cm−2s−1. Measurements also allow secondary mineral formation in the soil to be assessed, and suggest that no significant secondary uptake of Mg2+ has occurred. The olivine dissolution rates are intermediate between those of pure laboratory and field studies and provide a useful constraint on weathering processes in natural environments, such as during soil profile deepening or the addition of mineral dust or volcanic ash to soils surfaces. The dissolution rates also provide critical information for the assessment of enhanced weathering including the expected surface-area and energy requirements.","container-title":"Applied Geochemistry","DOI":"10.1016/j.apgeochem.2015.05.016","ISSN":"0883-2927","journalAbbreviation":"Applied Geochemistry","page":"109-118","source":"ScienceDirect","title":"The dissolution of olivine added to soil: Implications for enhanced weathering","title-short":"The dissolution of olivine added to soil","volume":"61","author":[{"family":"Renforth","given":"P."},{"family":"Pogge von Strandmann","given":"P. A. E."},{"family":"Henderson","given":"G. M."}],"issued":{"date-parts":[["2015",10,1]]}}},{"id":1648,"uris":["http://zotero.org/users/local/YcBHrSK0/items/NGWL28MX"],"itemData":{"id":1648,"type":"article-journal","abstract":"The weathering of silicates is a major control on atmospheric CO2 at geologic timescales. It was proposed to enhance this process to actively remove CO2 from the atmosphere. While there are some studies that propose and theoretically analyze the application of rock powder to agricultural land, results from field experiments are still scarce.\n\n In order to evaluate the efficiency and side effects of Enhanced Weathering (EW), a mesocosm experiment was set up and agricultural soil from Belgium was amended with olivine-bearing dunite ground to two different grain sizes, while distinguishing setups with and without crops.\n\n Based on measurements of Mg, Si, pH, and DIC, the additional weathering effect of olivine could be confirmed. Calculated weathering rates are up to 3 orders of magnitude lower than found in other studies. The calculated CO2 consumption by weathering based on the outlet water of the mesocosm systems was low with 2.3–4.9&amp;thinsp;tCO2km-2a-1 if compared with previous theoretical estimates. Suspected causes were the removal or dilution of Mg as a weathering product by processes like adsorption, mineralization, plant uptake, evapotranspiration, and/or preferential flow, not specifically addressed in previous EW experiments for CO2 consumption. The observation that Mg concentrations in the upper soil layers were about 1 order of magnitude higher than in the outlet water indicates that a car</w:instrText>
      </w:r>
      <w:r w:rsidR="00005AF3" w:rsidRPr="00EE41C6">
        <w:rPr>
          <w:rFonts w:ascii="Times New Roman" w:hAnsi="Times New Roman" w:cs="Times New Roman" w:hint="eastAsia"/>
        </w:rPr>
        <w:instrText>eful tracking of weathering indicators like Mg in the field is essential for a precise estimate of the CO2 consumption potential of EW, specifically under global deployment scenarios with a high diversity of ecosystem settings. Porewater Mg</w:instrText>
      </w:r>
      <w:r w:rsidR="00005AF3" w:rsidRPr="00EE41C6">
        <w:rPr>
          <w:rFonts w:ascii="Times New Roman" w:hAnsi="Times New Roman" w:cs="Times New Roman" w:hint="eastAsia"/>
        </w:rPr>
        <w:instrText>∕</w:instrText>
      </w:r>
      <w:r w:rsidR="00005AF3" w:rsidRPr="00EE41C6">
        <w:rPr>
          <w:rFonts w:ascii="Times New Roman" w:hAnsi="Times New Roman" w:cs="Times New Roman" w:hint="eastAsia"/>
        </w:rPr>
        <w:instrText>Si molar ratio</w:instrText>
      </w:r>
      <w:r w:rsidR="00005AF3" w:rsidRPr="00EE41C6">
        <w:rPr>
          <w:rFonts w:ascii="Times New Roman" w:hAnsi="Times New Roman" w:cs="Times New Roman"/>
        </w:rPr>
        <w:instrText xml:space="preserve">s suggest that dissolved Si is reprecipitating, forming a cation-depleted Si layer on the reactive mineral surface of freshly ground rocks.\n\n The release of potentially harmful trace elements is an acknowledged side effect of EW. Primarily Ni and Cr are elevated in the soil solution, while Ni concentrations exceed the limits of drinking water quality. The use of olivine, rich in Ni and Cr, is not recommended, and alternative rock sources are suggested for the application.","container-title":"Biogeosciences","DOI":"10.5194/bg-17-103-2020","ISSN":"1726-4170","issue":"1","language":"English","note":"publisher: Copernicus GmbH","page":"103-119","source":"Copernicus Online Journals","title":"Enhanced Weathering and related element fluxes – a cropland mesocosm approach","volume":"17","author":[{"family":"Amann","given":"Thorben"},{"family":"Hartmann","given":"Jens"},{"family":"Struyf","given":"Eric"},{"family":"Oliveira Garcia","given":"Wagner","non-dropping-particle":"de"},{"family":"Fischer","given":"Elke K."},{"family":"Janssens","given":"Ivan"},{"family":"Meire","given":"Patrick"},{"family":"Schoelynck","given":"Jonas"}],"issued":{"date-parts":[["2020",1,8]]}},"label":"page"},{"id":1646,"uris":["http://zotero.org/users/local/YcBHrSK0/items/LMBW9QNB"],"itemData":{"id":1646,"type":"article-journal","abstract":"Achieving national targets for net-zero carbon emissions will require atmospheric carbon dioxide removal strategies compatible with rising agricultural production. One possible method for delivering on these goals is enhanced rock weathering, which involves modifying soils with crushed silicate rocks, such as basalt. Here we use dynamic carbon budget modelling to assess the carbon dioxide removal potential and agricultural benefits of implementing enhanced rock weathering strategies across UK arable croplands. We find that enhanced rock weathering could deliver net carbon dioxide removal of 6–30 MtCO2 yr−1 for the United Kingdom by 2050, representing up to 45% of the atmospheric carbon removal required nationally to meet net-zero emissions. This suggests that enhanced rock weathering could play a crucial role in national climate mitigation strategies if it were to gain acceptance across national political, local community and farm scales. We show that it is feasible to eliminate the energy-demanding requirement for milling rocks to fine particle sizes. Co-benefits of enhanced rock weathering include substantial mitigation of nitrous oxide, the third most important greenhouse gas, widespread reversal of soil acidification and considerable cost savings from reduced fertilizer usage. Our analyses provide a guide for other nations to pursue their carbon dioxide removal ambitions and decarbonize agriculture—a key source of greenhouse gases.","container-title":"Nature Geoscience","DOI":"10.1038/s41561-022-00925-2","ISSN":"1752-0908","issue":"5","journalAbbreviation":"Nat. Geosci.","language":"en","license":"2022 The Author(s), under exclusive licence to Springer Nature Limited","note":"number: 5\npublisher: Nature Publishing Group","page":"382-389","source":"www.nature.com","title":"Substantial carbon drawdown potential from enhanced rock weathering in the United Kingdom","volume":"15","author":[{"family":"Kantzas","given":"Euripides P."},{"family":"Val Martin","given":"Maria"},{"family":"Lomas","given":"Mark R."},{"family":"Eufrasio","given":"Rafael M."},{"family":"Renforth","given":"Phil"},{"family":"Lewis","given":"Amy L."},{"family":"Taylor","given":"Lyla L."},{"family":"Mecure","given":"Jean-Francois"},{"family":"Pollitt","given":"Hector"},{"family":"Vercoulen","given":"Pim V."},{"family":"Vakilifard","given":"Negar"},{"family":"Holden","given":"Philip B."},{"family":"Edwards","given":"Neil R."},{"family":"Koh","given":"Lenny"},{"family":"Pidgeon","given":"Nick F."},{"family":"Banwart","given":"Steven A."},{"family":"Beerling","given":"David J."}],"issued":{"date-parts":[["2022",5]]}}},{"id":1645,"uris":["http://zotero.org/users/local/YcBHrSK0/items/VVSHK6B8"],"itemData":{"id":1645,"type":"article-journal","abstract":"Negative emission technologies underpin socioeconomic scenarios consistent with the Paris Agreement. Afforestation and bioenergy coupled with carbon dioxide (CO2) capture and storage are the main land negative emission technologies proposed, but the range of nature-based solutions is wider. Here we explore soil amendment with powdered basalt in natural ecosystems. Basalt is an abundant rock resource, which reacts with CO2 and removes it from the atmosphere. Besides, basalt improves soil fertility and thereby potentially enhances ecosystem carbon storage, rendering a global CO2 removal of basalt substantially larger than previously suggested. As this is a fully developed technology that can be co-deployed in existing land systems, it is suited for rapid upscaling. Achieving sufficiently high net CO2 removal will require upscaling of basalt mining, deploying systems in remote areas with a low carbon footprint and using energy from low-carbon sources. We argue that basalt soil amendment should be considered a prominent option when assessing land management options for mitigating climate change, but yet unknown side-effects, as well as limited data on field-scale deployment, need to be addressed first.","container-title":"Nature Geoscience","DOI":"10.1038/s41561-021-00798-x","ISSN":"1752-0908","issue":"8","journalAbbreviation":"Nat. Geosci.","language":"en","license":"2021 Springer Nature Limited","note":"number: 8\npublisher: Nature Publishing Group","page":"545-549","source":"www.nature.com","title":"Potential CO2 removal from enhanced weathering by ecosystem responses to powdered rock","volume":"14","author":[{"family":"Goll","given":"Daniel S."},{"family":"Ciais","given":"Philippe"},{"family":"Amann","given":"Thorben"},{"family":"Buermann","given":"Wolfgang"},{"family":"Chang","given":"Jinfeng"},{"family":"Eker","given":"Sibel"},{"family":"Hartmann","given":"Jens"},{"family":"Janssens","given":"Ivan"},{"family":"Li","given":"Wei"},{"family":"Obersteiner","given":"Michael"},{"family":"Penuelas","given":"Josep"},{"family":"Tanaka","given":"Katsumasa"},{"family":"Vicca","given":"Sara"}],"issued":{"date-parts":[["2021",8]]}}}],"schema":"https://github.com/citation-style-language/schema/raw/master/csl-citation.json"} </w:instrText>
      </w:r>
      <w:r w:rsidR="00E93590"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28–31</w:t>
      </w:r>
      <w:r w:rsidR="00E93590" w:rsidRPr="00EE41C6">
        <w:rPr>
          <w:rFonts w:ascii="Times New Roman" w:hAnsi="Times New Roman" w:cs="Times New Roman"/>
        </w:rPr>
        <w:fldChar w:fldCharType="end"/>
      </w:r>
      <w:r w:rsidRPr="00EE41C6">
        <w:rPr>
          <w:rFonts w:ascii="Times New Roman" w:hAnsi="Times New Roman" w:cs="Times New Roman"/>
        </w:rPr>
        <w:t>. Compared to DACCS, ERW may have lower removal costs per tonne CO</w:t>
      </w:r>
      <w:r w:rsidRPr="00EE41C6">
        <w:rPr>
          <w:rFonts w:ascii="Times New Roman" w:hAnsi="Times New Roman" w:cs="Times New Roman"/>
          <w:vertAlign w:val="subscript"/>
        </w:rPr>
        <w:t>2</w:t>
      </w:r>
      <w:r w:rsidRPr="00EE41C6">
        <w:rPr>
          <w:rFonts w:ascii="Times New Roman" w:hAnsi="Times New Roman" w:cs="Times New Roman"/>
        </w:rPr>
        <w:t xml:space="preserve"> even considering crushing and transport energy inputs </w:t>
      </w:r>
      <w:r w:rsidR="00E93590"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{"citationID":"DoUEZUoN","properties":{"formattedCitation":"\\super 19,32\\uc0\\u8211{}34\\nosupersub{}","plainCitation":"19,32–34","noteIndex":0},"citationItems":[{"id":656,"uris":["http://zotero.org/users/local/YcBHrSK0/items/T9QTXV4U"],"itemData":{"id":656,"type":"article-journal","container-title":"Journal of Cleaner Production","DOI":"10.1016/j.jclepro.2019.03.086","ISSN":"09596526","journalAbbreviation":"Journal of Cleaner Production","language":"en","page":"957-980","source":"DOI.org (Crossref)","title":"Techno-economic assessment of CO2 direct air capture plants","volume":"224","author":[{"family":"Fasihi","given":"Mahdi"},{"family":"Efimova","given":"Olga"},{"family":"Breyer","given":"Christian"}],"issued":{"date-parts":[["2019",7]]}}},{"id":1316,"uris":["http://zotero.org/users/local/YcBHrSK0/items/V58U5DWX"],"itemData":{"id":1316,"type":"article-journal","container-title":"Environmental Research Letters","DOI":"10.1088/1748-9326/aaa9c4","ISSN":"1748-9326","issue":"3","journalAbbreviation":"Environ. Res. Lett.","page":"034010","source":"DOI.org (Crossref)","title":"Potential and costs of carbon dioxide removal by enhanced weathering of rocks","volume":"13","author":[{"family":"Strefler","given":"Jessica"},{"family":"Amann","given":"Thorben"},{"family":"Bauer","given":"Nico"},{"family":"Kriegler","given":"Elmar"},{"family":"Hartmann","given":"Jens"}],"issued":{"date-parts":[["2018",3,1]]}}},{"id":1653,"uris":["http://zotero.org/users/local/YcBHrSK0/items/VWNMS9N9"],"itemData":{"id":1653,"type":"article-journal","container-title":"Joule","DOI":"10.1016/j.joule.2018.05.006","ISSN":"2542-4785, 2542-4351","issue":"8","journalAbbreviation":"Joule","language":"English","note":"publisher: Elsevier","page":"1573-1594","source":"www.cell.com","title":"A Process for Capturing CO2 from the Atmosphere","volume":"2","author":[{"family":"Keith","given":"David W."},{"family":"Holmes","given":"Geoffrey"},{"family":"Angelo","given":"David St"},{"family":"Heidel","given":"Kenton"}],"issued":{"date-parts":[["2018",8,15]]}}},{"id":662,"uris":["http://zotero.org/users/local/YcBHrSK0/items/BF9LJ5G3"],"itemData":{"id":662,"type":"article-journal","container-title":"Frontiers in Climate","DOI":"10.3389/fclim.2019.00010","ISSN":"2624-9553","journalAbbreviation":"Front. Clim.","page":"10","source":"DOI.org (Crossref)","title":"The Role of Direct Air Capture in Mitigation of Anthropogenic Greenhouse Gas Emissions","volume":"1","author":[{"family":"Beuttler","given":"Christoph"},{"family":"Charles","given":"Louise"},{"family":"Wurzbacher","given":"Jan"}],"issued":{"date-parts":[["2019",11,21]]}}}],"schema":"https://github.com/citation-style-language/schema/raw/master/csl-citation.json"} </w:instrText>
      </w:r>
      <w:r w:rsidR="00E93590"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19,32–34</w:t>
      </w:r>
      <w:r w:rsidR="00E93590" w:rsidRPr="00EE41C6">
        <w:rPr>
          <w:rFonts w:ascii="Times New Roman" w:hAnsi="Times New Roman" w:cs="Times New Roman"/>
        </w:rPr>
        <w:fldChar w:fldCharType="end"/>
      </w:r>
      <w:r w:rsidRPr="00EE41C6">
        <w:rPr>
          <w:rFonts w:ascii="Times New Roman" w:hAnsi="Times New Roman" w:cs="Times New Roman"/>
        </w:rPr>
        <w:t xml:space="preserve">. ERW poses less competition for land and water versus BECCS or afforestation/reforestation, as it can occur on already perturbed lands (e.g. cropland, managed forests/grasslands). Alkalinity addition may even boost crop yields and reduce irrigation needs in some climates and soils </w:t>
      </w:r>
      <w:r w:rsidR="00E93590"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{"citationID":"it1KI4E5","properties":{"formattedCitation":"\\super 35,36\\nosupersub{}","plainCitation":"35,36","noteIndex":0},"citationItems":[{"id":1657,"uris":["http://zotero.org/users/local/YcBHrSK0/items/2M6G3NV5"],"itemData":{"id":1657,"type":"article-journal","abstract":"The magnitude of future climate change could be moderated by immediately reducing the amount of CO2 entering the atmosphere as a result of energy generation and by adopting strategies that actively remove CO2 from it. Biogeochemical improvement of soils by adding crushed, fast-reacting silicate rocks to croplands is one such CO2-removal strategy. This approach has the potential to improve crop production, increase protection from pests and diseases, and restore soil fertility and structure. Managed croplands worldwide are already equipped for frequent rock dust additions to soils, making rapid adoption at scale feasible, and the potential benefits could generate financial incentives for widespread adoption in the agricultural sector. However, there are still obstacles to be surmounted. Audited field-scale assessments of the efficacy of CO2 capture are urgently required together with detailed environmental monitoring. A cost-effective way to meet the rock requirements for CO2 removal must be found, possibly involving the recycling of silicate waste materials. Finally, issues of public perception, trust and acceptance must also be addressed.","container-title":"Nature Plants","DOI":"10.1038/s41477-018-0108-y","ISSN":"2055-0278","issue":"3","language":"en","license":"2018 The Author(s)","note":"number: 3\npublisher: Nature Publishing Group","page":"138-147","source":"www.nature.com","title":"Farming with crops and rocks to address global climate, food and soil security","volume":"4","author":[{"family":"Beerling","given":"David J."},{"family":"Leake","given":"Jonathan R."},{"family":"Long","given":"Stephen P."},{"family":"Scholes","given":"Julie D."},{"family":"Ton","given":"Jurriaan"},{"family":"Nelson","given":"Paul N."},{"family":"Bird","given":"Michael"},{"family":"Kantzas","given":"Euripides"},{"family":"Taylor","given":"Lyla L."},{"family":"Sarkar","given":"Binoy"},{"family":"Kelland","given":"Mike"},{"family":"DeLucia","given":"Evan"},{"family":"Kantola","given":"Ilsa"},{"family":"Müller","given":"Christoph"},{"family":"Rau","given":"Greg"},{"family":"Hansen","given":"James"}],"issued":{"date-parts":[["2018",3]]}}},{"id":1659,"uris":["http://zotero.org/users/local/YcBHrSK0/items/G9V8YKH3"],"itemData":{"id":1659,"type":"article-journal","abstract":"Conventional row crop agriculture for both food and fuel is a source of carbon dioxide (CO2) and nitrous oxide (N2O) to the atmosphere, and intensifying production on agricultural land increases the potential for soil C loss and soil acidification due to fertilizer use. Enhanced weathering (EW) in agricultural soils—applying crushed silicate rock as a soil amendment—is a method for combating global climate change while increasing nutrient availability to plants. EW uses land that is already producing food and fuel to sequester carbon (C), and reduces N2O loss through pH buffering. As biofuel use increases, EW in bioenergy crops offers the opportunity to sequester CO2 while reducing fossil fuel combustion. Uncertainties remain in the long-term effects and global implications of large-scale efforts to directly manipulate Earth's atmospheric CO2 composition, but EW in agricultural lands is an opportunity to employ these soils to sequester atmospheric C while benefitting crop production and the global climate.","container-title":"Biology Letters","DOI":"10.1098/rsbl.2016.0714","issue":"4","note":"publisher: Royal Society","page":"20160714","source":"royalsocietypublishing.org (Atypon)","title":"Potential of global croplands and bioenergy crops for climate change mitigation through deployment for enhanced weathering","volume":"13","author":[{"family":"Kantola","given":"Ilsa B."},{"family":"Masters","given":"Michael D."},{"family":"Beerling","given":"David J."},{"family":"Long","given":"Stephen P."},{"family":"DeLucia","given":"Evan H."}],"issued":{"date-parts":[["2017",4,5]]}}}],"schema":"https://github.com/citation-style-language/schema/raw/master/csl-citation.json"} </w:instrText>
      </w:r>
      <w:r w:rsidR="00E93590"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35,36</w:t>
      </w:r>
      <w:r w:rsidR="00E93590" w:rsidRPr="00EE41C6">
        <w:rPr>
          <w:rFonts w:ascii="Times New Roman" w:hAnsi="Times New Roman" w:cs="Times New Roman"/>
        </w:rPr>
        <w:fldChar w:fldCharType="end"/>
      </w:r>
      <w:r w:rsidRPr="00EE41C6">
        <w:rPr>
          <w:rFonts w:ascii="Times New Roman" w:hAnsi="Times New Roman" w:cs="Times New Roman"/>
        </w:rPr>
        <w:t xml:space="preserve">. A portion of the bicarbonate precipitates into soils, while the remainder flows to oceans, ameliorating acidification </w:t>
      </w:r>
      <w:r w:rsidR="00E93590"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{"citationID":"LFIbbQ7N","properties":{"formattedCitation":"\\super 37\\nosupersub{}","plainCitation":"37","noteIndex":0},"citationItems":[{"id":1661,"uris":["http://zotero.org/users/local/YcBHrSK0/items/L44RTKKJ"],"itemData":{"id":1661,"type":"article-journal","abstract":"The chemical breakdown of rocks can be enhanced by spreading silicate granules over land. Research suggests that this measure, which increases the rate at which CO2 is locked up in ocean carbonates, could lower atmospheric CO2 by 30–300 ppm by 2100.","container-title":"Nature Climate Change","DOI":"10.1038/nclimate2882","ISSN":"1758-6798","issue":"4","journalAbbreviation":"Nature Clim Change","language":"en","license":"2016 Springer Nature Limited","note":"number: 4\npublisher: Nature Publishing Group","page":"402-406","source":"www.nature.com","title":"Enhanced weathering strategies for stabilizing climate and averting ocean acidification","volume":"6","author":[{"family":"Taylor","given":"Lyla L."},{"family":"Quirk","given":"Joe"},{"family":"Thorley","given":"Rachel M. S."},{"family":"Kharecha","given":"Pushker A."},{"family":"Hansen","given":"James"},{"family":"Ridgwell","given":"Andy"},{"family":"Lomas","given":"Mark R."},{"family":"Banwart","given":"Steve A."},{"family":"Beerling","given":"David J."}],"issued":{"date-parts":[["2016",4]]}}}],"schema":"https://github.com/citation-style-language/schema/raw/master/csl-citation.json"} </w:instrText>
      </w:r>
      <w:r w:rsidR="00E93590"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37</w:t>
      </w:r>
      <w:r w:rsidR="00E93590" w:rsidRPr="00EE41C6">
        <w:rPr>
          <w:rFonts w:ascii="Times New Roman" w:hAnsi="Times New Roman" w:cs="Times New Roman"/>
        </w:rPr>
        <w:fldChar w:fldCharType="end"/>
      </w:r>
      <w:r w:rsidRPr="00EE41C6">
        <w:rPr>
          <w:rFonts w:ascii="Times New Roman" w:hAnsi="Times New Roman" w:cs="Times New Roman"/>
        </w:rPr>
        <w:t xml:space="preserve">. However, dissolution along the land-aquatic-ocean continuum may reduce ERW efficacy </w:t>
      </w:r>
      <w:r w:rsidR="00E93590"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{"citationID":"U7CFw9PT","properties":{"formattedCitation":"\\super 38\\nosupersub{}","plainCitation":"38","noteIndex":0},"citationItems":[{"id":1663,"uris":["http://zotero.org/users/local/YcBHrSK0/items/VP8GLTFL"],"itemData":{"id":1663,"type":"article-journal","abstract":"Enhanced weathering (EW) is a promising negative-emission technology that artificially accelerates the dissolution of natural minerals, promotes biomass growth, and alleviates the acidification of soils and natural waters. EW aims to increase the alkalinity of natural waters (alkalinization) to promote a transfer of CO2 from the atmosphere to the water. Here we provide a quantification of the alkalinization carbon-capture efficiency (ACE) as a function of the water chemistry. ACE can be used for any alkaline mineral in various natural waters. We show that ACE strongly depends on the water pH, with a sharp transition from minimum to maximum in a narrow interval of pH values. We also quantify ACE in three compartments of the land-to-ocean aquatic continuum: the world topsoils, the lakes of an acid-sensitive area, and the global surface ocean. The results reveal that the efficiency of terrestrial EW varies markedly, from 0 to 100 %, with a significant trade-off in acidic conditions between carbon-capture efficiency and enhanced chemical dissolution. The efficiency is more stable in the ocean, with a typical value of around 80 % and a latitudinal pattern driven by differences in seawater temperature and salinity. Our results point to the importance of an integrated hydrological and biogeochemical theory to assess the fate of the weathering products across the aquatic continuum from land to ocean.","container-title":"Science of The Total Environment","DOI":"10.1016/j.scitotenv.2022.156524","ISSN":"0048-9697","journalAbbreviation":"Science of The Total Environment","page":"156524","source":"ScienceDirect","title":"The Carbon-Capture Efficiency of Natural Water Alkalinization: Implications For Enhanced weathering","title-short":"The Carbon-Capture Efficiency of Natural Water Alkalinization","volume":"838","author":[{"family":"Bertagni","given":"Matteo B."},{"family":"Porporato","given":"Amilcare"}],"issued":{"date-parts":[["2022",9,10]]}}}],"schema":"https://github.com/citation-style-language/schema/raw/master/csl-citation.json"} </w:instrText>
      </w:r>
      <w:r w:rsidR="00E93590"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38</w:t>
      </w:r>
      <w:r w:rsidR="00E93590" w:rsidRPr="00EE41C6">
        <w:rPr>
          <w:rFonts w:ascii="Times New Roman" w:hAnsi="Times New Roman" w:cs="Times New Roman"/>
        </w:rPr>
        <w:fldChar w:fldCharType="end"/>
      </w:r>
      <w:r w:rsidRPr="00EE41C6">
        <w:rPr>
          <w:rFonts w:ascii="Times New Roman" w:hAnsi="Times New Roman" w:cs="Times New Roman"/>
        </w:rPr>
        <w:t xml:space="preserve">. Large material requirements may also cause local environmental damage from extraction, transport, crushing, and spreading </w:t>
      </w:r>
      <w:r w:rsidR="00B23C56"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{"citationID":"pgf91gDg","properties":{"formattedCitation":"\\super 39\\nosupersub{}","plainCitation":"39","noteIndex":0},"citationItems":[{"id":1664,"uris":["http://zotero.org/users/local/YcBHrSK0/items/VS5TWYYK"],"itemData":{"id":1664,"type":"article-journal","abstract":"Land-management options for greenhouse gas removal (GGR) include afforestation or reforestation (AR), wetland restoration, soil carbon sequestration (SCS), biochar, terrestrial enhanced weathering (TEW), and bioenergy with carbon capture and storage (BECCS). We assess the opportunities and risks associated with these options through the lens of their potential impacts on ecosystem services (Nature's Contributions to People; NCPs) and the United Nations Sustainable Development Goals (SDGs). We find that all land-based GGR options contribute positively to at least some NCPs and SDGs. Wetland restoration and SCS almost exclusively deliver positive impacts. A few GGR options, such as afforestation, BECCS, and biochar potentially impact negatively some NCPs and SDGs, particularly when implemented at scale, largely through competition for land. For those that present risks or are least understood, more research is required, and demonstration projects need to proceed with caution. For options that present low risks and provide cobenefits, implementation can proceed more rapidly following no-regrets principles.","container-title":"Annual Review of Environment and Resources","DOI":"10.1146/annurev-environ-101718-033129","issue":"1","note":"_eprint: https://doi.org/10.1146/annurev-environ-101718-033129","page":"255-286","source":"Annual Reviews","title":"Land-Management Options for Greenhouse Gas Removal and Their Impacts on Ecosystem Services and the Sustainable Development Goals","volume":"44","author":[{"family":"Smith","given":"Pete"},{"family":"Adams","given":"Justin"},{"family":"Beerling","given":"David J."},{"family":"Beringer","given":"Tim"},{"family":"Calvin","given":"Katherine V."},{"family":"Fuss","given":"Sabine"},{"family":"Griscom","given":"Bronson"},{"family":"Hagemann","given":"Nikolas"},{"family":"Kammann","given":"Claudia"},{"family":"Kraxner","given":"Florian"},{"family":"Minx","given":"Jan C."},{"family":"Popp","given":"Alexander"},{"family":"Renforth","given":"Phil"},{"family":"Vicente Vicente","given":"Jose Luis"},{"family":"Keesstra","given":"Saskia"}],"issued":{"date-parts":[["2019"]]}}}],"schema":"https://github.com/citation-style-language/schema/raw/master/csl-citation.json"} </w:instrText>
      </w:r>
      <w:r w:rsidR="00B23C56"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39</w:t>
      </w:r>
      <w:r w:rsidR="00B23C56" w:rsidRPr="00EE41C6">
        <w:rPr>
          <w:rFonts w:ascii="Times New Roman" w:hAnsi="Times New Roman" w:cs="Times New Roman"/>
        </w:rPr>
        <w:fldChar w:fldCharType="end"/>
      </w:r>
      <w:r w:rsidRPr="00EE41C6">
        <w:rPr>
          <w:rFonts w:ascii="Times New Roman" w:hAnsi="Times New Roman" w:cs="Times New Roman"/>
        </w:rPr>
        <w:t xml:space="preserve">. We considered basalt ERW on croplands, using country-level potentials from Beerling et al. </w:t>
      </w:r>
      <w:r w:rsidR="00B23C56"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{"citationID":"Hf6h46KR","properties":{"formattedCitation":"\\super 26\\nosupersub{}","plainCitation":"26","noteIndex":0},"citationItems":[{"id":1035,"uris":["http://zotero.org/users/local/YcBHrSK0/items/JG5G63QU"],"itemData":{"id":1035,"type":"article-journal","container-title":"Nature","DOI":"10.1038/s41586-020-2448-9","ISSN":"0028-0836, 1476-4687","issue":"7815","journalAbbreviation":"Nature","language":"en","page":"242-248","source":"DOI.org (Crossref)","title":"Potential for large-scale CO2 removal via enhanced rock weathering with croplands","volume":"583","author":[{"family":"Beerling","given":"David J."},{"family":"Kantzas","given":"Euripides P."},{"family":"Lomas","given":"Mark R."},{"family":"Wade","given":"Peter"},{"family":"Eufrasio","given":"Rafael M."},{"family":"Renforth","given":"Phil"},{"family":"Sarkar","given":"Binoy"},{"family":"Andrews","given":"M. Grace"},{"family":"James","given":"Rachael H."},{"family":"Pearce","given":"Christopher R."},{"family":"Mercure","given":"Jean-Francois"},{"family":"Pollitt","given":"Hector"},{"family":"Holden","given":"Philip B."},{"family":"Edwards","given":"Neil R."},{"family":"Khanna","given":"Madhu"},{"family":"Koh","given":"Lenny"},{"family":"Quegan","given":"Shaun"},{"family":"Pidgeon","given":"Nick F."},{"family":"Janssens","given":"Ivan A."},{"family":"Hansen","given":"James"},{"family":"Banwart","given":"Steven A."}],"issued":{"date-parts":[["2020",7,9]]}}}],"schema":"https://github.com/citation-style-language/schema/raw/master/csl-citation.json"} </w:instrText>
      </w:r>
      <w:r w:rsidR="00B23C56"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26</w:t>
      </w:r>
      <w:r w:rsidR="00B23C56" w:rsidRPr="00EE41C6">
        <w:rPr>
          <w:rFonts w:ascii="Times New Roman" w:hAnsi="Times New Roman" w:cs="Times New Roman"/>
        </w:rPr>
        <w:fldChar w:fldCharType="end"/>
      </w:r>
      <w:r w:rsidRPr="00EE41C6">
        <w:rPr>
          <w:rFonts w:ascii="Times New Roman" w:hAnsi="Times New Roman" w:cs="Times New Roman"/>
        </w:rPr>
        <w:t xml:space="preserve"> to develop regional supply curves in GCAM. For </w:t>
      </w:r>
      <w:r w:rsidR="00B23C56" w:rsidRPr="00EE41C6">
        <w:rPr>
          <w:rFonts w:ascii="Times New Roman" w:hAnsi="Times New Roman" w:cs="Times New Roman"/>
        </w:rPr>
        <w:t>missing</w:t>
      </w:r>
      <w:r w:rsidRPr="00EE41C6">
        <w:rPr>
          <w:rFonts w:ascii="Times New Roman" w:hAnsi="Times New Roman" w:cs="Times New Roman"/>
        </w:rPr>
        <w:t xml:space="preserve"> regions, we scaled the aggregated curve linearly by regional potentials from </w:t>
      </w:r>
      <w:proofErr w:type="spellStart"/>
      <w:r w:rsidRPr="00EE41C6">
        <w:rPr>
          <w:rFonts w:ascii="Times New Roman" w:hAnsi="Times New Roman" w:cs="Times New Roman"/>
        </w:rPr>
        <w:t>Strefler</w:t>
      </w:r>
      <w:proofErr w:type="spellEnd"/>
      <w:r w:rsidRPr="00EE41C6">
        <w:rPr>
          <w:rFonts w:ascii="Times New Roman" w:hAnsi="Times New Roman" w:cs="Times New Roman"/>
        </w:rPr>
        <w:t xml:space="preserve"> et al. </w:t>
      </w:r>
      <w:r w:rsidR="00B23C56"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{"citationID":"U2fymo89","properties":{"formattedCitation":"\\super 32\\nosupersub{}","plainCitation":"32","noteIndex":0},"citationItems":[{"id":1316,"uris":["http://zotero.org/users/local/YcBHrSK0/items/V58U5DWX"],"itemData":{"id":1316,"type":"article-journal","container-title":"Environmental Research Letters","DOI":"10.1088/1748-9326/aaa9c4","ISSN":"1748-9326","issue":"3","journalAbbreviation":"Environ. Res. Lett.","page":"034010","source":"DOI.org (Crossref)","title":"Potential and costs of carbon dioxide removal by enhanced weathering of rocks","volume":"13","author":[{"family":"Strefler","given":"Jessica"},{"family":"Amann","given":"Thorben"},{"family":"Bauer","given":"Nico"},{"family":"Kriegler","given":"Elmar"},{"family":"Hartmann","given":"Jens"}],"issued":{"date-parts":[["2018",3,1]]}}}],"schema":"https://github.com/citation-style-language/schema/raw/master/csl-citation.json"} </w:instrText>
      </w:r>
      <w:r w:rsidR="00B23C56"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32</w:t>
      </w:r>
      <w:r w:rsidR="00B23C56" w:rsidRPr="00EE41C6">
        <w:rPr>
          <w:rFonts w:ascii="Times New Roman" w:hAnsi="Times New Roman" w:cs="Times New Roman"/>
        </w:rPr>
        <w:fldChar w:fldCharType="end"/>
      </w:r>
      <w:r w:rsidR="00B23C56" w:rsidRPr="00EE41C6">
        <w:rPr>
          <w:rFonts w:ascii="Times New Roman" w:hAnsi="Times New Roman" w:cs="Times New Roman"/>
        </w:rPr>
        <w:t xml:space="preserve">. </w:t>
      </w:r>
      <w:r w:rsidRPr="00EE41C6">
        <w:rPr>
          <w:rFonts w:ascii="Times New Roman" w:hAnsi="Times New Roman" w:cs="Times New Roman"/>
        </w:rPr>
        <w:t xml:space="preserve">GCAM endogenously calculates regional electricity costs and carbon intensity, so we subtracted the fixed cost assumption from </w:t>
      </w:r>
      <w:proofErr w:type="spellStart"/>
      <w:r w:rsidRPr="00EE41C6">
        <w:rPr>
          <w:rFonts w:ascii="Times New Roman" w:hAnsi="Times New Roman" w:cs="Times New Roman"/>
        </w:rPr>
        <w:t>Strefler</w:t>
      </w:r>
      <w:proofErr w:type="spellEnd"/>
      <w:r w:rsidRPr="00EE41C6">
        <w:rPr>
          <w:rFonts w:ascii="Times New Roman" w:hAnsi="Times New Roman" w:cs="Times New Roman"/>
        </w:rPr>
        <w:t xml:space="preserve"> et al. </w:t>
      </w:r>
      <w:r w:rsidR="00B23C56"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{"citationID":"7lXI1Zor","properties":{"formattedCitation":"\\super 32\\nosupersub{}","plainCitation":"32","noteIndex":0},"citationItems":[{"id":1316,"uris":["http://zotero.org/users/local/YcBHrSK0/items/V58U5DWX"],"itemData":{"id":1316,"type":"article-journal","container-title":"Environmental Research Letters","DOI":"10.1088/1748-9326/aaa9c4","ISSN":"1748-9326","issue":"3","journalAbbreviation":"Environ. Res. Lett.","page":"034010","source":"DOI.org (Crossref)","title":"Potential and costs of carbon dioxide removal by enhanced weathering of rocks","volume":"13","author":[{"family":"Strefler","given":"Jessica"},{"family":"Amann","given":"Thorben"},{"family":"Bauer","given":"Nico"},{"family":"Kriegler","given":"Elmar"},{"family":"Hartmann","given":"Jens"}],"issued":{"date-parts":[["2018",3,1]]}}}],"schema":"https://github.com/citation-style-language/schema/raw/master/csl-citation.json"} </w:instrText>
      </w:r>
      <w:r w:rsidR="00B23C56"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32</w:t>
      </w:r>
      <w:r w:rsidR="00B23C56" w:rsidRPr="00EE41C6">
        <w:rPr>
          <w:rFonts w:ascii="Times New Roman" w:hAnsi="Times New Roman" w:cs="Times New Roman"/>
        </w:rPr>
        <w:fldChar w:fldCharType="end"/>
      </w:r>
      <w:r w:rsidRPr="00EE41C6">
        <w:rPr>
          <w:rFonts w:ascii="Times New Roman" w:hAnsi="Times New Roman" w:cs="Times New Roman"/>
        </w:rPr>
        <w:t xml:space="preserve">. We assumed an electricity input declining from their 2020 upper bound of 2 </w:t>
      </w:r>
      <w:r w:rsidR="00D87353" w:rsidRPr="00EE41C6">
        <w:rPr>
          <w:rFonts w:ascii="Times New Roman" w:hAnsi="Times New Roman" w:cs="Times New Roman"/>
        </w:rPr>
        <w:t>Gigajoule per tonne of CO</w:t>
      </w:r>
      <w:r w:rsidR="00D87353" w:rsidRPr="00EE41C6">
        <w:rPr>
          <w:rFonts w:ascii="Times New Roman" w:hAnsi="Times New Roman" w:cs="Times New Roman"/>
          <w:vertAlign w:val="subscript"/>
        </w:rPr>
        <w:t>2</w:t>
      </w:r>
      <w:r w:rsidR="00D87353" w:rsidRPr="00EE41C6">
        <w:rPr>
          <w:rFonts w:ascii="Times New Roman" w:hAnsi="Times New Roman" w:cs="Times New Roman"/>
        </w:rPr>
        <w:t xml:space="preserve"> (</w:t>
      </w:r>
      <w:r w:rsidRPr="00EE41C6">
        <w:rPr>
          <w:rFonts w:ascii="Times New Roman" w:hAnsi="Times New Roman" w:cs="Times New Roman"/>
        </w:rPr>
        <w:t>GJ</w:t>
      </w:r>
      <w:r w:rsidR="00D87353" w:rsidRPr="00EE41C6">
        <w:rPr>
          <w:rFonts w:ascii="Times New Roman" w:hAnsi="Times New Roman" w:cs="Times New Roman"/>
        </w:rPr>
        <w:t xml:space="preserve"> per </w:t>
      </w:r>
      <w:r w:rsidRPr="00EE41C6">
        <w:rPr>
          <w:rFonts w:ascii="Times New Roman" w:hAnsi="Times New Roman" w:cs="Times New Roman"/>
        </w:rPr>
        <w:t>tCO</w:t>
      </w:r>
      <w:r w:rsidRPr="00EE41C6">
        <w:rPr>
          <w:rFonts w:ascii="Times New Roman" w:hAnsi="Times New Roman" w:cs="Times New Roman"/>
          <w:vertAlign w:val="subscript"/>
        </w:rPr>
        <w:t>2</w:t>
      </w:r>
      <w:r w:rsidR="00D87353" w:rsidRPr="00EE41C6">
        <w:rPr>
          <w:rFonts w:ascii="Times New Roman" w:hAnsi="Times New Roman" w:cs="Times New Roman"/>
        </w:rPr>
        <w:t>)</w:t>
      </w:r>
      <w:r w:rsidRPr="00EE41C6">
        <w:rPr>
          <w:rFonts w:ascii="Times New Roman" w:hAnsi="Times New Roman" w:cs="Times New Roman"/>
        </w:rPr>
        <w:t xml:space="preserve"> to their 2050 best estimate of 0.66 GJ</w:t>
      </w:r>
      <w:r w:rsidR="00D87353" w:rsidRPr="00EE41C6">
        <w:rPr>
          <w:rFonts w:ascii="Times New Roman" w:hAnsi="Times New Roman" w:cs="Times New Roman"/>
        </w:rPr>
        <w:t xml:space="preserve"> per </w:t>
      </w:r>
      <w:r w:rsidRPr="00EE41C6">
        <w:rPr>
          <w:rFonts w:ascii="Times New Roman" w:hAnsi="Times New Roman" w:cs="Times New Roman"/>
        </w:rPr>
        <w:t>tCO</w:t>
      </w:r>
      <w:r w:rsidRPr="00EE41C6">
        <w:rPr>
          <w:rFonts w:ascii="Times New Roman" w:hAnsi="Times New Roman" w:cs="Times New Roman"/>
          <w:vertAlign w:val="subscript"/>
        </w:rPr>
        <w:t>2</w:t>
      </w:r>
      <w:r w:rsidRPr="00EE41C6">
        <w:rPr>
          <w:rFonts w:ascii="Times New Roman" w:hAnsi="Times New Roman" w:cs="Times New Roman"/>
        </w:rPr>
        <w:t>. We also subtracted rock transport costs, with freight mode, fuel mix, and cost determined endogenously in GCAM. This leaves regional non-fuel cost supply curves. Assuming 300 km average transport and 0.3 tCO</w:t>
      </w:r>
      <w:r w:rsidRPr="00EE41C6">
        <w:rPr>
          <w:rFonts w:ascii="Times New Roman" w:hAnsi="Times New Roman" w:cs="Times New Roman"/>
          <w:vertAlign w:val="subscript"/>
        </w:rPr>
        <w:t>2</w:t>
      </w:r>
      <w:r w:rsidRPr="00EE41C6">
        <w:rPr>
          <w:rFonts w:ascii="Times New Roman" w:hAnsi="Times New Roman" w:cs="Times New Roman"/>
        </w:rPr>
        <w:t xml:space="preserve"> per rock from </w:t>
      </w:r>
      <w:proofErr w:type="spellStart"/>
      <w:r w:rsidRPr="00EE41C6">
        <w:rPr>
          <w:rFonts w:ascii="Times New Roman" w:hAnsi="Times New Roman" w:cs="Times New Roman"/>
        </w:rPr>
        <w:t>Strefler</w:t>
      </w:r>
      <w:proofErr w:type="spellEnd"/>
      <w:r w:rsidRPr="00EE41C6">
        <w:rPr>
          <w:rFonts w:ascii="Times New Roman" w:hAnsi="Times New Roman" w:cs="Times New Roman"/>
        </w:rPr>
        <w:t xml:space="preserve"> et al. </w:t>
      </w:r>
      <w:r w:rsidR="00B23C56"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{"citationID":"cb9v4Oh8","properties":{"formattedCitation":"\\super 32\\nosupersub{}","plainCitation":"32","noteIndex":0},"citationItems":[{"id":1316,"uris":["http://zotero.org/users/local/YcBHrSK0/items/V58U5DWX"],"itemData":{"id":1316,"type":"article-journal","container-title":"Environmental Research Letters","DOI":"10.1088/1748-9326/aaa9c4","ISSN":"1748-9326","issue":"3","journalAbbreviation":"Environ. Res. Lett.","page":"034010","source":"DOI.org (Crossref)","title":"Potential and costs of carbon dioxide removal by enhanced weathering of rocks","volume":"13","author":[{"family":"Strefler","given":"Jessica"},{"family":"Amann","given":"Thorben"},{"family":"Bauer","given":"Nico"},{"family":"Kriegler","given":"Elmar"},{"family":"Hartmann","given":"Jens"}],"issued":{"date-parts":[["2018",3,1]]}}}],"schema":"https://github.com/citation-style-language/schema/raw/master/csl-citation.json"} </w:instrText>
      </w:r>
      <w:r w:rsidR="00B23C56"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32</w:t>
      </w:r>
      <w:r w:rsidR="00B23C56" w:rsidRPr="00EE41C6">
        <w:rPr>
          <w:rFonts w:ascii="Times New Roman" w:hAnsi="Times New Roman" w:cs="Times New Roman"/>
        </w:rPr>
        <w:fldChar w:fldCharType="end"/>
      </w:r>
      <w:r w:rsidRPr="00EE41C6">
        <w:rPr>
          <w:rFonts w:ascii="Times New Roman" w:hAnsi="Times New Roman" w:cs="Times New Roman"/>
        </w:rPr>
        <w:t xml:space="preserve"> gives a freight input of 1000 tonne-km</w:t>
      </w:r>
      <w:r w:rsidR="00D87353" w:rsidRPr="00EE41C6">
        <w:rPr>
          <w:rFonts w:ascii="Times New Roman" w:hAnsi="Times New Roman" w:cs="Times New Roman"/>
        </w:rPr>
        <w:t xml:space="preserve"> per </w:t>
      </w:r>
      <w:r w:rsidRPr="00EE41C6">
        <w:rPr>
          <w:rFonts w:ascii="Times New Roman" w:hAnsi="Times New Roman" w:cs="Times New Roman"/>
        </w:rPr>
        <w:t>tCO</w:t>
      </w:r>
      <w:r w:rsidRPr="00EE41C6">
        <w:rPr>
          <w:rFonts w:ascii="Times New Roman" w:hAnsi="Times New Roman" w:cs="Times New Roman"/>
          <w:vertAlign w:val="subscript"/>
        </w:rPr>
        <w:t>2</w:t>
      </w:r>
      <w:r w:rsidRPr="00EE41C6">
        <w:rPr>
          <w:rFonts w:ascii="Times New Roman" w:hAnsi="Times New Roman" w:cs="Times New Roman"/>
        </w:rPr>
        <w:t xml:space="preserve"> removed. This approach yields regional cost curves distinct from GCAM's existing geologic carbon disposal. For conservative 2020 estimates, each curve was shifted up by the "upper bound" versus "best estimate" differential in investment and operations/maintenance costs from </w:t>
      </w:r>
      <w:proofErr w:type="spellStart"/>
      <w:r w:rsidRPr="00EE41C6">
        <w:rPr>
          <w:rFonts w:ascii="Times New Roman" w:hAnsi="Times New Roman" w:cs="Times New Roman"/>
        </w:rPr>
        <w:t>Strefler</w:t>
      </w:r>
      <w:proofErr w:type="spellEnd"/>
      <w:r w:rsidRPr="00EE41C6">
        <w:rPr>
          <w:rFonts w:ascii="Times New Roman" w:hAnsi="Times New Roman" w:cs="Times New Roman"/>
        </w:rPr>
        <w:t xml:space="preserve"> et al. </w:t>
      </w:r>
      <w:r w:rsidR="00B23C56"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{"citationID":"CXkCXjg8","properties":{"formattedCitation":"\\super 32\\nosupersub{}","plainCitation":"32","noteIndex":0},"citationItems":[{"id":1316,"uris":["http://zotero.org/users/local/YcBHrSK0/items/V58U5DWX"],"itemData":{"id":1316,"type":"article-journal","container-title":"Environmental Research Letters","DOI":"10.1088/1748-9326/aaa9c4","ISSN":"1748-9326","issue":"3","journalAbbreviation":"Environ. Res. Lett.","page":"034010","source":"DOI.org (Crossref)","title":"Potential and costs of carbon dioxide removal by enhanced weathering of rocks","volume":"13","author":[{"family":"Strefler","given":"Jessica"},{"family":"Amann","given":"Thorben"},{"family":"Bauer","given":"Nico"},{"family":"Kriegler","given":"Elmar"},{"family":"Hartmann","given":"Jens"}],"issued":{"date-parts":[["2018",3,1]]}}}],"schema":"https://github.com/citation-style-language/schema/raw/master/csl-citation.json"} </w:instrText>
      </w:r>
      <w:r w:rsidR="00B23C56"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32</w:t>
      </w:r>
      <w:r w:rsidR="00B23C56" w:rsidRPr="00EE41C6">
        <w:rPr>
          <w:rFonts w:ascii="Times New Roman" w:hAnsi="Times New Roman" w:cs="Times New Roman"/>
        </w:rPr>
        <w:fldChar w:fldCharType="end"/>
      </w:r>
      <w:r w:rsidRPr="00EE41C6">
        <w:rPr>
          <w:rFonts w:ascii="Times New Roman" w:hAnsi="Times New Roman" w:cs="Times New Roman"/>
        </w:rPr>
        <w:t xml:space="preserve"> ($138</w:t>
      </w:r>
      <w:r w:rsidR="00D87353" w:rsidRPr="00EE41C6">
        <w:rPr>
          <w:rFonts w:ascii="Times New Roman" w:hAnsi="Times New Roman" w:cs="Times New Roman"/>
        </w:rPr>
        <w:t xml:space="preserve"> per </w:t>
      </w:r>
      <w:r w:rsidRPr="00EE41C6">
        <w:rPr>
          <w:rFonts w:ascii="Times New Roman" w:hAnsi="Times New Roman" w:cs="Times New Roman"/>
        </w:rPr>
        <w:t>tCO</w:t>
      </w:r>
      <w:r w:rsidRPr="00EE41C6">
        <w:rPr>
          <w:rFonts w:ascii="Times New Roman" w:hAnsi="Times New Roman" w:cs="Times New Roman"/>
          <w:vertAlign w:val="subscript"/>
        </w:rPr>
        <w:t>2</w:t>
      </w:r>
      <w:r w:rsidRPr="00EE41C6">
        <w:rPr>
          <w:rFonts w:ascii="Times New Roman" w:hAnsi="Times New Roman" w:cs="Times New Roman"/>
        </w:rPr>
        <w:t>). This adder declines to zero by 2050, leaving just the regional supply curves.</w:t>
      </w:r>
    </w:p>
    <w:p w14:paraId="3EE6AC9B" w14:textId="2FA37A41" w:rsidR="00707CFD" w:rsidRPr="00EE41C6" w:rsidRDefault="00707CFD" w:rsidP="00707CFD">
      <w:pPr>
        <w:pStyle w:val="Heading1"/>
        <w:rPr>
          <w:rFonts w:ascii="Times New Roman" w:hAnsi="Times New Roman" w:cs="Times New Roman"/>
        </w:rPr>
      </w:pPr>
      <w:bookmarkStart w:id="27" w:name="_Toc176517756"/>
      <w:r w:rsidRPr="00EE41C6">
        <w:rPr>
          <w:rFonts w:ascii="Times New Roman" w:hAnsi="Times New Roman" w:cs="Times New Roman"/>
        </w:rPr>
        <w:t xml:space="preserve">Supplementary Note </w:t>
      </w:r>
      <w:r w:rsidR="008409AF" w:rsidRPr="00EE41C6">
        <w:rPr>
          <w:rFonts w:ascii="Times New Roman" w:hAnsi="Times New Roman" w:cs="Times New Roman"/>
        </w:rPr>
        <w:t>5</w:t>
      </w:r>
      <w:r w:rsidRPr="00EE41C6">
        <w:rPr>
          <w:rFonts w:ascii="Times New Roman" w:hAnsi="Times New Roman" w:cs="Times New Roman"/>
        </w:rPr>
        <w:t>: GCAM’s land module</w:t>
      </w:r>
      <w:bookmarkEnd w:id="27"/>
    </w:p>
    <w:p w14:paraId="3ECD788B" w14:textId="77777777" w:rsidR="00707CFD" w:rsidRPr="00EE41C6" w:rsidRDefault="00707CFD" w:rsidP="00707CFD"/>
    <w:p w14:paraId="32788E33" w14:textId="77777777" w:rsidR="00707CFD" w:rsidRPr="00EE41C6" w:rsidRDefault="00707CFD" w:rsidP="00707CFD">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 xml:space="preserve">In GCAM, economic land use decisions are based on a logit model sharing approach according to relative inherent profitability of competing purposes. This represents distributions of profit behind each land use </w:t>
      </w:r>
      <w:r w:rsidRPr="00EE41C6">
        <w:rPr>
          <w:rFonts w:ascii="Times New Roman" w:eastAsia="SimSun" w:hAnsi="Times New Roman" w:cs="Times New Roman"/>
          <w:kern w:val="0"/>
          <w14:ligatures w14:val="none"/>
        </w:rPr>
        <w:lastRenderedPageBreak/>
        <w:t>rather than point estimates, with higher average profits conferring higher shares. At the margin, profits equalize across uses so allocation is optimal, unlike constrained linear optimization.</w:t>
      </w:r>
    </w:p>
    <w:p w14:paraId="55F416D7" w14:textId="495D28BB" w:rsidR="00707CFD" w:rsidRPr="00EE41C6" w:rsidRDefault="00707CFD" w:rsidP="00707CFD">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 xml:space="preserve">Land uses are nested within nodes, with higher logit exponents indicating tighter competition (e.g. substituting crops). Lower exponents govern harder substitution across nodes (e.g. cropland expansion into pasture). Although relative average profits determine shares, equal marginal profit rates across uses mean marginal land values equalize. If one use has higher average profit, its profit distribution has greater density exceeding the marginal rate, conferring higher share, unlike simple optimization. The nonlinear logit approach produces diminishing returns as land uses diverge from history, obviating explicit constraints. This contrasts linear models with constant returns. Logit exponents relate to land use change elasticities. See Wise et al. </w:t>
      </w:r>
      <w:r w:rsidRPr="00EE41C6">
        <w:rPr>
          <w:rFonts w:ascii="Times New Roman" w:eastAsia="SimSun" w:hAnsi="Times New Roman" w:cs="Times New Roman"/>
          <w:kern w:val="0"/>
          <w14:ligatures w14:val="none"/>
        </w:rPr>
        <w:fldChar w:fldCharType="begin"/>
      </w:r>
      <w:r w:rsidR="00005AF3" w:rsidRPr="00EE41C6">
        <w:rPr>
          <w:rFonts w:ascii="Times New Roman" w:eastAsia="SimSun" w:hAnsi="Times New Roman" w:cs="Times New Roman"/>
          <w:kern w:val="0"/>
          <w14:ligatures w14:val="none"/>
        </w:rPr>
        <w:instrText xml:space="preserve"> ADDIN ZOTERO_ITEM CSL_CITATION {"citationID":"n2enlacP","properties":{"formattedCitation":"\\super 40\\nosupersub{}","plainCitation":"40","noteIndex":0},"citationItems":[{"id":1670,"uris":["http://zotero.org/users/local/YcBHrSK0/items/68BWK5FN"],"itemData":{"id":1670,"type":"article-journal","abstract":"The release of the Global Change Assessment Model (GCAM) version 3.0 represents a major revision in the treatment of agriculture and land-use activities in a model of long-term, global human and physical Earth systems. GCAM 3.0 incorporates greater spatial and temporal resolution compared to GCAM 2.0. In this paper, we document the methods embodied in the new release, describe the motivation for the changes, compare GCAM 3.0 methods to those of other long-term, global agriculture-economy models and apply GCAM 3.0 to explore the impact of changes in agricultural crop yields on global land use and terrestrial carbon. In the absence of continued crop yield improvements throughout the century, not only are cumulative carbon emissions a major source of CO\n              2\n              emissions to the atmosphere, but bioenergy production remains trivial — land is needed for food. In contrast, the high crop yield improvement scenario cuts terrestrial carbon emissions dramatically and facilitates both food and energy production.","container-title":"Climate Change Economics","DOI":"10.1142/S2010007814500031","ISSN":"2010-0078, 2010-0086","issue":"02","journalAbbreviation":"Clim. Change Econ.","language":"en","page":"1450003","source":"DOI.org (Crossref)","title":"ECONOMIC AND PHYSICAL MODELING OF LAND USE IN GCAM 3.0 AND AN APPLICATION TO AGRICULTURAL PRODUCTIVITY, LAND, AND TERRESTRIAL CARBON","volume":"05","author":[{"family":"Wise","given":"Marshall"},{"family":"Calvin","given":"Kate"},{"family":"Kyle","given":"Page"},{"family":"Luckow","given":"Patrick"},{"family":"Edmonds","given":"Jae"}],"issued":{"date-parts":[["2014",5]]}}}],"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40</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 xml:space="preserve"> for further discussion.</w:t>
      </w:r>
    </w:p>
    <w:p w14:paraId="101D078E" w14:textId="2F284E17" w:rsidR="00707CFD" w:rsidRPr="00EE41C6" w:rsidRDefault="00707CFD" w:rsidP="00707CFD">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 xml:space="preserve">The nesting strategy for competing land uses and substitution exponents (logit exponents) governing each nest involve expert judgement </w:t>
      </w:r>
      <w:r w:rsidRPr="00EE41C6">
        <w:rPr>
          <w:rFonts w:ascii="Times New Roman" w:eastAsia="SimSun" w:hAnsi="Times New Roman" w:cs="Times New Roman"/>
          <w:kern w:val="0"/>
          <w14:ligatures w14:val="none"/>
        </w:rPr>
        <w:fldChar w:fldCharType="begin"/>
      </w:r>
      <w:r w:rsidR="00005AF3" w:rsidRPr="00EE41C6">
        <w:rPr>
          <w:rFonts w:ascii="Times New Roman" w:eastAsia="SimSun" w:hAnsi="Times New Roman" w:cs="Times New Roman"/>
          <w:kern w:val="0"/>
          <w14:ligatures w14:val="none"/>
        </w:rPr>
        <w:instrText xml:space="preserve"> ADDIN ZOTERO_ITEM CSL_CITATION {"citationID":"xws5jJny","properties":{"formattedCitation":"\\super 41\\nosupersub{}","plainCitation":"41","noteIndex":0},"citationItems":[{"id":1671,"uris":["http://zotero.org/users/local/YcBHrSK0/items/HQBD6TW4"],"itemData":{"id":1671,"type":"article-journal","abstract":"The difference in land use modeling approaches is an important uncertain factor in evaluating future climate scenarios in global economic models. We compare five widely used land use modeling approaches: constrained optimization, constant elasticity of transformation (CET), the additive form of constant elasticity of transformation (ACET), logit, and Ricardian. We demonstrate that the approaches differ not only by the extent of parameter uses but also by the definition of conversion cost and the consideration of comparative advantage implied by land heterogeneity. We develop a generalized hybrid approach that incorporates ACET/logit and Ricardian to account for both conversion cost and comparative advantage. We use this hybrid approach to estimate future climate impacts on agriculture. We find a welfare loss of about 0.38–0.46% of the global GDP. We demonstrate that ignoring land heterogeneity or land conversion costs underestimates climate impacts on agricultural production and welfare.","container-title":"Climate Change Economics","DOI":"10.1142/S2010007820500049","ISSN":"2010-0078, 2010-0086","issue":"01","journalAbbreviation":"Clim. Change Econ.","language":"en","page":"2050004","source":"DOI.org (Crossref)","title":"THE CRITICAL ROLE OF CONVERSION COST AND COMPARATIVE ADVANTAGE IN MODELING AGRICULTURAL LAND USE CHANGE","volume":"11","author":[{"family":"Zhao","given":"Xin"},{"family":"Calvin","given":"Katherine V."},{"family":"Wise","given":"Marshall A."}],"issued":{"date-parts":[["2020",2]]}}}],"schema":"https://github.com/citation-style-language/schema/raw/master/csl-citation.json"}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41</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 xml:space="preserve">. In standard runs, historical calibration does not depend on this structure or exponents. Instead, they affect future projections as conditions diverge from history. At one extreme is a single nest with high exponent, representing completely unconstrained optimization and easy switching between any land uses. The other extreme is near-zero exponents, disallowing substitution. We employ positive exponents for economics-driven but constrained allocation. Our nesting approach captures varying substitutability across land categories. The hierarchy begins with total land, divided into </w:t>
      </w:r>
      <w:proofErr w:type="spellStart"/>
      <w:r w:rsidRPr="00EE41C6">
        <w:rPr>
          <w:rFonts w:ascii="Times New Roman" w:eastAsia="SimSun" w:hAnsi="Times New Roman" w:cs="Times New Roman"/>
          <w:kern w:val="0"/>
          <w14:ligatures w14:val="none"/>
        </w:rPr>
        <w:t>agro</w:t>
      </w:r>
      <w:proofErr w:type="spellEnd"/>
      <w:r w:rsidRPr="00EE41C6">
        <w:rPr>
          <w:rFonts w:ascii="Times New Roman" w:eastAsia="SimSun" w:hAnsi="Times New Roman" w:cs="Times New Roman"/>
          <w:kern w:val="0"/>
          <w14:ligatures w14:val="none"/>
        </w:rPr>
        <w:t xml:space="preserve">-forestry and non-agricultural. The latter can subdivide further if needed. </w:t>
      </w:r>
      <w:proofErr w:type="spellStart"/>
      <w:r w:rsidRPr="00EE41C6">
        <w:rPr>
          <w:rFonts w:ascii="Times New Roman" w:eastAsia="SimSun" w:hAnsi="Times New Roman" w:cs="Times New Roman"/>
          <w:kern w:val="0"/>
          <w14:ligatures w14:val="none"/>
        </w:rPr>
        <w:t>Agro</w:t>
      </w:r>
      <w:proofErr w:type="spellEnd"/>
      <w:r w:rsidRPr="00EE41C6">
        <w:rPr>
          <w:rFonts w:ascii="Times New Roman" w:eastAsia="SimSun" w:hAnsi="Times New Roman" w:cs="Times New Roman"/>
          <w:kern w:val="0"/>
          <w14:ligatures w14:val="none"/>
        </w:rPr>
        <w:t>-forestry comprises pasture and non-pasture nodes. Pasture includes managed grazing and unmanaged land. Non-pasture consists of shrub/grassland, forest, and cropland nodes, with forests competing against total croplands. Forests include managed, unmanaged, and woody biomass. Croplands encompass food, feed, fiber, and dedicated energy crops, plus fallow land. Crop areas further subdivide into irrigated/rainfed and high/low management. This structure balances model flexibility with computational constraints. The exponents aim to represent real-world frictions and transition costs limiting easy switching between all land uses.</w:t>
      </w:r>
    </w:p>
    <w:p w14:paraId="44B79712" w14:textId="77777777" w:rsidR="00707CFD" w:rsidRPr="00EE41C6" w:rsidRDefault="00707CFD" w:rsidP="00707CFD">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lastRenderedPageBreak/>
        <w:t xml:space="preserve">The profit-based logit land sharing must be calibrated to match historical land use shares and profit rates. Conceptually, calibration infers distributions and parameters from data, given the chosen model structure. Based on the nesting, exponents, and base year data, the observed profit rates imply underlying economic land values. The approach is to solve for parameters that adjust observed profits to equal the potential average profits implied by base year shares and unmanaged land price. These implied rates represent average profit if all land went to that use; we refer to them as calibration profit rates. The resulting parameters (calibration profit scalers) rescale future projected profits in the logit sharing and profit equations. This grounds the future in history - with unchanged future conditions, shares and allocations reproduce the base year. As model dynamics shift future profits from historical values, shares also evolve. The absolute scaler values have meaning, unlike relative share weights. The calibration routine ensures internally consistent economics given the model structure, while allowing land use responses to diverging future conditions. </w:t>
      </w:r>
    </w:p>
    <w:p w14:paraId="522B6820" w14:textId="77777777" w:rsidR="00707CFD" w:rsidRPr="00EE41C6" w:rsidRDefault="00707CFD" w:rsidP="00707CFD">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The equations that determine land allocation and the resulting carbon emissions from land-use and land-cover changes are described here.</w:t>
      </w:r>
    </w:p>
    <w:p w14:paraId="6646849D" w14:textId="77777777" w:rsidR="00707CFD" w:rsidRPr="00EE41C6" w:rsidRDefault="00707CFD" w:rsidP="00707CFD">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 xml:space="preserve">The profit for managed land </w:t>
      </w:r>
      <w:proofErr w:type="spellStart"/>
      <w:r w:rsidRPr="00EE41C6">
        <w:rPr>
          <w:rFonts w:ascii="Times New Roman" w:eastAsia="SimSun" w:hAnsi="Times New Roman" w:cs="Times New Roman"/>
          <w:kern w:val="0"/>
          <w14:ligatures w14:val="none"/>
        </w:rPr>
        <w:t>leafs</w:t>
      </w:r>
      <w:proofErr w:type="spellEnd"/>
      <w:r w:rsidRPr="00EE41C6">
        <w:rPr>
          <w:rFonts w:ascii="Times New Roman" w:eastAsia="SimSun" w:hAnsi="Times New Roman" w:cs="Times New Roman"/>
          <w:kern w:val="0"/>
          <w14:ligatures w14:val="none"/>
        </w:rPr>
        <w:t xml:space="preserve"> is calculated in the supply module and passed to the land allocator. Profit for unmanaged land </w:t>
      </w:r>
      <w:proofErr w:type="spellStart"/>
      <w:r w:rsidRPr="00EE41C6">
        <w:rPr>
          <w:rFonts w:ascii="Times New Roman" w:eastAsia="SimSun" w:hAnsi="Times New Roman" w:cs="Times New Roman"/>
          <w:kern w:val="0"/>
          <w14:ligatures w14:val="none"/>
        </w:rPr>
        <w:t>leafs</w:t>
      </w:r>
      <w:proofErr w:type="spellEnd"/>
      <w:r w:rsidRPr="00EE41C6">
        <w:rPr>
          <w:rFonts w:ascii="Times New Roman" w:eastAsia="SimSun" w:hAnsi="Times New Roman" w:cs="Times New Roman"/>
          <w:kern w:val="0"/>
          <w14:ligatures w14:val="none"/>
        </w:rPr>
        <w:t xml:space="preserve"> is input into the model. Within the land allocator, profit is adjusted if land-related policies are included. Managed land </w:t>
      </w:r>
      <w:proofErr w:type="spellStart"/>
      <w:r w:rsidRPr="00EE41C6">
        <w:rPr>
          <w:rFonts w:ascii="Times New Roman" w:eastAsia="SimSun" w:hAnsi="Times New Roman" w:cs="Times New Roman"/>
          <w:kern w:val="0"/>
          <w14:ligatures w14:val="none"/>
        </w:rPr>
        <w:t>leafs</w:t>
      </w:r>
      <w:proofErr w:type="spellEnd"/>
      <w:r w:rsidRPr="00EE41C6">
        <w:rPr>
          <w:rFonts w:ascii="Times New Roman" w:eastAsia="SimSun" w:hAnsi="Times New Roman" w:cs="Times New Roman"/>
          <w:kern w:val="0"/>
          <w14:ligatures w14:val="none"/>
        </w:rPr>
        <w:t xml:space="preserve"> here generally </w:t>
      </w:r>
      <w:proofErr w:type="gramStart"/>
      <w:r w:rsidRPr="00EE41C6">
        <w:rPr>
          <w:rFonts w:ascii="Times New Roman" w:eastAsia="SimSun" w:hAnsi="Times New Roman" w:cs="Times New Roman"/>
          <w:kern w:val="0"/>
          <w14:ligatures w14:val="none"/>
        </w:rPr>
        <w:t>refers</w:t>
      </w:r>
      <w:proofErr w:type="gramEnd"/>
      <w:r w:rsidRPr="00EE41C6">
        <w:rPr>
          <w:rFonts w:ascii="Times New Roman" w:eastAsia="SimSun" w:hAnsi="Times New Roman" w:cs="Times New Roman"/>
          <w:kern w:val="0"/>
          <w14:ligatures w14:val="none"/>
        </w:rPr>
        <w:t xml:space="preserve"> to land areas that are under direct human management or influence. This can include agricultural lands, forest plantations, urban areas, and other land uses where human activities directly impact land cover and land use patterns.</w:t>
      </w:r>
    </w:p>
    <w:p w14:paraId="3A5A77F1" w14:textId="57B55574" w:rsidR="00707CFD" w:rsidRPr="00EE41C6" w:rsidRDefault="00707CFD" w:rsidP="00707CFD">
      <w:pPr>
        <w:spacing w:after="200" w:line="480" w:lineRule="auto"/>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The average profit of a node is calculated as (Supplementary Equation 1):</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0"/>
        <w:gridCol w:w="1780"/>
      </w:tblGrid>
      <w:tr w:rsidR="00707CFD" w:rsidRPr="00EE41C6" w14:paraId="086282E0" w14:textId="77777777" w:rsidTr="00C30C93">
        <w:tc>
          <w:tcPr>
            <w:tcW w:w="7758" w:type="dxa"/>
          </w:tcPr>
          <w:p w14:paraId="3BB82A86" w14:textId="77777777" w:rsidR="00707CFD" w:rsidRPr="00EE41C6" w:rsidRDefault="00000000" w:rsidP="00C30C93">
            <w:pPr>
              <w:spacing w:line="480" w:lineRule="auto"/>
              <w:rPr>
                <w:rFonts w:ascii="Times New Roman" w:eastAsia="SimSun" w:hAnsi="Times New Roman" w:cs="Times New Roman"/>
                <w:kern w:val="2"/>
                <w14:ligatures w14:val="standardContextual"/>
              </w:rPr>
            </w:pPr>
            <m:oMathPara>
              <m:oMathParaPr>
                <m:jc m:val="left"/>
              </m:oMathParaPr>
              <m:oMath>
                <m:sSub>
                  <m:sSubPr>
                    <m:ctrlPr>
                      <w:rPr>
                        <w:rFonts w:ascii="Cambria Math" w:eastAsia="SimSun" w:hAnsi="Cambria Math" w:cs="Times New Roman"/>
                        <w:i/>
                      </w:rPr>
                    </m:ctrlPr>
                  </m:sSubPr>
                  <m:e>
                    <m:r>
                      <w:rPr>
                        <w:rFonts w:ascii="Cambria Math" w:eastAsia="SimSun" w:hAnsi="Cambria Math" w:cs="Times New Roman"/>
                      </w:rPr>
                      <m:t>π</m:t>
                    </m:r>
                  </m:e>
                  <m:sub>
                    <m:r>
                      <w:rPr>
                        <w:rFonts w:ascii="Cambria Math" w:eastAsia="SimSun" w:hAnsi="Cambria Math" w:cs="Times New Roman"/>
                      </w:rPr>
                      <m:t>i</m:t>
                    </m:r>
                  </m:sub>
                </m:sSub>
                <m:r>
                  <w:rPr>
                    <w:rFonts w:ascii="Cambria Math" w:eastAsia="SimSun" w:hAnsi="Cambria Math" w:cs="Times New Roman"/>
                  </w:rPr>
                  <m:t>=</m:t>
                </m:r>
                <m:sSup>
                  <m:sSupPr>
                    <m:ctrlPr>
                      <w:rPr>
                        <w:rFonts w:ascii="Cambria Math" w:eastAsia="SimSun" w:hAnsi="Cambria Math" w:cs="Times New Roman"/>
                        <w:i/>
                      </w:rPr>
                    </m:ctrlPr>
                  </m:sSupPr>
                  <m:e>
                    <m:d>
                      <m:dPr>
                        <m:begChr m:val="["/>
                        <m:endChr m:val="]"/>
                        <m:ctrlPr>
                          <w:rPr>
                            <w:rFonts w:ascii="Cambria Math" w:eastAsia="SimSun" w:hAnsi="Cambria Math" w:cs="Times New Roman"/>
                            <w:i/>
                          </w:rPr>
                        </m:ctrlPr>
                      </m:dPr>
                      <m:e>
                        <m:nary>
                          <m:naryPr>
                            <m:chr m:val="∑"/>
                            <m:limLoc m:val="undOvr"/>
                            <m:ctrlPr>
                              <w:rPr>
                                <w:rFonts w:ascii="Cambria Math" w:eastAsia="SimSun" w:hAnsi="Cambria Math" w:cs="Times New Roman"/>
                                <w:i/>
                              </w:rPr>
                            </m:ctrlPr>
                          </m:naryPr>
                          <m:sub>
                            <m:r>
                              <w:rPr>
                                <w:rFonts w:ascii="Cambria Math" w:eastAsia="SimSun" w:hAnsi="Cambria Math" w:cs="Times New Roman"/>
                              </w:rPr>
                              <m:t>j=1</m:t>
                            </m:r>
                          </m:sub>
                          <m:sup>
                            <m:r>
                              <w:rPr>
                                <w:rFonts w:ascii="Cambria Math" w:eastAsia="SimSun" w:hAnsi="Cambria Math" w:cs="Times New Roman"/>
                              </w:rPr>
                              <m:t>N</m:t>
                            </m:r>
                          </m:sup>
                          <m:e>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j</m:t>
                                </m:r>
                              </m:sub>
                              <m:sup>
                                <m:r>
                                  <w:rPr>
                                    <w:rFonts w:ascii="Cambria Math" w:eastAsia="SimSun" w:hAnsi="Cambria Math" w:cs="Times New Roman"/>
                                  </w:rPr>
                                  <m:t>ρ</m:t>
                                </m:r>
                              </m:sup>
                            </m:sSubSup>
                            <m:sSubSup>
                              <m:sSubSupPr>
                                <m:ctrlPr>
                                  <w:rPr>
                                    <w:rFonts w:ascii="Cambria Math" w:eastAsia="SimSun" w:hAnsi="Cambria Math" w:cs="Times New Roman"/>
                                    <w:i/>
                                  </w:rPr>
                                </m:ctrlPr>
                              </m:sSubSupPr>
                              <m:e>
                                <m:r>
                                  <w:rPr>
                                    <w:rFonts w:ascii="Cambria Math" w:eastAsia="SimSun" w:hAnsi="Cambria Math" w:cs="Times New Roman"/>
                                  </w:rPr>
                                  <m:t>π</m:t>
                                </m:r>
                              </m:e>
                              <m:sub>
                                <m:r>
                                  <w:rPr>
                                    <w:rFonts w:ascii="Cambria Math" w:eastAsia="SimSun" w:hAnsi="Cambria Math" w:cs="Times New Roman"/>
                                  </w:rPr>
                                  <m:t>j</m:t>
                                </m:r>
                              </m:sub>
                              <m:sup>
                                <m:r>
                                  <w:rPr>
                                    <w:rFonts w:ascii="Cambria Math" w:eastAsia="SimSun" w:hAnsi="Cambria Math" w:cs="Times New Roman"/>
                                  </w:rPr>
                                  <m:t>ρ</m:t>
                                </m:r>
                              </m:sup>
                            </m:sSubSup>
                          </m:e>
                        </m:nary>
                      </m:e>
                    </m:d>
                  </m:e>
                  <m:sup>
                    <m:f>
                      <m:fPr>
                        <m:ctrlPr>
                          <w:rPr>
                            <w:rFonts w:ascii="Cambria Math" w:eastAsia="SimSun" w:hAnsi="Cambria Math" w:cs="Times New Roman"/>
                            <w:i/>
                          </w:rPr>
                        </m:ctrlPr>
                      </m:fPr>
                      <m:num>
                        <m:r>
                          <w:rPr>
                            <w:rFonts w:ascii="Cambria Math" w:eastAsia="SimSun" w:hAnsi="Cambria Math" w:cs="Times New Roman"/>
                          </w:rPr>
                          <m:t>1</m:t>
                        </m:r>
                      </m:num>
                      <m:den>
                        <m:r>
                          <w:rPr>
                            <w:rFonts w:ascii="Cambria Math" w:eastAsia="SimSun" w:hAnsi="Cambria Math" w:cs="Times New Roman"/>
                          </w:rPr>
                          <m:t>ρ</m:t>
                        </m:r>
                      </m:den>
                    </m:f>
                  </m:sup>
                </m:sSup>
              </m:oMath>
            </m:oMathPara>
          </w:p>
        </w:tc>
        <w:tc>
          <w:tcPr>
            <w:tcW w:w="1818" w:type="dxa"/>
          </w:tcPr>
          <w:p w14:paraId="23442595" w14:textId="1B6C6B36" w:rsidR="00707CFD" w:rsidRPr="00EE41C6" w:rsidRDefault="00707CFD" w:rsidP="00C30C93">
            <w:pPr>
              <w:spacing w:after="160" w:line="480" w:lineRule="auto"/>
              <w:jc w:val="right"/>
              <w:rPr>
                <w:rFonts w:ascii="Times New Roman" w:eastAsia="SimSun" w:hAnsi="Times New Roman" w:cs="Times New Roman"/>
                <w:kern w:val="2"/>
                <w14:ligatures w14:val="standardContextual"/>
              </w:rPr>
            </w:pPr>
            <w:r w:rsidRPr="00EE41C6">
              <w:rPr>
                <w:rFonts w:ascii="Times New Roman" w:eastAsia="SimSun" w:hAnsi="Times New Roman" w:cs="Times New Roman"/>
                <w:kern w:val="2"/>
                <w14:ligatures w14:val="standardContextual"/>
              </w:rPr>
              <w:t>(1)</w:t>
            </w:r>
          </w:p>
        </w:tc>
      </w:tr>
    </w:tbl>
    <w:p w14:paraId="46437243" w14:textId="77777777" w:rsidR="00707CFD" w:rsidRPr="00EE41C6" w:rsidRDefault="00707CFD" w:rsidP="00707CFD">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lastRenderedPageBreak/>
        <w:t>Where </w:t>
      </w:r>
      <m:oMath>
        <m:sSub>
          <m:sSubPr>
            <m:ctrlPr>
              <w:rPr>
                <w:rFonts w:ascii="Cambria Math" w:eastAsia="SimSun" w:hAnsi="Cambria Math" w:cs="Times New Roman"/>
                <w:i/>
                <w:kern w:val="0"/>
                <w14:ligatures w14:val="none"/>
              </w:rPr>
            </m:ctrlPr>
          </m:sSubPr>
          <m:e>
            <m:r>
              <w:rPr>
                <w:rFonts w:ascii="Cambria Math" w:eastAsia="SimSun" w:hAnsi="Cambria Math" w:cs="Times New Roman"/>
                <w:kern w:val="0"/>
                <w14:ligatures w14:val="none"/>
              </w:rPr>
              <m:t>λ</m:t>
            </m:r>
          </m:e>
          <m:sub>
            <m:r>
              <w:rPr>
                <w:rFonts w:ascii="Cambria Math" w:eastAsia="SimSun" w:hAnsi="Cambria Math" w:cs="Times New Roman"/>
                <w:kern w:val="0"/>
                <w14:ligatures w14:val="none"/>
              </w:rPr>
              <m:t>i</m:t>
            </m:r>
          </m:sub>
        </m:sSub>
      </m:oMath>
      <w:r w:rsidRPr="00EE41C6">
        <w:rPr>
          <w:rFonts w:ascii="Times New Roman" w:eastAsia="SimSun" w:hAnsi="Times New Roman" w:cs="Times New Roman"/>
          <w:kern w:val="0"/>
          <w14:ligatures w14:val="none"/>
        </w:rPr>
        <w:t> is the </w:t>
      </w:r>
      <w:hyperlink r:id="rId49" w:anchor="calibration" w:history="1">
        <w:r w:rsidRPr="00EE41C6">
          <w:rPr>
            <w:rFonts w:ascii="Times New Roman" w:eastAsia="SimSun" w:hAnsi="Times New Roman" w:cs="Times New Roman"/>
            <w:kern w:val="0"/>
            <w14:ligatures w14:val="none"/>
          </w:rPr>
          <w:t>profit scaler</w:t>
        </w:r>
      </w:hyperlink>
      <w:r w:rsidRPr="00EE41C6">
        <w:rPr>
          <w:rFonts w:ascii="Times New Roman" w:eastAsia="SimSun" w:hAnsi="Times New Roman" w:cs="Times New Roman"/>
          <w:kern w:val="0"/>
          <w14:ligatures w14:val="none"/>
        </w:rPr>
        <w:t> for leaf or node </w:t>
      </w:r>
      <m:oMath>
        <m:r>
          <w:rPr>
            <w:rFonts w:ascii="Cambria Math" w:eastAsia="SimSun" w:hAnsi="Cambria Math" w:cs="Times New Roman"/>
            <w:kern w:val="0"/>
            <w14:ligatures w14:val="none"/>
          </w:rPr>
          <m:t>i</m:t>
        </m:r>
      </m:oMath>
      <w:r w:rsidRPr="00EE41C6">
        <w:rPr>
          <w:rFonts w:ascii="Times New Roman" w:eastAsia="SimSun" w:hAnsi="Times New Roman" w:cs="Times New Roman"/>
          <w:kern w:val="0"/>
          <w14:ligatures w14:val="none"/>
        </w:rPr>
        <w:t>, </w:t>
      </w:r>
      <m:oMath>
        <m:sSub>
          <m:sSubPr>
            <m:ctrlPr>
              <w:rPr>
                <w:rFonts w:ascii="Cambria Math" w:eastAsia="SimSun" w:hAnsi="Cambria Math" w:cs="Times New Roman"/>
                <w:i/>
                <w:kern w:val="0"/>
                <w14:ligatures w14:val="none"/>
              </w:rPr>
            </m:ctrlPr>
          </m:sSubPr>
          <m:e>
            <m:r>
              <w:rPr>
                <w:rFonts w:ascii="Cambria Math" w:eastAsia="SimSun" w:hAnsi="Cambria Math" w:cs="Times New Roman"/>
                <w:kern w:val="0"/>
                <w14:ligatures w14:val="none"/>
              </w:rPr>
              <m:t>π</m:t>
            </m:r>
          </m:e>
          <m:sub>
            <m:r>
              <w:rPr>
                <w:rFonts w:ascii="Cambria Math" w:eastAsia="SimSun" w:hAnsi="Cambria Math" w:cs="Times New Roman"/>
                <w:kern w:val="0"/>
                <w14:ligatures w14:val="none"/>
              </w:rPr>
              <m:t>i</m:t>
            </m:r>
          </m:sub>
        </m:sSub>
      </m:oMath>
      <w:r w:rsidRPr="00EE41C6">
        <w:rPr>
          <w:rFonts w:ascii="Times New Roman" w:eastAsia="SimSun" w:hAnsi="Times New Roman" w:cs="Times New Roman"/>
          <w:kern w:val="0"/>
          <w14:ligatures w14:val="none"/>
        </w:rPr>
        <w:t> is the </w:t>
      </w:r>
      <w:hyperlink r:id="rId50" w:anchor="profit" w:history="1">
        <w:r w:rsidRPr="00EE41C6">
          <w:rPr>
            <w:rFonts w:ascii="Times New Roman" w:eastAsia="SimSun" w:hAnsi="Times New Roman" w:cs="Times New Roman"/>
            <w:kern w:val="0"/>
            <w14:ligatures w14:val="none"/>
          </w:rPr>
          <w:t>profit</w:t>
        </w:r>
      </w:hyperlink>
      <w:r w:rsidRPr="00EE41C6">
        <w:rPr>
          <w:rFonts w:ascii="Times New Roman" w:eastAsia="SimSun" w:hAnsi="Times New Roman" w:cs="Times New Roman"/>
          <w:kern w:val="0"/>
          <w14:ligatures w14:val="none"/>
        </w:rPr>
        <w:t> for node </w:t>
      </w:r>
      <m:oMath>
        <m:r>
          <w:rPr>
            <w:rFonts w:ascii="Cambria Math" w:eastAsia="SimSun" w:hAnsi="Cambria Math" w:cs="Times New Roman"/>
            <w:kern w:val="0"/>
            <w14:ligatures w14:val="none"/>
          </w:rPr>
          <m:t>i</m:t>
        </m:r>
      </m:oMath>
      <w:r w:rsidRPr="00EE41C6">
        <w:rPr>
          <w:rFonts w:ascii="Times New Roman" w:eastAsia="SimSun" w:hAnsi="Times New Roman" w:cs="Times New Roman"/>
          <w:kern w:val="0"/>
          <w14:ligatures w14:val="none"/>
        </w:rPr>
        <w:t>, </w:t>
      </w:r>
      <m:oMath>
        <m:sSub>
          <m:sSubPr>
            <m:ctrlPr>
              <w:rPr>
                <w:rFonts w:ascii="Cambria Math" w:eastAsia="SimSun" w:hAnsi="Cambria Math" w:cs="Times New Roman"/>
                <w:i/>
                <w:kern w:val="0"/>
                <w14:ligatures w14:val="none"/>
              </w:rPr>
            </m:ctrlPr>
          </m:sSubPr>
          <m:e>
            <m:r>
              <w:rPr>
                <w:rFonts w:ascii="Cambria Math" w:eastAsia="SimSun" w:hAnsi="Cambria Math" w:cs="Times New Roman"/>
                <w:kern w:val="0"/>
                <w14:ligatures w14:val="none"/>
              </w:rPr>
              <m:t>π</m:t>
            </m:r>
          </m:e>
          <m:sub>
            <m:r>
              <w:rPr>
                <w:rFonts w:ascii="Cambria Math" w:eastAsia="SimSun" w:hAnsi="Cambria Math" w:cs="Times New Roman"/>
                <w:kern w:val="0"/>
                <w14:ligatures w14:val="none"/>
              </w:rPr>
              <m:t>j</m:t>
            </m:r>
          </m:sub>
        </m:sSub>
      </m:oMath>
      <w:r w:rsidRPr="00EE41C6">
        <w:rPr>
          <w:rFonts w:ascii="Times New Roman" w:eastAsia="SimSun" w:hAnsi="Times New Roman" w:cs="Times New Roman"/>
          <w:kern w:val="0"/>
          <w14:ligatures w14:val="none"/>
        </w:rPr>
        <w:t> is the </w:t>
      </w:r>
      <w:hyperlink r:id="rId51" w:anchor="profit" w:history="1">
        <w:r w:rsidRPr="00EE41C6">
          <w:rPr>
            <w:rFonts w:ascii="Times New Roman" w:eastAsia="SimSun" w:hAnsi="Times New Roman" w:cs="Times New Roman"/>
            <w:kern w:val="0"/>
            <w14:ligatures w14:val="none"/>
          </w:rPr>
          <w:t>profit</w:t>
        </w:r>
      </w:hyperlink>
      <w:r w:rsidRPr="00EE41C6">
        <w:rPr>
          <w:rFonts w:ascii="Times New Roman" w:eastAsia="SimSun" w:hAnsi="Times New Roman" w:cs="Times New Roman"/>
          <w:kern w:val="0"/>
          <w14:ligatures w14:val="none"/>
        </w:rPr>
        <w:t> for leaf or node </w:t>
      </w:r>
      <m:oMath>
        <m:r>
          <w:rPr>
            <w:rFonts w:ascii="Cambria Math" w:eastAsia="SimSun" w:hAnsi="Cambria Math" w:cs="Times New Roman"/>
            <w:kern w:val="0"/>
            <w14:ligatures w14:val="none"/>
          </w:rPr>
          <m:t>j</m:t>
        </m:r>
      </m:oMath>
      <w:r w:rsidRPr="00EE41C6">
        <w:rPr>
          <w:rFonts w:ascii="Times New Roman" w:eastAsia="SimSun" w:hAnsi="Times New Roman" w:cs="Times New Roman"/>
          <w:kern w:val="0"/>
          <w14:ligatures w14:val="none"/>
        </w:rPr>
        <w:t> contained within node </w:t>
      </w:r>
      <m:oMath>
        <m:r>
          <w:rPr>
            <w:rFonts w:ascii="Cambria Math" w:eastAsia="SimSun" w:hAnsi="Cambria Math" w:cs="Times New Roman"/>
            <w:kern w:val="0"/>
            <w14:ligatures w14:val="none"/>
          </w:rPr>
          <m:t>i</m:t>
        </m:r>
      </m:oMath>
      <w:r w:rsidRPr="00EE41C6">
        <w:rPr>
          <w:rFonts w:ascii="Times New Roman" w:eastAsia="SimSun" w:hAnsi="Times New Roman" w:cs="Times New Roman"/>
          <w:kern w:val="0"/>
          <w14:ligatures w14:val="none"/>
        </w:rPr>
        <w:t>, and </w:t>
      </w:r>
      <m:oMath>
        <m:r>
          <w:rPr>
            <w:rFonts w:ascii="Cambria Math" w:eastAsia="SimSun" w:hAnsi="Cambria Math" w:cs="Times New Roman"/>
            <w:kern w:val="0"/>
            <w14:ligatures w14:val="none"/>
          </w:rPr>
          <m:t>ρ</m:t>
        </m:r>
      </m:oMath>
      <w:r w:rsidRPr="00EE41C6">
        <w:rPr>
          <w:rFonts w:ascii="Times New Roman" w:eastAsia="SimSun" w:hAnsi="Times New Roman" w:cs="Times New Roman"/>
          <w:kern w:val="0"/>
          <w14:ligatures w14:val="none"/>
        </w:rPr>
        <w:t> is the </w:t>
      </w:r>
      <w:hyperlink r:id="rId52" w:anchor="share-parameters" w:history="1">
        <w:r w:rsidRPr="00EE41C6">
          <w:rPr>
            <w:rFonts w:ascii="Times New Roman" w:eastAsia="SimSun" w:hAnsi="Times New Roman" w:cs="Times New Roman"/>
            <w:kern w:val="0"/>
            <w14:ligatures w14:val="none"/>
          </w:rPr>
          <w:t>logit exponent</w:t>
        </w:r>
      </w:hyperlink>
      <w:r w:rsidRPr="00EE41C6">
        <w:rPr>
          <w:rFonts w:ascii="Times New Roman" w:eastAsia="SimSun" w:hAnsi="Times New Roman" w:cs="Times New Roman"/>
          <w:kern w:val="0"/>
          <w14:ligatures w14:val="none"/>
        </w:rPr>
        <w:t xml:space="preserve">. </w:t>
      </w:r>
    </w:p>
    <w:p w14:paraId="24835899" w14:textId="6FD0CD09" w:rsidR="00707CFD" w:rsidRPr="00EE41C6" w:rsidRDefault="00707CFD" w:rsidP="00707CFD">
      <w:pPr>
        <w:spacing w:after="200" w:line="480" w:lineRule="auto"/>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The share of each leaf or node is calculated as (Supplementary Equation 2):</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1"/>
        <w:gridCol w:w="1779"/>
      </w:tblGrid>
      <w:tr w:rsidR="00707CFD" w:rsidRPr="00EE41C6" w14:paraId="042B3EB0" w14:textId="77777777" w:rsidTr="00C30C93">
        <w:tc>
          <w:tcPr>
            <w:tcW w:w="7758" w:type="dxa"/>
          </w:tcPr>
          <w:p w14:paraId="5DEA9A68" w14:textId="77777777" w:rsidR="00707CFD" w:rsidRPr="00EE41C6" w:rsidRDefault="00000000" w:rsidP="00C30C93">
            <w:pPr>
              <w:spacing w:line="480" w:lineRule="auto"/>
              <w:rPr>
                <w:rFonts w:ascii="Times New Roman" w:eastAsia="SimSun" w:hAnsi="Times New Roman" w:cs="Times New Roman"/>
              </w:rPr>
            </w:pPr>
            <m:oMathPara>
              <m:oMathParaPr>
                <m:jc m:val="left"/>
              </m:oMathParaPr>
              <m:oMath>
                <m:sSub>
                  <m:sSubPr>
                    <m:ctrlPr>
                      <w:rPr>
                        <w:rFonts w:ascii="Cambria Math" w:eastAsia="SimSun" w:hAnsi="Cambria Math" w:cs="Times New Roman"/>
                        <w:i/>
                      </w:rPr>
                    </m:ctrlPr>
                  </m:sSubPr>
                  <m:e>
                    <m:r>
                      <w:rPr>
                        <w:rFonts w:ascii="Cambria Math" w:eastAsia="SimSun" w:hAnsi="Cambria Math" w:cs="Times New Roman"/>
                      </w:rPr>
                      <m:t>s</m:t>
                    </m:r>
                  </m:e>
                  <m:sub>
                    <m:r>
                      <w:rPr>
                        <w:rFonts w:ascii="Cambria Math" w:eastAsia="SimSun" w:hAnsi="Cambria Math" w:cs="Times New Roman"/>
                      </w:rPr>
                      <m:t>i</m:t>
                    </m:r>
                  </m:sub>
                </m:sSub>
                <m:r>
                  <w:rPr>
                    <w:rFonts w:ascii="Cambria Math" w:eastAsia="SimSun" w:hAnsi="Cambria Math" w:cs="Times New Roman"/>
                  </w:rPr>
                  <m:t>=</m:t>
                </m:r>
                <m:f>
                  <m:fPr>
                    <m:ctrlPr>
                      <w:rPr>
                        <w:rFonts w:ascii="Cambria Math" w:eastAsia="SimSun" w:hAnsi="Cambria Math" w:cs="Times New Roman"/>
                        <w:i/>
                      </w:rPr>
                    </m:ctrlPr>
                  </m:fPr>
                  <m:num>
                    <m:sSup>
                      <m:sSupPr>
                        <m:ctrlPr>
                          <w:rPr>
                            <w:rFonts w:ascii="Cambria Math" w:eastAsia="SimSun" w:hAnsi="Cambria Math" w:cs="Times New Roman"/>
                            <w:i/>
                          </w:rPr>
                        </m:ctrlPr>
                      </m:sSupPr>
                      <m:e>
                        <m:d>
                          <m:dPr>
                            <m:ctrlPr>
                              <w:rPr>
                                <w:rFonts w:ascii="Cambria Math" w:eastAsia="SimSun" w:hAnsi="Cambria Math" w:cs="Times New Roman"/>
                                <w:i/>
                              </w:rPr>
                            </m:ctrlPr>
                          </m:dPr>
                          <m:e>
                            <m:sSub>
                              <m:sSubPr>
                                <m:ctrlPr>
                                  <w:rPr>
                                    <w:rFonts w:ascii="Cambria Math" w:eastAsia="SimSun" w:hAnsi="Cambria Math" w:cs="Times New Roman"/>
                                    <w:i/>
                                  </w:rPr>
                                </m:ctrlPr>
                              </m:sSubPr>
                              <m:e>
                                <m:r>
                                  <w:rPr>
                                    <w:rFonts w:ascii="Cambria Math" w:eastAsia="SimSun" w:hAnsi="Cambria Math" w:cs="Times New Roman"/>
                                  </w:rPr>
                                  <m:t>λ</m:t>
                                </m:r>
                              </m:e>
                              <m:sub>
                                <m:r>
                                  <w:rPr>
                                    <w:rFonts w:ascii="Cambria Math" w:eastAsia="SimSun" w:hAnsi="Cambria Math" w:cs="Times New Roman"/>
                                  </w:rPr>
                                  <m:t>i</m:t>
                                </m:r>
                              </m:sub>
                            </m:sSub>
                            <m:sSub>
                              <m:sSubPr>
                                <m:ctrlPr>
                                  <w:rPr>
                                    <w:rFonts w:ascii="Cambria Math" w:eastAsia="SimSun" w:hAnsi="Cambria Math" w:cs="Times New Roman"/>
                                    <w:i/>
                                  </w:rPr>
                                </m:ctrlPr>
                              </m:sSubPr>
                              <m:e>
                                <m:r>
                                  <w:rPr>
                                    <w:rFonts w:ascii="Cambria Math" w:eastAsia="SimSun" w:hAnsi="Cambria Math" w:cs="Times New Roman"/>
                                  </w:rPr>
                                  <m:t>π</m:t>
                                </m:r>
                              </m:e>
                              <m:sub>
                                <m:r>
                                  <w:rPr>
                                    <w:rFonts w:ascii="Cambria Math" w:eastAsia="SimSun" w:hAnsi="Cambria Math" w:cs="Times New Roman"/>
                                  </w:rPr>
                                  <m:t>i</m:t>
                                </m:r>
                              </m:sub>
                            </m:sSub>
                          </m:e>
                        </m:d>
                      </m:e>
                      <m:sup>
                        <m:r>
                          <w:rPr>
                            <w:rFonts w:ascii="Cambria Math" w:eastAsia="SimSun" w:hAnsi="Cambria Math" w:cs="Times New Roman"/>
                          </w:rPr>
                          <m:t>ρ</m:t>
                        </m:r>
                      </m:sup>
                    </m:sSup>
                  </m:num>
                  <m:den>
                    <m:nary>
                      <m:naryPr>
                        <m:chr m:val="∑"/>
                        <m:limLoc m:val="subSup"/>
                        <m:ctrlPr>
                          <w:rPr>
                            <w:rFonts w:ascii="Cambria Math" w:eastAsia="SimSun" w:hAnsi="Cambria Math" w:cs="Times New Roman"/>
                            <w:i/>
                          </w:rPr>
                        </m:ctrlPr>
                      </m:naryPr>
                      <m:sub>
                        <m:r>
                          <w:rPr>
                            <w:rFonts w:ascii="Cambria Math" w:eastAsia="SimSun" w:hAnsi="Cambria Math" w:cs="Times New Roman"/>
                          </w:rPr>
                          <m:t>j=1</m:t>
                        </m:r>
                      </m:sub>
                      <m:sup>
                        <m:r>
                          <w:rPr>
                            <w:rFonts w:ascii="Cambria Math" w:eastAsia="SimSun" w:hAnsi="Cambria Math" w:cs="Times New Roman"/>
                          </w:rPr>
                          <m:t>N</m:t>
                        </m:r>
                      </m:sup>
                      <m:e>
                        <m:sSup>
                          <m:sSupPr>
                            <m:ctrlPr>
                              <w:rPr>
                                <w:rFonts w:ascii="Cambria Math" w:eastAsia="SimSun" w:hAnsi="Cambria Math" w:cs="Times New Roman"/>
                                <w:i/>
                              </w:rPr>
                            </m:ctrlPr>
                          </m:sSupPr>
                          <m:e>
                            <m:d>
                              <m:dPr>
                                <m:ctrlPr>
                                  <w:rPr>
                                    <w:rFonts w:ascii="Cambria Math" w:eastAsia="SimSun" w:hAnsi="Cambria Math" w:cs="Times New Roman"/>
                                    <w:i/>
                                  </w:rPr>
                                </m:ctrlPr>
                              </m:dPr>
                              <m:e>
                                <m:sSub>
                                  <m:sSubPr>
                                    <m:ctrlPr>
                                      <w:rPr>
                                        <w:rFonts w:ascii="Cambria Math" w:eastAsia="SimSun" w:hAnsi="Cambria Math" w:cs="Times New Roman"/>
                                        <w:i/>
                                      </w:rPr>
                                    </m:ctrlPr>
                                  </m:sSubPr>
                                  <m:e>
                                    <m:r>
                                      <w:rPr>
                                        <w:rFonts w:ascii="Cambria Math" w:eastAsia="SimSun" w:hAnsi="Cambria Math" w:cs="Times New Roman"/>
                                      </w:rPr>
                                      <m:t>λ</m:t>
                                    </m:r>
                                  </m:e>
                                  <m:sub>
                                    <m:r>
                                      <w:rPr>
                                        <w:rFonts w:ascii="Cambria Math" w:eastAsia="SimSun" w:hAnsi="Cambria Math" w:cs="Times New Roman"/>
                                      </w:rPr>
                                      <m:t>j</m:t>
                                    </m:r>
                                  </m:sub>
                                </m:sSub>
                                <m:sSub>
                                  <m:sSubPr>
                                    <m:ctrlPr>
                                      <w:rPr>
                                        <w:rFonts w:ascii="Cambria Math" w:eastAsia="SimSun" w:hAnsi="Cambria Math" w:cs="Times New Roman"/>
                                        <w:i/>
                                      </w:rPr>
                                    </m:ctrlPr>
                                  </m:sSubPr>
                                  <m:e>
                                    <m:r>
                                      <w:rPr>
                                        <w:rFonts w:ascii="Cambria Math" w:eastAsia="SimSun" w:hAnsi="Cambria Math" w:cs="Times New Roman"/>
                                      </w:rPr>
                                      <m:t>π</m:t>
                                    </m:r>
                                  </m:e>
                                  <m:sub>
                                    <m:r>
                                      <w:rPr>
                                        <w:rFonts w:ascii="Cambria Math" w:eastAsia="SimSun" w:hAnsi="Cambria Math" w:cs="Times New Roman"/>
                                      </w:rPr>
                                      <m:t>j</m:t>
                                    </m:r>
                                  </m:sub>
                                </m:sSub>
                              </m:e>
                            </m:d>
                          </m:e>
                          <m:sup>
                            <m:r>
                              <w:rPr>
                                <w:rFonts w:ascii="Cambria Math" w:eastAsia="SimSun" w:hAnsi="Cambria Math" w:cs="Times New Roman"/>
                              </w:rPr>
                              <m:t>ρ</m:t>
                            </m:r>
                          </m:sup>
                        </m:sSup>
                      </m:e>
                    </m:nary>
                  </m:den>
                </m:f>
              </m:oMath>
            </m:oMathPara>
          </w:p>
        </w:tc>
        <w:tc>
          <w:tcPr>
            <w:tcW w:w="1818" w:type="dxa"/>
          </w:tcPr>
          <w:p w14:paraId="0C3263CC" w14:textId="731ABD0D" w:rsidR="00707CFD" w:rsidRPr="00EE41C6" w:rsidRDefault="00707CFD" w:rsidP="00C30C93">
            <w:pPr>
              <w:spacing w:after="160" w:line="480" w:lineRule="auto"/>
              <w:jc w:val="right"/>
              <w:rPr>
                <w:rFonts w:ascii="Times New Roman" w:eastAsia="SimSun" w:hAnsi="Times New Roman" w:cs="Times New Roman"/>
                <w:kern w:val="2"/>
                <w14:ligatures w14:val="standardContextual"/>
              </w:rPr>
            </w:pPr>
            <w:r w:rsidRPr="00EE41C6">
              <w:rPr>
                <w:rFonts w:ascii="Times New Roman" w:eastAsia="SimSun" w:hAnsi="Times New Roman" w:cs="Times New Roman"/>
                <w:kern w:val="2"/>
                <w14:ligatures w14:val="standardContextual"/>
              </w:rPr>
              <w:t>(2)</w:t>
            </w:r>
          </w:p>
        </w:tc>
      </w:tr>
    </w:tbl>
    <w:p w14:paraId="0A10948C" w14:textId="77777777" w:rsidR="00707CFD" w:rsidRPr="00EE41C6" w:rsidRDefault="00707CFD" w:rsidP="00707CFD">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Where </w:t>
      </w:r>
      <m:oMath>
        <m:sSub>
          <m:sSubPr>
            <m:ctrlPr>
              <w:rPr>
                <w:rFonts w:ascii="Cambria Math" w:eastAsia="SimSun" w:hAnsi="Cambria Math" w:cs="Times New Roman"/>
                <w:i/>
                <w:kern w:val="0"/>
                <w14:ligatures w14:val="none"/>
              </w:rPr>
            </m:ctrlPr>
          </m:sSubPr>
          <m:e>
            <m:r>
              <w:rPr>
                <w:rFonts w:ascii="Cambria Math" w:eastAsia="SimSun" w:hAnsi="Cambria Math" w:cs="Times New Roman"/>
                <w:kern w:val="0"/>
                <w14:ligatures w14:val="none"/>
              </w:rPr>
              <m:t>s</m:t>
            </m:r>
          </m:e>
          <m:sub>
            <m:r>
              <w:rPr>
                <w:rFonts w:ascii="Cambria Math" w:eastAsia="SimSun" w:hAnsi="Cambria Math" w:cs="Times New Roman"/>
                <w:kern w:val="0"/>
                <w14:ligatures w14:val="none"/>
              </w:rPr>
              <m:t>i</m:t>
            </m:r>
          </m:sub>
        </m:sSub>
      </m:oMath>
      <w:r w:rsidRPr="00EE41C6">
        <w:rPr>
          <w:rFonts w:ascii="Times New Roman" w:eastAsia="SimSun" w:hAnsi="Times New Roman" w:cs="Times New Roman"/>
          <w:kern w:val="0"/>
          <w14:ligatures w14:val="none"/>
        </w:rPr>
        <w:t> is the share of leaf or node </w:t>
      </w:r>
      <m:oMath>
        <m:r>
          <w:rPr>
            <w:rFonts w:ascii="Cambria Math" w:eastAsia="SimSun" w:hAnsi="Cambria Math" w:cs="Times New Roman"/>
            <w:kern w:val="0"/>
            <w14:ligatures w14:val="none"/>
          </w:rPr>
          <m:t>i,</m:t>
        </m:r>
      </m:oMath>
      <w:r w:rsidRPr="00EE41C6">
        <w:rPr>
          <w:rFonts w:ascii="Times New Roman" w:eastAsia="SimSun" w:hAnsi="Times New Roman" w:cs="Times New Roman"/>
          <w:kern w:val="0"/>
          <w14:ligatures w14:val="none"/>
        </w:rPr>
        <w:t> </w:t>
      </w:r>
      <m:oMath>
        <m:sSub>
          <m:sSubPr>
            <m:ctrlPr>
              <w:rPr>
                <w:rFonts w:ascii="Cambria Math" w:eastAsia="SimSun" w:hAnsi="Cambria Math" w:cs="Times New Roman"/>
                <w:i/>
                <w:kern w:val="0"/>
                <w14:ligatures w14:val="none"/>
              </w:rPr>
            </m:ctrlPr>
          </m:sSubPr>
          <m:e>
            <m:r>
              <w:rPr>
                <w:rFonts w:ascii="Cambria Math" w:eastAsia="SimSun" w:hAnsi="Cambria Math" w:cs="Times New Roman"/>
                <w:kern w:val="0"/>
                <w14:ligatures w14:val="none"/>
              </w:rPr>
              <m:t>λ</m:t>
            </m:r>
          </m:e>
          <m:sub>
            <m:r>
              <w:rPr>
                <w:rFonts w:ascii="Cambria Math" w:eastAsia="SimSun" w:hAnsi="Cambria Math" w:cs="Times New Roman"/>
                <w:kern w:val="0"/>
                <w14:ligatures w14:val="none"/>
              </w:rPr>
              <m:t>i</m:t>
            </m:r>
          </m:sub>
        </m:sSub>
        <m:r>
          <w:rPr>
            <w:rFonts w:ascii="Cambria Math" w:eastAsia="SimSun" w:hAnsi="Cambria Math" w:cs="Times New Roman"/>
            <w:kern w:val="0"/>
            <w14:ligatures w14:val="none"/>
          </w:rPr>
          <m:t xml:space="preserve"> </m:t>
        </m:r>
      </m:oMath>
      <w:r w:rsidRPr="00EE41C6">
        <w:rPr>
          <w:rFonts w:ascii="Times New Roman" w:eastAsia="SimSun" w:hAnsi="Times New Roman" w:cs="Times New Roman"/>
          <w:kern w:val="0"/>
          <w14:ligatures w14:val="none"/>
        </w:rPr>
        <w:t>is the </w:t>
      </w:r>
      <w:hyperlink r:id="rId53" w:anchor="calibration" w:history="1">
        <w:r w:rsidRPr="00EE41C6">
          <w:rPr>
            <w:rFonts w:ascii="Times New Roman" w:eastAsia="SimSun" w:hAnsi="Times New Roman" w:cs="Times New Roman"/>
            <w:kern w:val="0"/>
            <w14:ligatures w14:val="none"/>
          </w:rPr>
          <w:t>profit scaler</w:t>
        </w:r>
      </w:hyperlink>
      <w:r w:rsidRPr="00EE41C6">
        <w:rPr>
          <w:rFonts w:ascii="Times New Roman" w:eastAsia="SimSun" w:hAnsi="Times New Roman" w:cs="Times New Roman"/>
          <w:kern w:val="0"/>
          <w14:ligatures w14:val="none"/>
        </w:rPr>
        <w:t> for leaf or node </w:t>
      </w:r>
      <m:oMath>
        <m:r>
          <w:rPr>
            <w:rFonts w:ascii="Cambria Math" w:eastAsia="SimSun" w:hAnsi="Cambria Math" w:cs="Times New Roman"/>
            <w:kern w:val="0"/>
            <w14:ligatures w14:val="none"/>
          </w:rPr>
          <m:t>i,</m:t>
        </m:r>
      </m:oMath>
      <w:r w:rsidRPr="00EE41C6">
        <w:rPr>
          <w:rFonts w:ascii="Times New Roman" w:eastAsia="SimSun" w:hAnsi="Times New Roman" w:cs="Times New Roman"/>
          <w:kern w:val="0"/>
          <w14:ligatures w14:val="none"/>
        </w:rPr>
        <w:t> </w:t>
      </w:r>
      <m:oMath>
        <m:sSub>
          <m:sSubPr>
            <m:ctrlPr>
              <w:rPr>
                <w:rFonts w:ascii="Cambria Math" w:eastAsia="SimSun" w:hAnsi="Cambria Math" w:cs="Times New Roman"/>
                <w:i/>
                <w:kern w:val="0"/>
                <w14:ligatures w14:val="none"/>
              </w:rPr>
            </m:ctrlPr>
          </m:sSubPr>
          <m:e>
            <m:r>
              <w:rPr>
                <w:rFonts w:ascii="Cambria Math" w:eastAsia="SimSun" w:hAnsi="Cambria Math" w:cs="Times New Roman"/>
                <w:kern w:val="0"/>
                <w14:ligatures w14:val="none"/>
              </w:rPr>
              <m:t>π</m:t>
            </m:r>
          </m:e>
          <m:sub>
            <m:r>
              <w:rPr>
                <w:rFonts w:ascii="Cambria Math" w:eastAsia="SimSun" w:hAnsi="Cambria Math" w:cs="Times New Roman"/>
                <w:kern w:val="0"/>
                <w14:ligatures w14:val="none"/>
              </w:rPr>
              <m:t>i</m:t>
            </m:r>
          </m:sub>
        </m:sSub>
      </m:oMath>
      <w:r w:rsidRPr="00EE41C6">
        <w:rPr>
          <w:rFonts w:ascii="Times New Roman" w:eastAsia="SimSun" w:hAnsi="Times New Roman" w:cs="Times New Roman"/>
          <w:kern w:val="0"/>
          <w14:ligatures w14:val="none"/>
        </w:rPr>
        <w:t> is the </w:t>
      </w:r>
      <w:hyperlink r:id="rId54" w:anchor="profit" w:history="1">
        <w:r w:rsidRPr="00EE41C6">
          <w:rPr>
            <w:rFonts w:ascii="Times New Roman" w:eastAsia="SimSun" w:hAnsi="Times New Roman" w:cs="Times New Roman"/>
            <w:kern w:val="0"/>
            <w14:ligatures w14:val="none"/>
          </w:rPr>
          <w:t>profit</w:t>
        </w:r>
      </w:hyperlink>
      <w:r w:rsidRPr="00EE41C6">
        <w:rPr>
          <w:rFonts w:ascii="Times New Roman" w:eastAsia="SimSun" w:hAnsi="Times New Roman" w:cs="Times New Roman"/>
          <w:kern w:val="0"/>
          <w14:ligatures w14:val="none"/>
        </w:rPr>
        <w:t> for leaf or node </w:t>
      </w:r>
      <m:oMath>
        <m:r>
          <w:rPr>
            <w:rFonts w:ascii="Cambria Math" w:eastAsia="SimSun" w:hAnsi="Cambria Math" w:cs="Times New Roman"/>
            <w:kern w:val="0"/>
            <w14:ligatures w14:val="none"/>
          </w:rPr>
          <m:t>i</m:t>
        </m:r>
      </m:oMath>
      <w:r w:rsidRPr="00EE41C6">
        <w:rPr>
          <w:rFonts w:ascii="Times New Roman" w:eastAsia="SimSun" w:hAnsi="Times New Roman" w:cs="Times New Roman"/>
          <w:kern w:val="0"/>
          <w14:ligatures w14:val="none"/>
        </w:rPr>
        <w:t>, and </w:t>
      </w:r>
      <m:oMath>
        <m:r>
          <w:rPr>
            <w:rFonts w:ascii="Cambria Math" w:eastAsia="SimSun" w:hAnsi="Cambria Math" w:cs="Times New Roman"/>
            <w:kern w:val="0"/>
            <w14:ligatures w14:val="none"/>
          </w:rPr>
          <m:t>i,</m:t>
        </m:r>
      </m:oMath>
      <w:r w:rsidRPr="00EE41C6">
        <w:rPr>
          <w:rFonts w:ascii="Times New Roman" w:eastAsia="SimSun" w:hAnsi="Times New Roman" w:cs="Times New Roman"/>
          <w:kern w:val="0"/>
          <w14:ligatures w14:val="none"/>
        </w:rPr>
        <w:t> </w:t>
      </w:r>
      <m:oMath>
        <m:r>
          <w:rPr>
            <w:rFonts w:ascii="Cambria Math" w:eastAsia="SimSun" w:hAnsi="Cambria Math" w:cs="Times New Roman"/>
            <w:kern w:val="0"/>
            <w14:ligatures w14:val="none"/>
          </w:rPr>
          <m:t>ρ</m:t>
        </m:r>
      </m:oMath>
      <w:r w:rsidRPr="00EE41C6">
        <w:rPr>
          <w:rFonts w:ascii="Times New Roman" w:eastAsia="SimSun" w:hAnsi="Times New Roman" w:cs="Times New Roman"/>
          <w:kern w:val="0"/>
          <w14:ligatures w14:val="none"/>
        </w:rPr>
        <w:t> is the </w:t>
      </w:r>
      <w:hyperlink r:id="rId55" w:anchor="share-parameters" w:history="1">
        <w:r w:rsidRPr="00EE41C6">
          <w:rPr>
            <w:rFonts w:ascii="Times New Roman" w:eastAsia="SimSun" w:hAnsi="Times New Roman" w:cs="Times New Roman"/>
            <w:kern w:val="0"/>
            <w14:ligatures w14:val="none"/>
          </w:rPr>
          <w:t>logit exponent</w:t>
        </w:r>
      </w:hyperlink>
      <w:r w:rsidRPr="00EE41C6">
        <w:rPr>
          <w:rFonts w:ascii="Times New Roman" w:eastAsia="SimSun" w:hAnsi="Times New Roman" w:cs="Times New Roman"/>
          <w:kern w:val="0"/>
          <w14:ligatures w14:val="none"/>
        </w:rPr>
        <w:t>.</w:t>
      </w:r>
    </w:p>
    <w:p w14:paraId="391F7196" w14:textId="26DE238F" w:rsidR="00707CFD" w:rsidRPr="00EE41C6" w:rsidRDefault="00707CFD" w:rsidP="00707CFD">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 xml:space="preserve">To calculate land area, </w:t>
      </w:r>
      <w:r w:rsidRPr="00EE41C6">
        <w:rPr>
          <w:rFonts w:ascii="Times New Roman" w:eastAsia="SimSun" w:hAnsi="Times New Roman" w:cs="Times New Roman"/>
          <w:noProof/>
          <w:kern w:val="0"/>
          <w14:ligatures w14:val="none"/>
        </w:rPr>
        <w:t>GCAM</w:t>
      </w:r>
      <w:r w:rsidRPr="00EE41C6">
        <w:rPr>
          <w:rFonts w:ascii="Times New Roman" w:eastAsia="SimSun" w:hAnsi="Times New Roman" w:cs="Times New Roman"/>
          <w:kern w:val="0"/>
          <w14:ligatures w14:val="none"/>
        </w:rPr>
        <w:t xml:space="preserve"> works its way down the </w:t>
      </w:r>
      <w:hyperlink r:id="rId56" w:anchor="land-nesting-strategy" w:history="1">
        <w:r w:rsidRPr="00EE41C6">
          <w:rPr>
            <w:rFonts w:ascii="Times New Roman" w:eastAsia="SimSun" w:hAnsi="Times New Roman" w:cs="Times New Roman"/>
            <w:kern w:val="0"/>
            <w14:ligatures w14:val="none"/>
          </w:rPr>
          <w:t>nesting tree</w:t>
        </w:r>
      </w:hyperlink>
      <w:r w:rsidRPr="00EE41C6">
        <w:rPr>
          <w:rFonts w:ascii="Times New Roman" w:eastAsia="SimSun" w:hAnsi="Times New Roman" w:cs="Times New Roman"/>
          <w:kern w:val="0"/>
          <w14:ligatures w14:val="none"/>
        </w:rPr>
        <w:t>, starting from the top where the total land area in a region is provided as an </w:t>
      </w:r>
      <w:hyperlink r:id="rId57" w:anchor="Historical-Land-Cover-and-Use" w:history="1">
        <w:r w:rsidRPr="00EE41C6">
          <w:rPr>
            <w:rFonts w:ascii="Times New Roman" w:eastAsia="SimSun" w:hAnsi="Times New Roman" w:cs="Times New Roman"/>
            <w:kern w:val="0"/>
            <w14:ligatures w14:val="none"/>
          </w:rPr>
          <w:t>input</w:t>
        </w:r>
      </w:hyperlink>
      <w:r w:rsidRPr="00EE41C6">
        <w:rPr>
          <w:rFonts w:ascii="Times New Roman" w:eastAsia="SimSun" w:hAnsi="Times New Roman" w:cs="Times New Roman"/>
          <w:kern w:val="0"/>
          <w14:ligatures w14:val="none"/>
        </w:rPr>
        <w:t xml:space="preserve">. For each node or leaf below, the area was calculated as (Supplementary Equation 3):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8"/>
        <w:gridCol w:w="1782"/>
      </w:tblGrid>
      <w:tr w:rsidR="00707CFD" w:rsidRPr="00EE41C6" w14:paraId="29048541" w14:textId="77777777" w:rsidTr="00C30C93">
        <w:tc>
          <w:tcPr>
            <w:tcW w:w="7758" w:type="dxa"/>
          </w:tcPr>
          <w:p w14:paraId="06556036" w14:textId="77777777" w:rsidR="00707CFD" w:rsidRPr="00EE41C6" w:rsidRDefault="00000000" w:rsidP="00C30C93">
            <w:pPr>
              <w:spacing w:line="480" w:lineRule="auto"/>
              <w:rPr>
                <w:rFonts w:ascii="Times New Roman" w:eastAsia="SimSun" w:hAnsi="Times New Roman" w:cs="Times New Roman"/>
              </w:rPr>
            </w:pPr>
            <m:oMathPara>
              <m:oMathParaPr>
                <m:jc m:val="left"/>
              </m:oMathParaPr>
              <m:oMath>
                <m:sSub>
                  <m:sSubPr>
                    <m:ctrlPr>
                      <w:rPr>
                        <w:rFonts w:ascii="Cambria Math" w:eastAsia="SimSun" w:hAnsi="Cambria Math" w:cs="Times New Roman"/>
                        <w:i/>
                      </w:rPr>
                    </m:ctrlPr>
                  </m:sSubPr>
                  <m:e>
                    <m:r>
                      <w:rPr>
                        <w:rFonts w:ascii="Cambria Math" w:eastAsia="SimSun" w:hAnsi="Cambria Math" w:cs="Times New Roman"/>
                      </w:rPr>
                      <m:t>a</m:t>
                    </m:r>
                  </m:e>
                  <m:sub>
                    <m:r>
                      <w:rPr>
                        <w:rFonts w:ascii="Cambria Math" w:eastAsia="SimSun" w:hAnsi="Cambria Math" w:cs="Times New Roman"/>
                      </w:rPr>
                      <m:t>i</m:t>
                    </m:r>
                  </m:sub>
                </m:sSub>
                <m:r>
                  <w:rPr>
                    <w:rFonts w:ascii="Cambria Math" w:eastAsia="SimSun" w:hAnsi="Cambria Math" w:cs="Times New Roman"/>
                  </w:rPr>
                  <m:t>=</m:t>
                </m:r>
                <m:sSub>
                  <m:sSubPr>
                    <m:ctrlPr>
                      <w:rPr>
                        <w:rFonts w:ascii="Cambria Math" w:eastAsia="SimSun" w:hAnsi="Cambria Math" w:cs="Times New Roman"/>
                        <w:i/>
                      </w:rPr>
                    </m:ctrlPr>
                  </m:sSubPr>
                  <m:e>
                    <m:r>
                      <w:rPr>
                        <w:rFonts w:ascii="Cambria Math" w:eastAsia="SimSun" w:hAnsi="Cambria Math" w:cs="Times New Roman"/>
                      </w:rPr>
                      <m:t>a</m:t>
                    </m:r>
                  </m:e>
                  <m:sub>
                    <m:r>
                      <w:rPr>
                        <w:rFonts w:ascii="Cambria Math" w:eastAsia="SimSun" w:hAnsi="Cambria Math" w:cs="Times New Roman"/>
                      </w:rPr>
                      <m:t>above</m:t>
                    </m:r>
                  </m:sub>
                </m:sSub>
                <m:r>
                  <w:rPr>
                    <w:rFonts w:ascii="Cambria Math" w:eastAsia="SimSun" w:hAnsi="Cambria Math" w:cs="Times New Roman"/>
                  </w:rPr>
                  <m:t>*</m:t>
                </m:r>
                <m:sSub>
                  <m:sSubPr>
                    <m:ctrlPr>
                      <w:rPr>
                        <w:rFonts w:ascii="Cambria Math" w:eastAsia="SimSun" w:hAnsi="Cambria Math" w:cs="Times New Roman"/>
                        <w:i/>
                      </w:rPr>
                    </m:ctrlPr>
                  </m:sSubPr>
                  <m:e>
                    <m:r>
                      <w:rPr>
                        <w:rFonts w:ascii="Cambria Math" w:eastAsia="SimSun" w:hAnsi="Cambria Math" w:cs="Times New Roman"/>
                      </w:rPr>
                      <m:t>s</m:t>
                    </m:r>
                  </m:e>
                  <m:sub>
                    <m:r>
                      <w:rPr>
                        <w:rFonts w:ascii="Cambria Math" w:eastAsia="SimSun" w:hAnsi="Cambria Math" w:cs="Times New Roman"/>
                      </w:rPr>
                      <m:t>i</m:t>
                    </m:r>
                  </m:sub>
                </m:sSub>
              </m:oMath>
            </m:oMathPara>
          </w:p>
        </w:tc>
        <w:tc>
          <w:tcPr>
            <w:tcW w:w="1818" w:type="dxa"/>
          </w:tcPr>
          <w:p w14:paraId="1458AD7E" w14:textId="2EE352C2" w:rsidR="00707CFD" w:rsidRPr="00EE41C6" w:rsidRDefault="00707CFD" w:rsidP="00C30C93">
            <w:pPr>
              <w:spacing w:after="160" w:line="480" w:lineRule="auto"/>
              <w:jc w:val="right"/>
              <w:rPr>
                <w:rFonts w:ascii="Times New Roman" w:eastAsia="SimSun" w:hAnsi="Times New Roman" w:cs="Times New Roman"/>
                <w:kern w:val="2"/>
                <w14:ligatures w14:val="standardContextual"/>
              </w:rPr>
            </w:pPr>
            <w:r w:rsidRPr="00EE41C6">
              <w:rPr>
                <w:rFonts w:ascii="Times New Roman" w:eastAsia="SimSun" w:hAnsi="Times New Roman" w:cs="Times New Roman"/>
                <w:kern w:val="2"/>
                <w14:ligatures w14:val="standardContextual"/>
              </w:rPr>
              <w:t>(3)</w:t>
            </w:r>
          </w:p>
        </w:tc>
      </w:tr>
    </w:tbl>
    <w:p w14:paraId="2D78D738" w14:textId="77777777" w:rsidR="00707CFD" w:rsidRPr="00EE41C6" w:rsidRDefault="00707CFD" w:rsidP="00707CFD">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where </w:t>
      </w:r>
      <m:oMath>
        <m:sSub>
          <m:sSubPr>
            <m:ctrlPr>
              <w:rPr>
                <w:rFonts w:ascii="Cambria Math" w:eastAsia="SimSun" w:hAnsi="Cambria Math" w:cs="Times New Roman"/>
                <w:i/>
                <w:kern w:val="0"/>
                <w14:ligatures w14:val="none"/>
              </w:rPr>
            </m:ctrlPr>
          </m:sSubPr>
          <m:e>
            <m:r>
              <w:rPr>
                <w:rFonts w:ascii="Cambria Math" w:eastAsia="SimSun" w:hAnsi="Cambria Math" w:cs="Times New Roman"/>
                <w:kern w:val="0"/>
                <w14:ligatures w14:val="none"/>
              </w:rPr>
              <m:t>a</m:t>
            </m:r>
          </m:e>
          <m:sub>
            <m:r>
              <w:rPr>
                <w:rFonts w:ascii="Cambria Math" w:eastAsia="SimSun" w:hAnsi="Cambria Math" w:cs="Times New Roman"/>
                <w:kern w:val="0"/>
                <w14:ligatures w14:val="none"/>
              </w:rPr>
              <m:t>i</m:t>
            </m:r>
          </m:sub>
        </m:sSub>
      </m:oMath>
      <w:r w:rsidRPr="00EE41C6">
        <w:rPr>
          <w:rFonts w:ascii="Times New Roman" w:eastAsia="SimSun" w:hAnsi="Times New Roman" w:cs="Times New Roman"/>
          <w:kern w:val="0"/>
          <w14:ligatures w14:val="none"/>
        </w:rPr>
        <w:t> is the area for leaf or node </w:t>
      </w:r>
      <m:oMath>
        <m:r>
          <w:rPr>
            <w:rFonts w:ascii="Cambria Math" w:eastAsia="SimSun" w:hAnsi="Cambria Math" w:cs="Times New Roman"/>
            <w:kern w:val="0"/>
            <w14:ligatures w14:val="none"/>
          </w:rPr>
          <m:t>i,</m:t>
        </m:r>
      </m:oMath>
      <w:r w:rsidRPr="00EE41C6">
        <w:rPr>
          <w:rFonts w:ascii="Times New Roman" w:eastAsia="SimSun" w:hAnsi="Times New Roman" w:cs="Times New Roman"/>
          <w:kern w:val="0"/>
          <w14:ligatures w14:val="none"/>
        </w:rPr>
        <w:t> </w:t>
      </w:r>
      <m:oMath>
        <m:sSub>
          <m:sSubPr>
            <m:ctrlPr>
              <w:rPr>
                <w:rFonts w:ascii="Cambria Math" w:eastAsia="SimSun" w:hAnsi="Cambria Math" w:cs="Times New Roman"/>
                <w:i/>
                <w:kern w:val="0"/>
                <w14:ligatures w14:val="none"/>
              </w:rPr>
            </m:ctrlPr>
          </m:sSubPr>
          <m:e>
            <m:r>
              <w:rPr>
                <w:rFonts w:ascii="Cambria Math" w:eastAsia="SimSun" w:hAnsi="Cambria Math" w:cs="Times New Roman"/>
                <w:kern w:val="0"/>
                <w14:ligatures w14:val="none"/>
              </w:rPr>
              <m:t>s</m:t>
            </m:r>
          </m:e>
          <m:sub>
            <m:r>
              <w:rPr>
                <w:rFonts w:ascii="Cambria Math" w:eastAsia="SimSun" w:hAnsi="Cambria Math" w:cs="Times New Roman"/>
                <w:kern w:val="0"/>
                <w14:ligatures w14:val="none"/>
              </w:rPr>
              <m:t>i</m:t>
            </m:r>
          </m:sub>
        </m:sSub>
        <m:r>
          <w:rPr>
            <w:rFonts w:ascii="Cambria Math" w:eastAsia="SimSun" w:hAnsi="Cambria Math" w:cs="Times New Roman"/>
            <w:kern w:val="0"/>
            <w14:ligatures w14:val="none"/>
          </w:rPr>
          <m:t xml:space="preserve"> </m:t>
        </m:r>
      </m:oMath>
      <w:r w:rsidRPr="00EE41C6">
        <w:rPr>
          <w:rFonts w:ascii="Times New Roman" w:eastAsia="SimSun" w:hAnsi="Times New Roman" w:cs="Times New Roman"/>
          <w:kern w:val="0"/>
          <w14:ligatures w14:val="none"/>
        </w:rPr>
        <w:t>is the </w:t>
      </w:r>
      <w:hyperlink r:id="rId58" w:anchor="shares" w:history="1">
        <w:r w:rsidRPr="00EE41C6">
          <w:rPr>
            <w:rFonts w:ascii="Times New Roman" w:eastAsia="SimSun" w:hAnsi="Times New Roman" w:cs="Times New Roman"/>
            <w:kern w:val="0"/>
            <w14:ligatures w14:val="none"/>
          </w:rPr>
          <w:t>share</w:t>
        </w:r>
      </w:hyperlink>
      <w:r w:rsidRPr="00EE41C6">
        <w:rPr>
          <w:rFonts w:ascii="Times New Roman" w:eastAsia="SimSun" w:hAnsi="Times New Roman" w:cs="Times New Roman"/>
          <w:kern w:val="0"/>
          <w14:ligatures w14:val="none"/>
        </w:rPr>
        <w:t>, and </w:t>
      </w:r>
      <m:oMath>
        <m:sSub>
          <m:sSubPr>
            <m:ctrlPr>
              <w:rPr>
                <w:rFonts w:ascii="Cambria Math" w:eastAsia="SimSun" w:hAnsi="Cambria Math" w:cs="Times New Roman"/>
                <w:i/>
                <w:kern w:val="0"/>
                <w14:ligatures w14:val="none"/>
              </w:rPr>
            </m:ctrlPr>
          </m:sSubPr>
          <m:e>
            <m:r>
              <w:rPr>
                <w:rFonts w:ascii="Cambria Math" w:eastAsia="SimSun" w:hAnsi="Cambria Math" w:cs="Times New Roman"/>
                <w:kern w:val="0"/>
                <w14:ligatures w14:val="none"/>
              </w:rPr>
              <m:t>a</m:t>
            </m:r>
          </m:e>
          <m:sub>
            <m:r>
              <w:rPr>
                <w:rFonts w:ascii="Cambria Math" w:eastAsia="SimSun" w:hAnsi="Cambria Math" w:cs="Times New Roman"/>
                <w:kern w:val="0"/>
                <w14:ligatures w14:val="none"/>
              </w:rPr>
              <m:t>above</m:t>
            </m:r>
          </m:sub>
        </m:sSub>
      </m:oMath>
      <w:r w:rsidRPr="00EE41C6">
        <w:rPr>
          <w:rFonts w:ascii="Times New Roman" w:eastAsia="SimSun" w:hAnsi="Times New Roman" w:cs="Times New Roman"/>
          <w:kern w:val="0"/>
          <w14:ligatures w14:val="none"/>
        </w:rPr>
        <w:t> is the area of the parent node.</w:t>
      </w:r>
    </w:p>
    <w:p w14:paraId="0FE55990" w14:textId="394256D2" w:rsidR="00707CFD" w:rsidRPr="00EE41C6" w:rsidRDefault="00707CFD" w:rsidP="00707CFD">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The total cumulative change in emissions is calculated as (Supplementary Equation 4):</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9"/>
        <w:gridCol w:w="1781"/>
      </w:tblGrid>
      <w:tr w:rsidR="00707CFD" w:rsidRPr="00EE41C6" w14:paraId="198F42AF" w14:textId="77777777" w:rsidTr="00C30C93">
        <w:tc>
          <w:tcPr>
            <w:tcW w:w="7758" w:type="dxa"/>
          </w:tcPr>
          <w:p w14:paraId="6CA99119" w14:textId="77777777" w:rsidR="00707CFD" w:rsidRPr="00EE41C6" w:rsidRDefault="00000000" w:rsidP="00C30C93">
            <w:pPr>
              <w:spacing w:line="480" w:lineRule="auto"/>
              <w:rPr>
                <w:rFonts w:ascii="Times New Roman" w:eastAsia="SimSun" w:hAnsi="Times New Roman" w:cs="Times New Roman"/>
              </w:rPr>
            </w:pPr>
            <m:oMathPara>
              <m:oMathParaPr>
                <m:jc m:val="left"/>
              </m:oMathParaPr>
              <m:oMath>
                <m:sSubSup>
                  <m:sSubSupPr>
                    <m:ctrlPr>
                      <w:rPr>
                        <w:rFonts w:ascii="Cambria Math" w:eastAsia="SimSun" w:hAnsi="Cambria Math" w:cs="Times New Roman"/>
                        <w:i/>
                      </w:rPr>
                    </m:ctrlPr>
                  </m:sSubSupPr>
                  <m:e>
                    <m:r>
                      <w:rPr>
                        <w:rFonts w:ascii="Cambria Math" w:eastAsia="SimSun" w:hAnsi="Cambria Math" w:cs="Times New Roman"/>
                      </w:rPr>
                      <m:t>E</m:t>
                    </m:r>
                  </m:e>
                  <m:sub>
                    <m:r>
                      <w:rPr>
                        <w:rFonts w:ascii="Cambria Math" w:eastAsia="SimSun" w:hAnsi="Cambria Math" w:cs="Times New Roman"/>
                      </w:rPr>
                      <m:t>t</m:t>
                    </m:r>
                  </m:sub>
                  <m:sup>
                    <m:r>
                      <w:rPr>
                        <w:rFonts w:ascii="Cambria Math" w:eastAsia="SimSun" w:hAnsi="Cambria Math" w:cs="Times New Roman"/>
                      </w:rPr>
                      <m:t>veg/soil</m:t>
                    </m:r>
                  </m:sup>
                </m:sSubSup>
                <m:r>
                  <w:rPr>
                    <w:rFonts w:ascii="Cambria Math" w:eastAsia="SimSun" w:hAnsi="Cambria Math" w:cs="Times New Roman"/>
                  </w:rPr>
                  <m:t>=∆</m:t>
                </m:r>
                <m:sSub>
                  <m:sSubPr>
                    <m:ctrlPr>
                      <w:rPr>
                        <w:rFonts w:ascii="Cambria Math" w:eastAsia="SimSun" w:hAnsi="Cambria Math" w:cs="Times New Roman"/>
                        <w:i/>
                      </w:rPr>
                    </m:ctrlPr>
                  </m:sSubPr>
                  <m:e>
                    <m:r>
                      <w:rPr>
                        <w:rFonts w:ascii="Cambria Math" w:eastAsia="SimSun" w:hAnsi="Cambria Math" w:cs="Times New Roman"/>
                      </w:rPr>
                      <m:t>C</m:t>
                    </m:r>
                  </m:e>
                  <m:sub>
                    <m:r>
                      <w:rPr>
                        <w:rFonts w:ascii="Cambria Math" w:eastAsia="SimSun" w:hAnsi="Cambria Math" w:cs="Times New Roman"/>
                      </w:rPr>
                      <m:t>t</m:t>
                    </m:r>
                  </m:sub>
                </m:sSub>
                <m:r>
                  <w:rPr>
                    <w:rFonts w:ascii="Cambria Math" w:eastAsia="SimSun" w:hAnsi="Cambria Math" w:cs="Times New Roman"/>
                  </w:rPr>
                  <m:t>=</m:t>
                </m:r>
                <m:sSub>
                  <m:sSubPr>
                    <m:ctrlPr>
                      <w:rPr>
                        <w:rFonts w:ascii="Cambria Math" w:eastAsia="SimSun" w:hAnsi="Cambria Math" w:cs="Times New Roman"/>
                        <w:i/>
                      </w:rPr>
                    </m:ctrlPr>
                  </m:sSubPr>
                  <m:e>
                    <m:r>
                      <w:rPr>
                        <w:rFonts w:ascii="Cambria Math" w:eastAsia="SimSun" w:hAnsi="Cambria Math" w:cs="Times New Roman"/>
                      </w:rPr>
                      <m:t>A</m:t>
                    </m:r>
                  </m:e>
                  <m:sub>
                    <m:r>
                      <w:rPr>
                        <w:rFonts w:ascii="Cambria Math" w:eastAsia="SimSun" w:hAnsi="Cambria Math" w:cs="Times New Roman"/>
                      </w:rPr>
                      <m:t>t</m:t>
                    </m:r>
                  </m:sub>
                </m:sSub>
                <m:r>
                  <w:rPr>
                    <w:rFonts w:ascii="Cambria Math" w:eastAsia="SimSun" w:hAnsi="Cambria Math" w:cs="Times New Roman"/>
                  </w:rPr>
                  <m:t>*</m:t>
                </m:r>
                <m:sSubSup>
                  <m:sSubSupPr>
                    <m:ctrlPr>
                      <w:rPr>
                        <w:rFonts w:ascii="Cambria Math" w:eastAsia="SimSun" w:hAnsi="Cambria Math" w:cs="Times New Roman"/>
                        <w:i/>
                      </w:rPr>
                    </m:ctrlPr>
                  </m:sSubSupPr>
                  <m:e>
                    <m:r>
                      <w:rPr>
                        <w:rFonts w:ascii="Cambria Math" w:eastAsia="SimSun" w:hAnsi="Cambria Math" w:cs="Times New Roman"/>
                      </w:rPr>
                      <m:t>D</m:t>
                    </m:r>
                  </m:e>
                  <m:sub>
                    <m:r>
                      <w:rPr>
                        <w:rFonts w:ascii="Cambria Math" w:eastAsia="SimSun" w:hAnsi="Cambria Math" w:cs="Times New Roman"/>
                      </w:rPr>
                      <m:t>t</m:t>
                    </m:r>
                  </m:sub>
                  <m:sup>
                    <m:f>
                      <m:fPr>
                        <m:type m:val="lin"/>
                        <m:ctrlPr>
                          <w:rPr>
                            <w:rFonts w:ascii="Cambria Math" w:eastAsia="SimSun" w:hAnsi="Cambria Math" w:cs="Times New Roman"/>
                            <w:i/>
                          </w:rPr>
                        </m:ctrlPr>
                      </m:fPr>
                      <m:num>
                        <m:r>
                          <w:rPr>
                            <w:rFonts w:ascii="Cambria Math" w:eastAsia="SimSun" w:hAnsi="Cambria Math" w:cs="Times New Roman"/>
                          </w:rPr>
                          <m:t>veg</m:t>
                        </m:r>
                      </m:num>
                      <m:den>
                        <m:r>
                          <w:rPr>
                            <w:rFonts w:ascii="Cambria Math" w:eastAsia="SimSun" w:hAnsi="Cambria Math" w:cs="Times New Roman"/>
                          </w:rPr>
                          <m:t>soil</m:t>
                        </m:r>
                      </m:den>
                    </m:f>
                  </m:sup>
                </m:sSubSup>
                <m:r>
                  <w:rPr>
                    <w:rFonts w:ascii="Cambria Math" w:eastAsia="SimSun" w:hAnsi="Cambria Math" w:cs="Times New Roman"/>
                  </w:rPr>
                  <m:t>-</m:t>
                </m:r>
                <m:sSub>
                  <m:sSubPr>
                    <m:ctrlPr>
                      <w:rPr>
                        <w:rFonts w:ascii="Cambria Math" w:eastAsia="SimSun" w:hAnsi="Cambria Math" w:cs="Times New Roman"/>
                        <w:i/>
                      </w:rPr>
                    </m:ctrlPr>
                  </m:sSubPr>
                  <m:e>
                    <m:r>
                      <w:rPr>
                        <w:rFonts w:ascii="Cambria Math" w:eastAsia="SimSun" w:hAnsi="Cambria Math" w:cs="Times New Roman"/>
                      </w:rPr>
                      <m:t>A</m:t>
                    </m:r>
                  </m:e>
                  <m:sub>
                    <m:r>
                      <w:rPr>
                        <w:rFonts w:ascii="Cambria Math" w:eastAsia="SimSun" w:hAnsi="Cambria Math" w:cs="Times New Roman"/>
                      </w:rPr>
                      <m:t>t-1</m:t>
                    </m:r>
                  </m:sub>
                </m:sSub>
                <m:r>
                  <w:rPr>
                    <w:rFonts w:ascii="Cambria Math" w:eastAsia="SimSun" w:hAnsi="Cambria Math" w:cs="Times New Roman"/>
                  </w:rPr>
                  <m:t>*</m:t>
                </m:r>
                <m:sSubSup>
                  <m:sSubSupPr>
                    <m:ctrlPr>
                      <w:rPr>
                        <w:rFonts w:ascii="Cambria Math" w:eastAsia="SimSun" w:hAnsi="Cambria Math" w:cs="Times New Roman"/>
                        <w:i/>
                      </w:rPr>
                    </m:ctrlPr>
                  </m:sSubSupPr>
                  <m:e>
                    <m:r>
                      <w:rPr>
                        <w:rFonts w:ascii="Cambria Math" w:eastAsia="SimSun" w:hAnsi="Cambria Math" w:cs="Times New Roman"/>
                      </w:rPr>
                      <m:t>D</m:t>
                    </m:r>
                  </m:e>
                  <m:sub>
                    <m:r>
                      <w:rPr>
                        <w:rFonts w:ascii="Cambria Math" w:eastAsia="SimSun" w:hAnsi="Cambria Math" w:cs="Times New Roman"/>
                      </w:rPr>
                      <m:t>t-1</m:t>
                    </m:r>
                  </m:sub>
                  <m:sup>
                    <m:r>
                      <w:rPr>
                        <w:rFonts w:ascii="Cambria Math" w:eastAsia="SimSun" w:hAnsi="Cambria Math" w:cs="Times New Roman"/>
                      </w:rPr>
                      <m:t>veg/soil</m:t>
                    </m:r>
                  </m:sup>
                </m:sSubSup>
              </m:oMath>
            </m:oMathPara>
          </w:p>
        </w:tc>
        <w:tc>
          <w:tcPr>
            <w:tcW w:w="1818" w:type="dxa"/>
          </w:tcPr>
          <w:p w14:paraId="4030573B" w14:textId="1D7A4FBE" w:rsidR="00707CFD" w:rsidRPr="00EE41C6" w:rsidRDefault="00707CFD" w:rsidP="00C30C93">
            <w:pPr>
              <w:spacing w:after="160" w:line="480" w:lineRule="auto"/>
              <w:jc w:val="right"/>
              <w:rPr>
                <w:rFonts w:ascii="Times New Roman" w:eastAsia="SimSun" w:hAnsi="Times New Roman" w:cs="Times New Roman"/>
                <w:kern w:val="2"/>
                <w14:ligatures w14:val="standardContextual"/>
              </w:rPr>
            </w:pPr>
            <w:r w:rsidRPr="00EE41C6">
              <w:rPr>
                <w:rFonts w:ascii="Times New Roman" w:eastAsia="SimSun" w:hAnsi="Times New Roman" w:cs="Times New Roman"/>
                <w:kern w:val="2"/>
                <w14:ligatures w14:val="standardContextual"/>
              </w:rPr>
              <w:t>(4)</w:t>
            </w:r>
          </w:p>
        </w:tc>
      </w:tr>
    </w:tbl>
    <w:p w14:paraId="27FDFBA8" w14:textId="77777777" w:rsidR="00707CFD" w:rsidRPr="00EE41C6" w:rsidRDefault="00707CFD" w:rsidP="00707CFD">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where </w:t>
      </w:r>
      <m:oMath>
        <m:r>
          <w:rPr>
            <w:rFonts w:ascii="Cambria Math" w:eastAsia="SimSun" w:hAnsi="Cambria Math" w:cs="Times New Roman"/>
            <w:kern w:val="0"/>
            <w14:ligatures w14:val="none"/>
          </w:rPr>
          <m:t>E</m:t>
        </m:r>
      </m:oMath>
      <w:r w:rsidRPr="00EE41C6">
        <w:rPr>
          <w:rFonts w:ascii="Times New Roman" w:eastAsia="SimSun" w:hAnsi="Times New Roman" w:cs="Times New Roman"/>
          <w:kern w:val="0"/>
          <w14:ligatures w14:val="none"/>
        </w:rPr>
        <w:t> indicates carbon emissions due to a land use change in time step </w:t>
      </w:r>
      <m:oMath>
        <m:r>
          <w:rPr>
            <w:rFonts w:ascii="Cambria Math" w:eastAsia="SimSun" w:hAnsi="Cambria Math" w:cs="Times New Roman"/>
            <w:kern w:val="0"/>
            <w14:ligatures w14:val="none"/>
          </w:rPr>
          <m:t>t</m:t>
        </m:r>
      </m:oMath>
      <w:r w:rsidRPr="00EE41C6">
        <w:rPr>
          <w:rFonts w:ascii="Times New Roman" w:eastAsia="SimSun" w:hAnsi="Times New Roman" w:cs="Times New Roman"/>
          <w:kern w:val="0"/>
          <w14:ligatures w14:val="none"/>
        </w:rPr>
        <w:t>, </w:t>
      </w:r>
      <m:oMath>
        <m:r>
          <w:rPr>
            <w:rFonts w:ascii="Cambria Math" w:eastAsia="SimSun" w:hAnsi="Cambria Math" w:cs="Times New Roman"/>
            <w:kern w:val="0"/>
            <w14:ligatures w14:val="none"/>
          </w:rPr>
          <m:t>C</m:t>
        </m:r>
      </m:oMath>
      <w:r w:rsidRPr="00EE41C6">
        <w:rPr>
          <w:rFonts w:ascii="Times New Roman" w:eastAsia="SimSun" w:hAnsi="Times New Roman" w:cs="Times New Roman"/>
          <w:kern w:val="0"/>
          <w14:ligatures w14:val="none"/>
        </w:rPr>
        <w:t> indicates carbon stocks, </w:t>
      </w:r>
      <m:oMath>
        <m:r>
          <w:rPr>
            <w:rFonts w:ascii="Cambria Math" w:eastAsia="SimSun" w:hAnsi="Cambria Math" w:cs="Times New Roman"/>
            <w:kern w:val="0"/>
            <w14:ligatures w14:val="none"/>
          </w:rPr>
          <m:t>A</m:t>
        </m:r>
      </m:oMath>
      <w:r w:rsidRPr="00EE41C6">
        <w:rPr>
          <w:rFonts w:ascii="Times New Roman" w:eastAsia="SimSun" w:hAnsi="Times New Roman" w:cs="Times New Roman"/>
          <w:kern w:val="0"/>
          <w14:ligatures w14:val="none"/>
        </w:rPr>
        <w:t> indicates land area, and </w:t>
      </w:r>
      <m:oMath>
        <m:r>
          <w:rPr>
            <w:rFonts w:ascii="Cambria Math" w:eastAsia="SimSun" w:hAnsi="Cambria Math" w:cs="Times New Roman"/>
            <w:kern w:val="0"/>
            <w14:ligatures w14:val="none"/>
          </w:rPr>
          <m:t>D</m:t>
        </m:r>
      </m:oMath>
      <w:r w:rsidRPr="00EE41C6">
        <w:rPr>
          <w:rFonts w:ascii="Times New Roman" w:eastAsia="SimSun" w:hAnsi="Times New Roman" w:cs="Times New Roman"/>
          <w:kern w:val="0"/>
          <w14:ligatures w14:val="none"/>
        </w:rPr>
        <w:t> indicates the average carbon density of the land area. These emissions are allocated differently over time for </w:t>
      </w:r>
      <w:hyperlink r:id="rId59" w:anchor="vegetation-carbon-emissions" w:history="1">
        <w:r w:rsidRPr="00EE41C6">
          <w:rPr>
            <w:rFonts w:ascii="Times New Roman" w:eastAsia="SimSun" w:hAnsi="Times New Roman" w:cs="Times New Roman"/>
            <w:kern w:val="0"/>
            <w14:ligatures w14:val="none"/>
          </w:rPr>
          <w:t>vegetation</w:t>
        </w:r>
      </w:hyperlink>
      <w:r w:rsidRPr="00EE41C6">
        <w:rPr>
          <w:rFonts w:ascii="Times New Roman" w:eastAsia="SimSun" w:hAnsi="Times New Roman" w:cs="Times New Roman"/>
          <w:kern w:val="0"/>
          <w14:ligatures w14:val="none"/>
        </w:rPr>
        <w:t> and </w:t>
      </w:r>
      <w:hyperlink r:id="rId60" w:anchor="soil-carbon-emissions" w:history="1">
        <w:r w:rsidRPr="00EE41C6">
          <w:rPr>
            <w:rFonts w:ascii="Times New Roman" w:eastAsia="SimSun" w:hAnsi="Times New Roman" w:cs="Times New Roman"/>
            <w:kern w:val="0"/>
            <w14:ligatures w14:val="none"/>
          </w:rPr>
          <w:t>soil</w:t>
        </w:r>
      </w:hyperlink>
      <w:r w:rsidRPr="00EE41C6">
        <w:rPr>
          <w:rFonts w:ascii="Times New Roman" w:eastAsia="SimSun" w:hAnsi="Times New Roman" w:cs="Times New Roman"/>
          <w:kern w:val="0"/>
          <w14:ligatures w14:val="none"/>
        </w:rPr>
        <w:t> carbon.</w:t>
      </w:r>
    </w:p>
    <w:p w14:paraId="55AC2BD4" w14:textId="77777777" w:rsidR="00707CFD" w:rsidRPr="00EE41C6" w:rsidRDefault="00707CFD" w:rsidP="00707CFD">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If vegetation emissions are positive (i.e., </w:t>
      </w:r>
      <m:oMath>
        <m:sSubSup>
          <m:sSubSupPr>
            <m:ctrlPr>
              <w:rPr>
                <w:rFonts w:ascii="Cambria Math" w:eastAsia="SimSun" w:hAnsi="Cambria Math" w:cs="Times New Roman"/>
                <w:i/>
                <w:kern w:val="0"/>
                <w14:ligatures w14:val="none"/>
              </w:rPr>
            </m:ctrlPr>
          </m:sSubSupPr>
          <m:e>
            <m:r>
              <w:rPr>
                <w:rFonts w:ascii="Cambria Math" w:eastAsia="SimSun" w:hAnsi="Cambria Math" w:cs="Times New Roman"/>
                <w:kern w:val="0"/>
                <w14:ligatures w14:val="none"/>
              </w:rPr>
              <m:t>E</m:t>
            </m:r>
          </m:e>
          <m:sub>
            <m:r>
              <w:rPr>
                <w:rFonts w:ascii="Cambria Math" w:eastAsia="SimSun" w:hAnsi="Cambria Math" w:cs="Times New Roman"/>
                <w:kern w:val="0"/>
                <w14:ligatures w14:val="none"/>
              </w:rPr>
              <m:t>t</m:t>
            </m:r>
          </m:sub>
          <m:sup>
            <m:r>
              <w:rPr>
                <w:rFonts w:ascii="Cambria Math" w:eastAsia="SimSun" w:hAnsi="Cambria Math" w:cs="Times New Roman"/>
                <w:kern w:val="0"/>
                <w14:ligatures w14:val="none"/>
              </w:rPr>
              <m:t>veg</m:t>
            </m:r>
          </m:sup>
        </m:sSubSup>
        <m:r>
          <w:rPr>
            <w:rFonts w:ascii="Cambria Math" w:eastAsia="SimSun" w:hAnsi="Cambria Math" w:cs="Times New Roman"/>
            <w:kern w:val="0"/>
            <w14:ligatures w14:val="none"/>
          </w:rPr>
          <m:t>&gt;0</m:t>
        </m:r>
      </m:oMath>
      <w:r w:rsidRPr="00EE41C6">
        <w:rPr>
          <w:rFonts w:ascii="Times New Roman" w:eastAsia="SimSun" w:hAnsi="Times New Roman" w:cs="Times New Roman"/>
          <w:kern w:val="0"/>
          <w14:ligatures w14:val="none"/>
        </w:rPr>
        <w:t>), then all emissions are released in the current year </w:t>
      </w:r>
      <m:oMath>
        <m:r>
          <w:rPr>
            <w:rFonts w:ascii="Cambria Math" w:eastAsia="SimSun" w:hAnsi="Cambria Math" w:cs="Times New Roman"/>
            <w:kern w:val="0"/>
            <w14:ligatures w14:val="none"/>
          </w:rPr>
          <m:t>y</m:t>
        </m:r>
      </m:oMath>
      <w:r w:rsidRPr="00EE41C6">
        <w:rPr>
          <w:rFonts w:ascii="Times New Roman" w:eastAsia="SimSun" w:hAnsi="Times New Roman" w:cs="Times New Roman"/>
          <w:kern w:val="0"/>
          <w14:ligatures w14:val="none"/>
        </w:rPr>
        <w:t>. That is, </w:t>
      </w:r>
      <m:oMath>
        <m:sSubSup>
          <m:sSubSupPr>
            <m:ctrlPr>
              <w:rPr>
                <w:rFonts w:ascii="Cambria Math" w:eastAsia="SimSun" w:hAnsi="Cambria Math" w:cs="Times New Roman"/>
                <w:i/>
                <w:kern w:val="0"/>
                <w14:ligatures w14:val="none"/>
              </w:rPr>
            </m:ctrlPr>
          </m:sSubSupPr>
          <m:e>
            <m:r>
              <w:rPr>
                <w:rFonts w:ascii="Cambria Math" w:eastAsia="SimSun" w:hAnsi="Cambria Math" w:cs="Times New Roman"/>
                <w:kern w:val="0"/>
                <w14:ligatures w14:val="none"/>
              </w:rPr>
              <m:t>E</m:t>
            </m:r>
          </m:e>
          <m:sub>
            <m:r>
              <w:rPr>
                <w:rFonts w:ascii="Cambria Math" w:eastAsia="SimSun" w:hAnsi="Cambria Math" w:cs="Times New Roman"/>
                <w:kern w:val="0"/>
                <w14:ligatures w14:val="none"/>
              </w:rPr>
              <m:t>y</m:t>
            </m:r>
          </m:sub>
          <m:sup>
            <m:r>
              <w:rPr>
                <w:rFonts w:ascii="Cambria Math" w:eastAsia="SimSun" w:hAnsi="Cambria Math" w:cs="Times New Roman"/>
                <w:kern w:val="0"/>
                <w14:ligatures w14:val="none"/>
              </w:rPr>
              <m:t>veg</m:t>
            </m:r>
          </m:sup>
        </m:sSubSup>
        <m:r>
          <w:rPr>
            <w:rFonts w:ascii="Cambria Math" w:eastAsia="SimSun" w:hAnsi="Cambria Math" w:cs="Times New Roman"/>
            <w:kern w:val="0"/>
            <w14:ligatures w14:val="none"/>
          </w:rPr>
          <m:t>=</m:t>
        </m:r>
        <m:sSubSup>
          <m:sSubSupPr>
            <m:ctrlPr>
              <w:rPr>
                <w:rFonts w:ascii="Cambria Math" w:eastAsia="SimSun" w:hAnsi="Cambria Math" w:cs="Times New Roman"/>
                <w:i/>
                <w:kern w:val="0"/>
                <w14:ligatures w14:val="none"/>
              </w:rPr>
            </m:ctrlPr>
          </m:sSubSupPr>
          <m:e>
            <m:r>
              <w:rPr>
                <w:rFonts w:ascii="Cambria Math" w:eastAsia="SimSun" w:hAnsi="Cambria Math" w:cs="Times New Roman"/>
                <w:kern w:val="0"/>
                <w14:ligatures w14:val="none"/>
              </w:rPr>
              <m:t>E</m:t>
            </m:r>
          </m:e>
          <m:sub>
            <m:r>
              <w:rPr>
                <w:rFonts w:ascii="Cambria Math" w:eastAsia="SimSun" w:hAnsi="Cambria Math" w:cs="Times New Roman"/>
                <w:kern w:val="0"/>
                <w14:ligatures w14:val="none"/>
              </w:rPr>
              <m:t>t</m:t>
            </m:r>
          </m:sub>
          <m:sup>
            <m:r>
              <w:rPr>
                <w:rFonts w:ascii="Cambria Math" w:eastAsia="SimSun" w:hAnsi="Cambria Math" w:cs="Times New Roman"/>
                <w:kern w:val="0"/>
                <w14:ligatures w14:val="none"/>
              </w:rPr>
              <m:t>veg</m:t>
            </m:r>
          </m:sup>
        </m:sSubSup>
      </m:oMath>
      <w:r w:rsidRPr="00EE41C6">
        <w:rPr>
          <w:rFonts w:ascii="Times New Roman" w:eastAsia="SimSun" w:hAnsi="Times New Roman" w:cs="Times New Roman"/>
          <w:kern w:val="0"/>
          <w14:ligatures w14:val="none"/>
        </w:rPr>
        <w:t>.</w:t>
      </w:r>
    </w:p>
    <w:p w14:paraId="491A4F03" w14:textId="2D17B47C" w:rsidR="00707CFD" w:rsidRPr="00EE41C6" w:rsidRDefault="00707CFD" w:rsidP="00707CFD">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If vegetation emissions are negative, then these emissions are spread over time using a sigmoid function (Supplementary Equation 5):</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2"/>
        <w:gridCol w:w="1778"/>
      </w:tblGrid>
      <w:tr w:rsidR="00707CFD" w:rsidRPr="00EE41C6" w14:paraId="76C8474F" w14:textId="77777777" w:rsidTr="00C30C93">
        <w:tc>
          <w:tcPr>
            <w:tcW w:w="7758" w:type="dxa"/>
          </w:tcPr>
          <w:p w14:paraId="11560E9E" w14:textId="77777777" w:rsidR="00707CFD" w:rsidRPr="00EE41C6" w:rsidRDefault="00000000" w:rsidP="00C30C93">
            <w:pPr>
              <w:spacing w:line="480" w:lineRule="auto"/>
              <w:rPr>
                <w:rFonts w:ascii="Times New Roman" w:eastAsia="SimSun" w:hAnsi="Times New Roman" w:cs="Times New Roman"/>
              </w:rPr>
            </w:pPr>
            <m:oMathPara>
              <m:oMathParaPr>
                <m:jc m:val="left"/>
              </m:oMathParaPr>
              <m:oMath>
                <m:sSubSup>
                  <m:sSubSupPr>
                    <m:ctrlPr>
                      <w:rPr>
                        <w:rFonts w:ascii="Cambria Math" w:eastAsia="SimSun" w:hAnsi="Cambria Math" w:cs="Times New Roman"/>
                        <w:i/>
                      </w:rPr>
                    </m:ctrlPr>
                  </m:sSubSupPr>
                  <m:e>
                    <m:r>
                      <w:rPr>
                        <w:rFonts w:ascii="Cambria Math" w:eastAsia="SimSun" w:hAnsi="Cambria Math" w:cs="Times New Roman"/>
                      </w:rPr>
                      <m:t>E</m:t>
                    </m:r>
                  </m:e>
                  <m:sub>
                    <m:r>
                      <w:rPr>
                        <w:rFonts w:ascii="Cambria Math" w:eastAsia="SimSun" w:hAnsi="Cambria Math" w:cs="Times New Roman"/>
                      </w:rPr>
                      <m:t>y</m:t>
                    </m:r>
                  </m:sub>
                  <m:sup>
                    <m:r>
                      <w:rPr>
                        <w:rFonts w:ascii="Cambria Math" w:eastAsia="SimSun" w:hAnsi="Cambria Math" w:cs="Times New Roman"/>
                      </w:rPr>
                      <m:t>veg</m:t>
                    </m:r>
                  </m:sup>
                </m:sSubSup>
                <m:r>
                  <w:rPr>
                    <w:rFonts w:ascii="Cambria Math" w:eastAsia="SimSun" w:hAnsi="Cambria Math" w:cs="Times New Roman"/>
                  </w:rPr>
                  <m:t>=</m:t>
                </m:r>
                <m:sSubSup>
                  <m:sSubSupPr>
                    <m:ctrlPr>
                      <w:rPr>
                        <w:rFonts w:ascii="Cambria Math" w:eastAsia="SimSun" w:hAnsi="Cambria Math" w:cs="Times New Roman"/>
                        <w:i/>
                      </w:rPr>
                    </m:ctrlPr>
                  </m:sSubSupPr>
                  <m:e>
                    <m:r>
                      <w:rPr>
                        <w:rFonts w:ascii="Cambria Math" w:eastAsia="SimSun" w:hAnsi="Cambria Math" w:cs="Times New Roman"/>
                      </w:rPr>
                      <m:t>E</m:t>
                    </m:r>
                  </m:e>
                  <m:sub>
                    <m:r>
                      <w:rPr>
                        <w:rFonts w:ascii="Cambria Math" w:eastAsia="SimSun" w:hAnsi="Cambria Math" w:cs="Times New Roman"/>
                      </w:rPr>
                      <m:t>t</m:t>
                    </m:r>
                  </m:sub>
                  <m:sup>
                    <m:r>
                      <w:rPr>
                        <w:rFonts w:ascii="Cambria Math" w:eastAsia="SimSun" w:hAnsi="Cambria Math" w:cs="Times New Roman"/>
                      </w:rPr>
                      <m:t>veg</m:t>
                    </m:r>
                  </m:sup>
                </m:sSubSup>
                <m:r>
                  <w:rPr>
                    <w:rFonts w:ascii="Cambria Math" w:eastAsia="SimSun" w:hAnsi="Cambria Math" w:cs="Times New Roman"/>
                  </w:rPr>
                  <m:t>*</m:t>
                </m:r>
                <m:sSup>
                  <m:sSupPr>
                    <m:ctrlPr>
                      <w:rPr>
                        <w:rFonts w:ascii="Cambria Math" w:eastAsia="SimSun" w:hAnsi="Cambria Math" w:cs="Times New Roman"/>
                        <w:i/>
                      </w:rPr>
                    </m:ctrlPr>
                  </m:sSupPr>
                  <m:e>
                    <m:d>
                      <m:dPr>
                        <m:begChr m:val="["/>
                        <m:endChr m:val="]"/>
                        <m:ctrlPr>
                          <w:rPr>
                            <w:rFonts w:ascii="Cambria Math" w:eastAsia="SimSun" w:hAnsi="Cambria Math" w:cs="Times New Roman"/>
                            <w:i/>
                          </w:rPr>
                        </m:ctrlPr>
                      </m:dPr>
                      <m:e>
                        <m:r>
                          <w:rPr>
                            <w:rFonts w:ascii="Cambria Math" w:eastAsia="SimSun" w:hAnsi="Cambria Math" w:cs="Times New Roman"/>
                          </w:rPr>
                          <m:t>1-</m:t>
                        </m:r>
                        <m:sSup>
                          <m:sSupPr>
                            <m:ctrlPr>
                              <w:rPr>
                                <w:rFonts w:ascii="Cambria Math" w:eastAsia="SimSun" w:hAnsi="Cambria Math" w:cs="Times New Roman"/>
                                <w:i/>
                              </w:rPr>
                            </m:ctrlPr>
                          </m:sSupPr>
                          <m:e>
                            <m:r>
                              <w:rPr>
                                <w:rFonts w:ascii="Cambria Math" w:eastAsia="SimSun" w:hAnsi="Cambria Math" w:cs="Times New Roman"/>
                              </w:rPr>
                              <m:t>e</m:t>
                            </m:r>
                          </m:e>
                          <m:sup>
                            <m:f>
                              <m:fPr>
                                <m:ctrlPr>
                                  <w:rPr>
                                    <w:rFonts w:ascii="Cambria Math" w:eastAsia="SimSun" w:hAnsi="Cambria Math" w:cs="Times New Roman"/>
                                    <w:i/>
                                  </w:rPr>
                                </m:ctrlPr>
                              </m:fPr>
                              <m:num>
                                <m:r>
                                  <w:rPr>
                                    <w:rFonts w:ascii="Cambria Math" w:eastAsia="SimSun" w:hAnsi="Cambria Math" w:cs="Times New Roman"/>
                                  </w:rPr>
                                  <m:t>-3.0*</m:t>
                                </m:r>
                                <m:d>
                                  <m:dPr>
                                    <m:ctrlPr>
                                      <w:rPr>
                                        <w:rFonts w:ascii="Cambria Math" w:eastAsia="SimSun" w:hAnsi="Cambria Math" w:cs="Times New Roman"/>
                                        <w:i/>
                                      </w:rPr>
                                    </m:ctrlPr>
                                  </m:dPr>
                                  <m:e>
                                    <m:r>
                                      <w:rPr>
                                        <w:rFonts w:ascii="Cambria Math" w:eastAsia="SimSun" w:hAnsi="Cambria Math" w:cs="Times New Roman"/>
                                      </w:rPr>
                                      <m:t>y-t+1</m:t>
                                    </m:r>
                                  </m:e>
                                </m:d>
                              </m:num>
                              <m:den>
                                <m:r>
                                  <w:rPr>
                                    <w:rFonts w:ascii="Cambria Math" w:eastAsia="SimSun" w:hAnsi="Cambria Math" w:cs="Times New Roman"/>
                                  </w:rPr>
                                  <m:t>M</m:t>
                                </m:r>
                              </m:den>
                            </m:f>
                          </m:sup>
                        </m:sSup>
                      </m:e>
                    </m:d>
                  </m:e>
                  <m:sup>
                    <m:r>
                      <w:rPr>
                        <w:rFonts w:ascii="Cambria Math" w:eastAsia="SimSun" w:hAnsi="Cambria Math" w:cs="Times New Roman"/>
                      </w:rPr>
                      <m:t>2</m:t>
                    </m:r>
                  </m:sup>
                </m:sSup>
                <m:r>
                  <w:rPr>
                    <w:rFonts w:ascii="Cambria Math" w:eastAsia="SimSun" w:hAnsi="Cambria Math" w:cs="Times New Roman"/>
                  </w:rPr>
                  <m:t>-</m:t>
                </m:r>
                <m:sSup>
                  <m:sSupPr>
                    <m:ctrlPr>
                      <w:rPr>
                        <w:rFonts w:ascii="Cambria Math" w:eastAsia="SimSun" w:hAnsi="Cambria Math" w:cs="Times New Roman"/>
                        <w:i/>
                      </w:rPr>
                    </m:ctrlPr>
                  </m:sSupPr>
                  <m:e>
                    <m:d>
                      <m:dPr>
                        <m:begChr m:val="["/>
                        <m:endChr m:val="]"/>
                        <m:ctrlPr>
                          <w:rPr>
                            <w:rFonts w:ascii="Cambria Math" w:eastAsia="SimSun" w:hAnsi="Cambria Math" w:cs="Times New Roman"/>
                            <w:i/>
                          </w:rPr>
                        </m:ctrlPr>
                      </m:dPr>
                      <m:e>
                        <m:r>
                          <w:rPr>
                            <w:rFonts w:ascii="Cambria Math" w:eastAsia="SimSun" w:hAnsi="Cambria Math" w:cs="Times New Roman"/>
                          </w:rPr>
                          <m:t>1-</m:t>
                        </m:r>
                        <m:sSup>
                          <m:sSupPr>
                            <m:ctrlPr>
                              <w:rPr>
                                <w:rFonts w:ascii="Cambria Math" w:eastAsia="SimSun" w:hAnsi="Cambria Math" w:cs="Times New Roman"/>
                                <w:i/>
                              </w:rPr>
                            </m:ctrlPr>
                          </m:sSupPr>
                          <m:e>
                            <m:r>
                              <w:rPr>
                                <w:rFonts w:ascii="Cambria Math" w:eastAsia="SimSun" w:hAnsi="Cambria Math" w:cs="Times New Roman"/>
                              </w:rPr>
                              <m:t>e</m:t>
                            </m:r>
                          </m:e>
                          <m:sup>
                            <m:f>
                              <m:fPr>
                                <m:ctrlPr>
                                  <w:rPr>
                                    <w:rFonts w:ascii="Cambria Math" w:eastAsia="SimSun" w:hAnsi="Cambria Math" w:cs="Times New Roman"/>
                                    <w:i/>
                                  </w:rPr>
                                </m:ctrlPr>
                              </m:fPr>
                              <m:num>
                                <m:r>
                                  <w:rPr>
                                    <w:rFonts w:ascii="Cambria Math" w:eastAsia="SimSun" w:hAnsi="Cambria Math" w:cs="Times New Roman"/>
                                  </w:rPr>
                                  <m:t>-3.0*</m:t>
                                </m:r>
                                <m:d>
                                  <m:dPr>
                                    <m:ctrlPr>
                                      <w:rPr>
                                        <w:rFonts w:ascii="Cambria Math" w:eastAsia="SimSun" w:hAnsi="Cambria Math" w:cs="Times New Roman"/>
                                        <w:i/>
                                      </w:rPr>
                                    </m:ctrlPr>
                                  </m:dPr>
                                  <m:e>
                                    <m:r>
                                      <w:rPr>
                                        <w:rFonts w:ascii="Cambria Math" w:eastAsia="SimSun" w:hAnsi="Cambria Math" w:cs="Times New Roman"/>
                                      </w:rPr>
                                      <m:t>y-t</m:t>
                                    </m:r>
                                  </m:e>
                                </m:d>
                              </m:num>
                              <m:den>
                                <m:r>
                                  <w:rPr>
                                    <w:rFonts w:ascii="Cambria Math" w:eastAsia="SimSun" w:hAnsi="Cambria Math" w:cs="Times New Roman"/>
                                  </w:rPr>
                                  <m:t>M</m:t>
                                </m:r>
                              </m:den>
                            </m:f>
                          </m:sup>
                        </m:sSup>
                      </m:e>
                    </m:d>
                  </m:e>
                  <m:sup>
                    <m:r>
                      <w:rPr>
                        <w:rFonts w:ascii="Cambria Math" w:eastAsia="SimSun" w:hAnsi="Cambria Math" w:cs="Times New Roman"/>
                      </w:rPr>
                      <m:t>2</m:t>
                    </m:r>
                  </m:sup>
                </m:sSup>
              </m:oMath>
            </m:oMathPara>
          </w:p>
        </w:tc>
        <w:tc>
          <w:tcPr>
            <w:tcW w:w="1818" w:type="dxa"/>
          </w:tcPr>
          <w:p w14:paraId="2D7B85C9" w14:textId="1786C16C" w:rsidR="00707CFD" w:rsidRPr="00EE41C6" w:rsidRDefault="00707CFD" w:rsidP="00C30C93">
            <w:pPr>
              <w:spacing w:after="160" w:line="480" w:lineRule="auto"/>
              <w:jc w:val="right"/>
              <w:rPr>
                <w:rFonts w:ascii="Times New Roman" w:eastAsia="SimSun" w:hAnsi="Times New Roman" w:cs="Times New Roman"/>
                <w:kern w:val="2"/>
                <w14:ligatures w14:val="standardContextual"/>
              </w:rPr>
            </w:pPr>
            <w:r w:rsidRPr="00EE41C6">
              <w:rPr>
                <w:rFonts w:ascii="Times New Roman" w:eastAsia="SimSun" w:hAnsi="Times New Roman" w:cs="Times New Roman"/>
                <w:kern w:val="2"/>
                <w14:ligatures w14:val="standardContextual"/>
              </w:rPr>
              <w:t>(5)</w:t>
            </w:r>
          </w:p>
        </w:tc>
      </w:tr>
    </w:tbl>
    <w:p w14:paraId="7C6492FD" w14:textId="77777777" w:rsidR="00707CFD" w:rsidRPr="00EE41C6" w:rsidRDefault="00707CFD" w:rsidP="00707CFD">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where </w:t>
      </w:r>
      <m:oMath>
        <m:r>
          <w:rPr>
            <w:rFonts w:ascii="Cambria Math" w:eastAsia="SimSun" w:hAnsi="Cambria Math" w:cs="Times New Roman"/>
            <w:kern w:val="0"/>
            <w14:ligatures w14:val="none"/>
          </w:rPr>
          <m:t>t</m:t>
        </m:r>
      </m:oMath>
      <w:r w:rsidRPr="00EE41C6">
        <w:rPr>
          <w:rFonts w:ascii="Times New Roman" w:eastAsia="SimSun" w:hAnsi="Times New Roman" w:cs="Times New Roman"/>
          <w:kern w:val="0"/>
          <w14:ligatures w14:val="none"/>
        </w:rPr>
        <w:t> is the time of land conversion, </w:t>
      </w:r>
      <m:oMath>
        <m:r>
          <w:rPr>
            <w:rFonts w:ascii="Cambria Math" w:eastAsia="SimSun" w:hAnsi="Cambria Math" w:cs="Times New Roman"/>
            <w:kern w:val="0"/>
            <w14:ligatures w14:val="none"/>
          </w:rPr>
          <m:t>y</m:t>
        </m:r>
      </m:oMath>
      <w:r w:rsidRPr="00EE41C6">
        <w:rPr>
          <w:rFonts w:ascii="Times New Roman" w:eastAsia="SimSun" w:hAnsi="Times New Roman" w:cs="Times New Roman"/>
          <w:kern w:val="0"/>
          <w14:ligatures w14:val="none"/>
        </w:rPr>
        <w:t> is the current year, and </w:t>
      </w:r>
      <m:oMath>
        <m:r>
          <w:rPr>
            <w:rFonts w:ascii="Cambria Math" w:eastAsia="SimSun" w:hAnsi="Cambria Math" w:cs="Times New Roman"/>
            <w:kern w:val="0"/>
            <w14:ligatures w14:val="none"/>
          </w:rPr>
          <m:t>M</m:t>
        </m:r>
      </m:oMath>
      <w:r w:rsidRPr="00EE41C6">
        <w:rPr>
          <w:rFonts w:ascii="Times New Roman" w:eastAsia="SimSun" w:hAnsi="Times New Roman" w:cs="Times New Roman"/>
          <w:kern w:val="0"/>
          <w14:ligatures w14:val="none"/>
        </w:rPr>
        <w:t> is the mature age (specified by land type and region).</w:t>
      </w:r>
    </w:p>
    <w:p w14:paraId="3967E654" w14:textId="41090B8D" w:rsidR="00707CFD" w:rsidRPr="00EE41C6" w:rsidRDefault="00707CFD" w:rsidP="00707CFD">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Soil carbon emissions followed an exponential approach (Supplementary Equation 6):</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3"/>
        <w:gridCol w:w="1777"/>
      </w:tblGrid>
      <w:tr w:rsidR="00707CFD" w:rsidRPr="00EE41C6" w14:paraId="4B3F6CBF" w14:textId="77777777" w:rsidTr="00C30C93">
        <w:tc>
          <w:tcPr>
            <w:tcW w:w="7758" w:type="dxa"/>
          </w:tcPr>
          <w:p w14:paraId="61FBE613" w14:textId="77777777" w:rsidR="00707CFD" w:rsidRPr="00EE41C6" w:rsidRDefault="00000000" w:rsidP="00C30C93">
            <w:pPr>
              <w:spacing w:line="480" w:lineRule="auto"/>
              <w:rPr>
                <w:rFonts w:ascii="Times New Roman" w:eastAsia="SimSun" w:hAnsi="Times New Roman" w:cs="Times New Roman"/>
              </w:rPr>
            </w:pPr>
            <m:oMathPara>
              <m:oMathParaPr>
                <m:jc m:val="left"/>
              </m:oMathParaPr>
              <m:oMath>
                <m:sSubSup>
                  <m:sSubSupPr>
                    <m:ctrlPr>
                      <w:rPr>
                        <w:rFonts w:ascii="Cambria Math" w:eastAsia="SimSun" w:hAnsi="Cambria Math" w:cs="Times New Roman"/>
                        <w:i/>
                      </w:rPr>
                    </m:ctrlPr>
                  </m:sSubSupPr>
                  <m:e>
                    <m:r>
                      <w:rPr>
                        <w:rFonts w:ascii="Cambria Math" w:eastAsia="SimSun" w:hAnsi="Cambria Math" w:cs="Times New Roman"/>
                      </w:rPr>
                      <m:t>E</m:t>
                    </m:r>
                  </m:e>
                  <m:sub>
                    <m:r>
                      <w:rPr>
                        <w:rFonts w:ascii="Cambria Math" w:eastAsia="SimSun" w:hAnsi="Cambria Math" w:cs="Times New Roman"/>
                      </w:rPr>
                      <m:t>y</m:t>
                    </m:r>
                  </m:sub>
                  <m:sup>
                    <m:r>
                      <w:rPr>
                        <w:rFonts w:ascii="Cambria Math" w:eastAsia="SimSun" w:hAnsi="Cambria Math" w:cs="Times New Roman"/>
                      </w:rPr>
                      <m:t>soil</m:t>
                    </m:r>
                  </m:sup>
                </m:sSubSup>
                <m:r>
                  <w:rPr>
                    <w:rFonts w:ascii="Cambria Math" w:eastAsia="SimSun" w:hAnsi="Cambria Math" w:cs="Times New Roman"/>
                  </w:rPr>
                  <m:t>=</m:t>
                </m:r>
                <m:sSubSup>
                  <m:sSubSupPr>
                    <m:ctrlPr>
                      <w:rPr>
                        <w:rFonts w:ascii="Cambria Math" w:eastAsia="SimSun" w:hAnsi="Cambria Math" w:cs="Times New Roman"/>
                        <w:i/>
                      </w:rPr>
                    </m:ctrlPr>
                  </m:sSubSupPr>
                  <m:e>
                    <m:r>
                      <w:rPr>
                        <w:rFonts w:ascii="Cambria Math" w:eastAsia="SimSun" w:hAnsi="Cambria Math" w:cs="Times New Roman"/>
                      </w:rPr>
                      <m:t>E</m:t>
                    </m:r>
                  </m:e>
                  <m:sub>
                    <m:r>
                      <w:rPr>
                        <w:rFonts w:ascii="Cambria Math" w:eastAsia="SimSun" w:hAnsi="Cambria Math" w:cs="Times New Roman"/>
                      </w:rPr>
                      <m:t>t</m:t>
                    </m:r>
                  </m:sub>
                  <m:sup>
                    <m:r>
                      <w:rPr>
                        <w:rFonts w:ascii="Cambria Math" w:eastAsia="SimSun" w:hAnsi="Cambria Math" w:cs="Times New Roman"/>
                      </w:rPr>
                      <m:t>soil</m:t>
                    </m:r>
                  </m:sup>
                </m:sSubSup>
                <m:r>
                  <w:rPr>
                    <w:rFonts w:ascii="Cambria Math" w:eastAsia="SimSun" w:hAnsi="Cambria Math" w:cs="Times New Roman"/>
                  </w:rPr>
                  <m:t>*</m:t>
                </m:r>
                <m:d>
                  <m:dPr>
                    <m:begChr m:val="["/>
                    <m:endChr m:val="]"/>
                    <m:ctrlPr>
                      <w:rPr>
                        <w:rFonts w:ascii="Cambria Math" w:eastAsia="SimSun" w:hAnsi="Cambria Math" w:cs="Times New Roman"/>
                        <w:i/>
                      </w:rPr>
                    </m:ctrlPr>
                  </m:dPr>
                  <m:e>
                    <m:d>
                      <m:dPr>
                        <m:ctrlPr>
                          <w:rPr>
                            <w:rFonts w:ascii="Cambria Math" w:eastAsia="SimSun" w:hAnsi="Cambria Math" w:cs="Times New Roman"/>
                            <w:i/>
                          </w:rPr>
                        </m:ctrlPr>
                      </m:dPr>
                      <m:e>
                        <m:r>
                          <w:rPr>
                            <w:rFonts w:ascii="Cambria Math" w:eastAsia="SimSun" w:hAnsi="Cambria Math" w:cs="Times New Roman"/>
                          </w:rPr>
                          <m:t>1.0-</m:t>
                        </m:r>
                        <m:sSup>
                          <m:sSupPr>
                            <m:ctrlPr>
                              <w:rPr>
                                <w:rFonts w:ascii="Cambria Math" w:eastAsia="SimSun" w:hAnsi="Cambria Math" w:cs="Times New Roman"/>
                                <w:i/>
                              </w:rPr>
                            </m:ctrlPr>
                          </m:sSupPr>
                          <m:e>
                            <m:r>
                              <w:rPr>
                                <w:rFonts w:ascii="Cambria Math" w:eastAsia="SimSun" w:hAnsi="Cambria Math" w:cs="Times New Roman"/>
                              </w:rPr>
                              <m:t>e</m:t>
                            </m:r>
                          </m:e>
                          <m:sup>
                            <m:r>
                              <w:rPr>
                                <w:rFonts w:ascii="Cambria Math" w:eastAsia="SimSun" w:hAnsi="Cambria Math" w:cs="Times New Roman"/>
                              </w:rPr>
                              <m:t>-1.0*κ*(y-t)</m:t>
                            </m:r>
                          </m:sup>
                        </m:sSup>
                      </m:e>
                    </m:d>
                    <m:r>
                      <w:rPr>
                        <w:rFonts w:ascii="Cambria Math" w:eastAsia="SimSun" w:hAnsi="Cambria Math" w:cs="Times New Roman"/>
                      </w:rPr>
                      <m:t>-</m:t>
                    </m:r>
                    <m:d>
                      <m:dPr>
                        <m:ctrlPr>
                          <w:rPr>
                            <w:rFonts w:ascii="Cambria Math" w:eastAsia="SimSun" w:hAnsi="Cambria Math" w:cs="Times New Roman"/>
                            <w:i/>
                          </w:rPr>
                        </m:ctrlPr>
                      </m:dPr>
                      <m:e>
                        <m:r>
                          <w:rPr>
                            <w:rFonts w:ascii="Cambria Math" w:eastAsia="SimSun" w:hAnsi="Cambria Math" w:cs="Times New Roman"/>
                          </w:rPr>
                          <m:t>1.0-</m:t>
                        </m:r>
                        <m:sSup>
                          <m:sSupPr>
                            <m:ctrlPr>
                              <w:rPr>
                                <w:rFonts w:ascii="Cambria Math" w:eastAsia="SimSun" w:hAnsi="Cambria Math" w:cs="Times New Roman"/>
                                <w:i/>
                              </w:rPr>
                            </m:ctrlPr>
                          </m:sSupPr>
                          <m:e>
                            <m:r>
                              <w:rPr>
                                <w:rFonts w:ascii="Cambria Math" w:eastAsia="SimSun" w:hAnsi="Cambria Math" w:cs="Times New Roman"/>
                              </w:rPr>
                              <m:t>e</m:t>
                            </m:r>
                          </m:e>
                          <m:sup>
                            <m:r>
                              <w:rPr>
                                <w:rFonts w:ascii="Cambria Math" w:eastAsia="SimSun" w:hAnsi="Cambria Math" w:cs="Times New Roman"/>
                              </w:rPr>
                              <m:t>-1.0*κ*(y-t-1)</m:t>
                            </m:r>
                          </m:sup>
                        </m:sSup>
                      </m:e>
                    </m:d>
                  </m:e>
                </m:d>
              </m:oMath>
            </m:oMathPara>
          </w:p>
        </w:tc>
        <w:tc>
          <w:tcPr>
            <w:tcW w:w="1818" w:type="dxa"/>
          </w:tcPr>
          <w:p w14:paraId="17B664A3" w14:textId="0080244D" w:rsidR="00707CFD" w:rsidRPr="00EE41C6" w:rsidRDefault="00707CFD" w:rsidP="00C30C93">
            <w:pPr>
              <w:spacing w:after="160" w:line="480" w:lineRule="auto"/>
              <w:jc w:val="right"/>
              <w:rPr>
                <w:rFonts w:ascii="Times New Roman" w:eastAsia="SimSun" w:hAnsi="Times New Roman" w:cs="Times New Roman"/>
                <w:kern w:val="2"/>
                <w14:ligatures w14:val="standardContextual"/>
              </w:rPr>
            </w:pPr>
            <w:r w:rsidRPr="00EE41C6">
              <w:rPr>
                <w:rFonts w:ascii="Times New Roman" w:eastAsia="SimSun" w:hAnsi="Times New Roman" w:cs="Times New Roman"/>
                <w:kern w:val="2"/>
                <w14:ligatures w14:val="standardContextual"/>
              </w:rPr>
              <w:t>(6)</w:t>
            </w:r>
          </w:p>
        </w:tc>
      </w:tr>
    </w:tbl>
    <w:p w14:paraId="5B3BC9AE" w14:textId="77777777" w:rsidR="00707CFD" w:rsidRPr="00EE41C6" w:rsidRDefault="00707CFD" w:rsidP="00707CFD">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where </w:t>
      </w:r>
      <m:oMath>
        <m:r>
          <w:rPr>
            <w:rFonts w:ascii="Cambria Math" w:eastAsia="SimSun" w:hAnsi="Cambria Math" w:cs="Times New Roman"/>
            <w:kern w:val="0"/>
            <w14:ligatures w14:val="none"/>
          </w:rPr>
          <m:t>κ=</m:t>
        </m:r>
        <m:f>
          <m:fPr>
            <m:ctrlPr>
              <w:rPr>
                <w:rFonts w:ascii="Cambria Math" w:eastAsia="SimSun" w:hAnsi="Cambria Math" w:cs="Times New Roman"/>
                <w:i/>
                <w:kern w:val="0"/>
                <w14:ligatures w14:val="none"/>
              </w:rPr>
            </m:ctrlPr>
          </m:fPr>
          <m:num>
            <m:func>
              <m:funcPr>
                <m:ctrlPr>
                  <w:rPr>
                    <w:rFonts w:ascii="Cambria Math" w:eastAsia="SimSun" w:hAnsi="Cambria Math" w:cs="Times New Roman"/>
                    <w:i/>
                    <w:kern w:val="0"/>
                    <w14:ligatures w14:val="none"/>
                  </w:rPr>
                </m:ctrlPr>
              </m:funcPr>
              <m:fName>
                <m:r>
                  <m:rPr>
                    <m:sty m:val="p"/>
                  </m:rPr>
                  <w:rPr>
                    <w:rFonts w:ascii="Cambria Math" w:eastAsia="SimSun" w:hAnsi="Cambria Math" w:cs="Times New Roman"/>
                    <w:kern w:val="0"/>
                    <w14:ligatures w14:val="none"/>
                  </w:rPr>
                  <m:t>log</m:t>
                </m:r>
              </m:fName>
              <m:e>
                <m:r>
                  <w:rPr>
                    <w:rFonts w:ascii="Cambria Math" w:eastAsia="SimSun" w:hAnsi="Cambria Math" w:cs="Times New Roman"/>
                    <w:kern w:val="0"/>
                    <w14:ligatures w14:val="none"/>
                  </w:rPr>
                  <m:t>(2)</m:t>
                </m:r>
              </m:e>
            </m:func>
          </m:num>
          <m:den>
            <m:f>
              <m:fPr>
                <m:type m:val="lin"/>
                <m:ctrlPr>
                  <w:rPr>
                    <w:rFonts w:ascii="Cambria Math" w:eastAsia="SimSun" w:hAnsi="Cambria Math" w:cs="Times New Roman"/>
                    <w:i/>
                    <w:kern w:val="0"/>
                    <w14:ligatures w14:val="none"/>
                  </w:rPr>
                </m:ctrlPr>
              </m:fPr>
              <m:num>
                <m:r>
                  <w:rPr>
                    <w:rFonts w:ascii="Cambria Math" w:eastAsia="SimSun" w:hAnsi="Cambria Math" w:cs="Times New Roman"/>
                    <w:kern w:val="0"/>
                    <w14:ligatures w14:val="none"/>
                  </w:rPr>
                  <m:t>s</m:t>
                </m:r>
              </m:num>
              <m:den>
                <m:r>
                  <w:rPr>
                    <w:rFonts w:ascii="Cambria Math" w:eastAsia="SimSun" w:hAnsi="Cambria Math" w:cs="Times New Roman"/>
                    <w:kern w:val="0"/>
                    <w14:ligatures w14:val="none"/>
                  </w:rPr>
                  <m:t>10.0</m:t>
                </m:r>
              </m:den>
            </m:f>
          </m:den>
        </m:f>
      </m:oMath>
      <w:r w:rsidRPr="00EE41C6">
        <w:rPr>
          <w:rFonts w:ascii="Times New Roman" w:eastAsia="SimSun" w:hAnsi="Times New Roman" w:cs="Times New Roman"/>
          <w:kern w:val="0"/>
          <w14:ligatures w14:val="none"/>
        </w:rPr>
        <w:t> and </w:t>
      </w:r>
      <m:oMath>
        <m:r>
          <w:rPr>
            <w:rFonts w:ascii="Cambria Math" w:eastAsia="SimSun" w:hAnsi="Cambria Math" w:cs="Times New Roman"/>
            <w:kern w:val="0"/>
            <w14:ligatures w14:val="none"/>
          </w:rPr>
          <m:t>s</m:t>
        </m:r>
      </m:oMath>
      <w:r w:rsidRPr="00EE41C6">
        <w:rPr>
          <w:rFonts w:ascii="Times New Roman" w:eastAsia="SimSun" w:hAnsi="Times New Roman" w:cs="Times New Roman"/>
          <w:kern w:val="0"/>
          <w14:ligatures w14:val="none"/>
        </w:rPr>
        <w:t> is the soil time scale, specified by region.</w:t>
      </w:r>
    </w:p>
    <w:p w14:paraId="1FB50070" w14:textId="59A989E2" w:rsidR="00707CFD" w:rsidRPr="00EE41C6" w:rsidRDefault="00707CFD" w:rsidP="00707CFD">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Total carbon stock, </w:t>
      </w:r>
      <m:oMath>
        <m:sSub>
          <m:sSubPr>
            <m:ctrlPr>
              <w:rPr>
                <w:rFonts w:ascii="Cambria Math" w:eastAsia="SimSun" w:hAnsi="Cambria Math" w:cs="Times New Roman"/>
                <w:i/>
                <w:kern w:val="0"/>
                <w14:ligatures w14:val="none"/>
              </w:rPr>
            </m:ctrlPr>
          </m:sSubPr>
          <m:e>
            <m:r>
              <w:rPr>
                <w:rFonts w:ascii="Cambria Math" w:eastAsia="SimSun" w:hAnsi="Cambria Math" w:cs="Times New Roman"/>
                <w:kern w:val="0"/>
                <w14:ligatures w14:val="none"/>
              </w:rPr>
              <m:t>C</m:t>
            </m:r>
          </m:e>
          <m:sub>
            <m:r>
              <w:rPr>
                <w:rFonts w:ascii="Cambria Math" w:eastAsia="SimSun" w:hAnsi="Cambria Math" w:cs="Times New Roman"/>
                <w:kern w:val="0"/>
                <w14:ligatures w14:val="none"/>
              </w:rPr>
              <m:t>y</m:t>
            </m:r>
          </m:sub>
        </m:sSub>
      </m:oMath>
      <w:r w:rsidRPr="00EE41C6">
        <w:rPr>
          <w:rFonts w:ascii="Times New Roman" w:eastAsia="SimSun" w:hAnsi="Times New Roman" w:cs="Times New Roman"/>
          <w:kern w:val="0"/>
          <w14:ligatures w14:val="none"/>
        </w:rPr>
        <w:t> in year, </w:t>
      </w:r>
      <m:oMath>
        <m:r>
          <w:rPr>
            <w:rFonts w:ascii="Cambria Math" w:eastAsia="SimSun" w:hAnsi="Cambria Math" w:cs="Times New Roman"/>
            <w:kern w:val="0"/>
            <w14:ligatures w14:val="none"/>
          </w:rPr>
          <m:t>y</m:t>
        </m:r>
      </m:oMath>
      <w:r w:rsidRPr="00EE41C6">
        <w:rPr>
          <w:rFonts w:ascii="Times New Roman" w:eastAsia="SimSun" w:hAnsi="Times New Roman" w:cs="Times New Roman"/>
          <w:kern w:val="0"/>
          <w14:ligatures w14:val="none"/>
        </w:rPr>
        <w:t> is calculated as (Supplementary Equation 7):</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8"/>
        <w:gridCol w:w="1782"/>
      </w:tblGrid>
      <w:tr w:rsidR="00707CFD" w:rsidRPr="00EE41C6" w14:paraId="67C344DC" w14:textId="77777777" w:rsidTr="00C30C93">
        <w:tc>
          <w:tcPr>
            <w:tcW w:w="7758" w:type="dxa"/>
          </w:tcPr>
          <w:p w14:paraId="7DDE958F" w14:textId="77777777" w:rsidR="00707CFD" w:rsidRPr="00EE41C6" w:rsidRDefault="00000000" w:rsidP="00C30C93">
            <w:pPr>
              <w:spacing w:line="480" w:lineRule="auto"/>
              <w:rPr>
                <w:rFonts w:ascii="Times New Roman" w:eastAsia="SimSun" w:hAnsi="Times New Roman" w:cs="Times New Roman"/>
              </w:rPr>
            </w:pPr>
            <m:oMathPara>
              <m:oMathParaPr>
                <m:jc m:val="left"/>
              </m:oMathParaPr>
              <m:oMath>
                <m:sSub>
                  <m:sSubPr>
                    <m:ctrlPr>
                      <w:rPr>
                        <w:rFonts w:ascii="Cambria Math" w:eastAsia="SimSun" w:hAnsi="Cambria Math" w:cs="Times New Roman"/>
                        <w:i/>
                      </w:rPr>
                    </m:ctrlPr>
                  </m:sSubPr>
                  <m:e>
                    <m:r>
                      <w:rPr>
                        <w:rFonts w:ascii="Cambria Math" w:eastAsia="SimSun" w:hAnsi="Cambria Math" w:cs="Times New Roman"/>
                      </w:rPr>
                      <m:t>C</m:t>
                    </m:r>
                  </m:e>
                  <m:sub>
                    <m:r>
                      <w:rPr>
                        <w:rFonts w:ascii="Cambria Math" w:eastAsia="SimSun" w:hAnsi="Cambria Math" w:cs="Times New Roman"/>
                      </w:rPr>
                      <m:t>y</m:t>
                    </m:r>
                  </m:sub>
                </m:sSub>
                <m:r>
                  <w:rPr>
                    <w:rFonts w:ascii="Cambria Math" w:eastAsia="SimSun" w:hAnsi="Cambria Math" w:cs="Times New Roman"/>
                  </w:rPr>
                  <m:t>=</m:t>
                </m:r>
                <m:sSub>
                  <m:sSubPr>
                    <m:ctrlPr>
                      <w:rPr>
                        <w:rFonts w:ascii="Cambria Math" w:eastAsia="SimSun" w:hAnsi="Cambria Math" w:cs="Times New Roman"/>
                        <w:i/>
                      </w:rPr>
                    </m:ctrlPr>
                  </m:sSubPr>
                  <m:e>
                    <m:r>
                      <w:rPr>
                        <w:rFonts w:ascii="Cambria Math" w:eastAsia="SimSun" w:hAnsi="Cambria Math" w:cs="Times New Roman"/>
                      </w:rPr>
                      <m:t>C</m:t>
                    </m:r>
                  </m:e>
                  <m:sub>
                    <m:r>
                      <w:rPr>
                        <w:rFonts w:ascii="Cambria Math" w:eastAsia="SimSun" w:hAnsi="Cambria Math" w:cs="Times New Roman"/>
                      </w:rPr>
                      <m:t>y-1</m:t>
                    </m:r>
                  </m:sub>
                </m:sSub>
                <m:r>
                  <w:rPr>
                    <w:rFonts w:ascii="Cambria Math" w:eastAsia="SimSun" w:hAnsi="Cambria Math" w:cs="Times New Roman"/>
                  </w:rPr>
                  <m:t>-</m:t>
                </m:r>
                <m:d>
                  <m:dPr>
                    <m:begChr m:val="["/>
                    <m:endChr m:val="]"/>
                    <m:ctrlPr>
                      <w:rPr>
                        <w:rFonts w:ascii="Cambria Math" w:eastAsia="SimSun" w:hAnsi="Cambria Math" w:cs="Times New Roman"/>
                        <w:i/>
                      </w:rPr>
                    </m:ctrlPr>
                  </m:dPr>
                  <m:e>
                    <m:sSubSup>
                      <m:sSubSupPr>
                        <m:ctrlPr>
                          <w:rPr>
                            <w:rFonts w:ascii="Cambria Math" w:eastAsia="SimSun" w:hAnsi="Cambria Math" w:cs="Times New Roman"/>
                            <w:i/>
                          </w:rPr>
                        </m:ctrlPr>
                      </m:sSubSupPr>
                      <m:e>
                        <m:r>
                          <w:rPr>
                            <w:rFonts w:ascii="Cambria Math" w:eastAsia="SimSun" w:hAnsi="Cambria Math" w:cs="Times New Roman"/>
                          </w:rPr>
                          <m:t>E</m:t>
                        </m:r>
                      </m:e>
                      <m:sub>
                        <m:r>
                          <w:rPr>
                            <w:rFonts w:ascii="Cambria Math" w:eastAsia="SimSun" w:hAnsi="Cambria Math" w:cs="Times New Roman"/>
                          </w:rPr>
                          <m:t>y-1</m:t>
                        </m:r>
                      </m:sub>
                      <m:sup>
                        <m:r>
                          <w:rPr>
                            <w:rFonts w:ascii="Cambria Math" w:eastAsia="SimSun" w:hAnsi="Cambria Math" w:cs="Times New Roman"/>
                          </w:rPr>
                          <m:t>veg</m:t>
                        </m:r>
                      </m:sup>
                    </m:sSubSup>
                    <m:r>
                      <w:rPr>
                        <w:rFonts w:ascii="Cambria Math" w:eastAsia="SimSun" w:hAnsi="Cambria Math" w:cs="Times New Roman"/>
                      </w:rPr>
                      <m:t>+</m:t>
                    </m:r>
                    <m:sSubSup>
                      <m:sSubSupPr>
                        <m:ctrlPr>
                          <w:rPr>
                            <w:rFonts w:ascii="Cambria Math" w:eastAsia="SimSun" w:hAnsi="Cambria Math" w:cs="Times New Roman"/>
                            <w:i/>
                          </w:rPr>
                        </m:ctrlPr>
                      </m:sSubSupPr>
                      <m:e>
                        <m:r>
                          <w:rPr>
                            <w:rFonts w:ascii="Cambria Math" w:eastAsia="SimSun" w:hAnsi="Cambria Math" w:cs="Times New Roman"/>
                          </w:rPr>
                          <m:t>E</m:t>
                        </m:r>
                      </m:e>
                      <m:sub>
                        <m:r>
                          <w:rPr>
                            <w:rFonts w:ascii="Cambria Math" w:eastAsia="SimSun" w:hAnsi="Cambria Math" w:cs="Times New Roman"/>
                          </w:rPr>
                          <m:t>y-1</m:t>
                        </m:r>
                      </m:sub>
                      <m:sup>
                        <m:r>
                          <w:rPr>
                            <w:rFonts w:ascii="Cambria Math" w:eastAsia="SimSun" w:hAnsi="Cambria Math" w:cs="Times New Roman"/>
                          </w:rPr>
                          <m:t>soil</m:t>
                        </m:r>
                      </m:sup>
                    </m:sSubSup>
                  </m:e>
                </m:d>
              </m:oMath>
            </m:oMathPara>
          </w:p>
        </w:tc>
        <w:tc>
          <w:tcPr>
            <w:tcW w:w="1818" w:type="dxa"/>
          </w:tcPr>
          <w:p w14:paraId="5F1C9D16" w14:textId="2D6BA802" w:rsidR="00707CFD" w:rsidRPr="00EE41C6" w:rsidRDefault="00707CFD" w:rsidP="00C30C93">
            <w:pPr>
              <w:spacing w:after="160" w:line="480" w:lineRule="auto"/>
              <w:jc w:val="right"/>
              <w:rPr>
                <w:rFonts w:ascii="Times New Roman" w:eastAsia="SimSun" w:hAnsi="Times New Roman" w:cs="Times New Roman"/>
                <w:kern w:val="2"/>
                <w14:ligatures w14:val="standardContextual"/>
              </w:rPr>
            </w:pPr>
            <w:r w:rsidRPr="00EE41C6">
              <w:rPr>
                <w:rFonts w:ascii="Times New Roman" w:eastAsia="SimSun" w:hAnsi="Times New Roman" w:cs="Times New Roman"/>
                <w:kern w:val="2"/>
                <w14:ligatures w14:val="standardContextual"/>
              </w:rPr>
              <w:t>(7)</w:t>
            </w:r>
          </w:p>
        </w:tc>
      </w:tr>
    </w:tbl>
    <w:p w14:paraId="49358D07" w14:textId="77777777" w:rsidR="00707CFD" w:rsidRPr="00EE41C6" w:rsidRDefault="00707CFD" w:rsidP="00707CFD">
      <w:pPr>
        <w:spacing w:after="200" w:line="480" w:lineRule="auto"/>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where </w:t>
      </w:r>
      <m:oMath>
        <m:sSubSup>
          <m:sSubSupPr>
            <m:ctrlPr>
              <w:rPr>
                <w:rFonts w:ascii="Cambria Math" w:eastAsia="SimSun" w:hAnsi="Cambria Math" w:cs="Times New Roman"/>
                <w:i/>
                <w:kern w:val="0"/>
                <w14:ligatures w14:val="none"/>
              </w:rPr>
            </m:ctrlPr>
          </m:sSubSupPr>
          <m:e>
            <m:r>
              <w:rPr>
                <w:rFonts w:ascii="Cambria Math" w:eastAsia="SimSun" w:hAnsi="Cambria Math" w:cs="Times New Roman"/>
                <w:kern w:val="0"/>
                <w14:ligatures w14:val="none"/>
              </w:rPr>
              <m:t>E</m:t>
            </m:r>
          </m:e>
          <m:sub>
            <m:r>
              <w:rPr>
                <w:rFonts w:ascii="Cambria Math" w:eastAsia="SimSun" w:hAnsi="Cambria Math" w:cs="Times New Roman"/>
                <w:kern w:val="0"/>
                <w14:ligatures w14:val="none"/>
              </w:rPr>
              <m:t>y</m:t>
            </m:r>
          </m:sub>
          <m:sup>
            <m:r>
              <w:rPr>
                <w:rFonts w:ascii="Cambria Math" w:eastAsia="SimSun" w:hAnsi="Cambria Math" w:cs="Times New Roman"/>
                <w:kern w:val="0"/>
                <w14:ligatures w14:val="none"/>
              </w:rPr>
              <m:t>veg</m:t>
            </m:r>
          </m:sup>
        </m:sSubSup>
      </m:oMath>
      <w:r w:rsidRPr="00EE41C6">
        <w:rPr>
          <w:rFonts w:ascii="Times New Roman" w:eastAsia="SimSun" w:hAnsi="Times New Roman" w:cs="Times New Roman"/>
          <w:kern w:val="0"/>
          <w14:ligatures w14:val="none"/>
        </w:rPr>
        <w:t> are vegetation carbon emissions in year </w:t>
      </w:r>
      <m:oMath>
        <m:r>
          <w:rPr>
            <w:rFonts w:ascii="Cambria Math" w:eastAsia="SimSun" w:hAnsi="Cambria Math" w:cs="Times New Roman"/>
            <w:kern w:val="0"/>
            <w14:ligatures w14:val="none"/>
          </w:rPr>
          <m:t>y</m:t>
        </m:r>
      </m:oMath>
      <w:r w:rsidRPr="00EE41C6">
        <w:rPr>
          <w:rFonts w:ascii="Times New Roman" w:eastAsia="SimSun" w:hAnsi="Times New Roman" w:cs="Times New Roman"/>
          <w:kern w:val="0"/>
          <w14:ligatures w14:val="none"/>
        </w:rPr>
        <w:t> and </w:t>
      </w:r>
      <m:oMath>
        <m:sSubSup>
          <m:sSubSupPr>
            <m:ctrlPr>
              <w:rPr>
                <w:rFonts w:ascii="Cambria Math" w:eastAsia="SimSun" w:hAnsi="Cambria Math" w:cs="Times New Roman"/>
                <w:i/>
                <w:kern w:val="0"/>
                <w14:ligatures w14:val="none"/>
              </w:rPr>
            </m:ctrlPr>
          </m:sSubSupPr>
          <m:e>
            <m:r>
              <w:rPr>
                <w:rFonts w:ascii="Cambria Math" w:eastAsia="SimSun" w:hAnsi="Cambria Math" w:cs="Times New Roman"/>
                <w:kern w:val="0"/>
                <w14:ligatures w14:val="none"/>
              </w:rPr>
              <m:t>E</m:t>
            </m:r>
          </m:e>
          <m:sub>
            <m:r>
              <w:rPr>
                <w:rFonts w:ascii="Cambria Math" w:eastAsia="SimSun" w:hAnsi="Cambria Math" w:cs="Times New Roman"/>
                <w:kern w:val="0"/>
                <w14:ligatures w14:val="none"/>
              </w:rPr>
              <m:t>y</m:t>
            </m:r>
          </m:sub>
          <m:sup>
            <m:r>
              <w:rPr>
                <w:rFonts w:ascii="Cambria Math" w:eastAsia="SimSun" w:hAnsi="Cambria Math" w:cs="Times New Roman"/>
                <w:kern w:val="0"/>
                <w14:ligatures w14:val="none"/>
              </w:rPr>
              <m:t>soil</m:t>
            </m:r>
          </m:sup>
        </m:sSubSup>
      </m:oMath>
      <w:r w:rsidRPr="00EE41C6">
        <w:rPr>
          <w:rFonts w:ascii="Times New Roman" w:eastAsia="SimSun" w:hAnsi="Times New Roman" w:cs="Times New Roman"/>
          <w:kern w:val="0"/>
          <w14:ligatures w14:val="none"/>
        </w:rPr>
        <w:t> are soil carbon emissions in year </w:t>
      </w:r>
      <m:oMath>
        <m:r>
          <w:rPr>
            <w:rFonts w:ascii="Cambria Math" w:eastAsia="SimSun" w:hAnsi="Cambria Math" w:cs="Times New Roman"/>
            <w:kern w:val="0"/>
            <w14:ligatures w14:val="none"/>
          </w:rPr>
          <m:t>y</m:t>
        </m:r>
      </m:oMath>
      <w:r w:rsidRPr="00EE41C6">
        <w:rPr>
          <w:rFonts w:ascii="Times New Roman" w:eastAsia="SimSun" w:hAnsi="Times New Roman" w:cs="Times New Roman"/>
          <w:kern w:val="0"/>
          <w14:ligatures w14:val="none"/>
        </w:rPr>
        <w:t>.</w:t>
      </w:r>
    </w:p>
    <w:p w14:paraId="26702EF8" w14:textId="06EC96F5" w:rsidR="00707CFD" w:rsidRPr="00EE41C6" w:rsidRDefault="00707CFD" w:rsidP="00707CFD">
      <w:pPr>
        <w:pStyle w:val="Heading1"/>
        <w:rPr>
          <w:rFonts w:ascii="Times New Roman" w:hAnsi="Times New Roman" w:cs="Times New Roman"/>
        </w:rPr>
      </w:pPr>
      <w:bookmarkStart w:id="28" w:name="_Toc176517757"/>
      <w:r w:rsidRPr="00EE41C6">
        <w:rPr>
          <w:rFonts w:ascii="Times New Roman" w:hAnsi="Times New Roman" w:cs="Times New Roman"/>
        </w:rPr>
        <w:t xml:space="preserve">Supplementary Note </w:t>
      </w:r>
      <w:r w:rsidR="008409AF" w:rsidRPr="00EE41C6">
        <w:rPr>
          <w:rFonts w:ascii="Times New Roman" w:hAnsi="Times New Roman" w:cs="Times New Roman"/>
        </w:rPr>
        <w:t>6</w:t>
      </w:r>
      <w:r w:rsidRPr="00EE41C6">
        <w:rPr>
          <w:rFonts w:ascii="Times New Roman" w:hAnsi="Times New Roman" w:cs="Times New Roman"/>
        </w:rPr>
        <w:t>: GCAM’s water module</w:t>
      </w:r>
      <w:bookmarkEnd w:id="28"/>
    </w:p>
    <w:p w14:paraId="0AC85DE4" w14:textId="77777777" w:rsidR="00707CFD" w:rsidRPr="00EE41C6" w:rsidRDefault="00707CFD" w:rsidP="00707CFD"/>
    <w:p w14:paraId="38C6A960" w14:textId="77777777" w:rsidR="00707CFD" w:rsidRPr="00EE41C6" w:rsidRDefault="00707CFD" w:rsidP="00707CFD">
      <w:pPr>
        <w:spacing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Water demand is calculated for six major sectors: agriculture, electricity generation, industrial manufacturing, primary energy production, livestock, and municipal uses.</w:t>
      </w:r>
    </w:p>
    <w:p w14:paraId="385C9414" w14:textId="7378CD14" w:rsidR="00707CFD" w:rsidRPr="00EE41C6" w:rsidRDefault="00707CFD" w:rsidP="00707CFD">
      <w:pPr>
        <w:spacing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 xml:space="preserve">Agriculture water demand is determined by exogenous water coefficients and endogenous crop production. For irrigated crops, GCAM tracks water withdrawals, consumption, and biophysical consumption. Withdrawals include crop evapotranspiration met by irrigation ("blue water") and field losses. Conveyance losses are represented in water distribution sectors. Loss coefficients are from Rohwer et al. </w:t>
      </w:r>
      <w:r w:rsidRPr="00EE41C6">
        <w:rPr>
          <w:rFonts w:ascii="Times New Roman" w:eastAsia="SimSun" w:hAnsi="Times New Roman" w:cs="Times New Roman"/>
          <w:kern w:val="0"/>
          <w14:ligatures w14:val="none"/>
        </w:rPr>
        <w:fldChar w:fldCharType="begin"/>
      </w:r>
      <w:r w:rsidR="00005AF3" w:rsidRPr="00EE41C6">
        <w:rPr>
          <w:rFonts w:ascii="Times New Roman" w:eastAsia="SimSun" w:hAnsi="Times New Roman" w:cs="Times New Roman"/>
          <w:kern w:val="0"/>
          <w14:ligatures w14:val="none"/>
        </w:rPr>
        <w:instrText xml:space="preserve"> ADDIN ZOTERO_ITEM CSL_CITATION {"citationID":"clO5FZMM","properties":{"formattedCitation":"\\super 42\\nosupersub{}","plainCitation":"42","noteIndex":0},"citationItems":[{"id":1673,"uris":["http://zotero.org/users/local/YcBHrSK0/items/V95JSXTC"],"itemData":{"id":1673,"type":"article-journal","abstract":"About 70% of global human water withdrawal from rivers, reservoirs, and aquifers is for irrigation of agricultural land, and about one third of global food production relies on irrigation water. Irrigation systems, however, are usually rather ineffective; much of the withdrawn water is lost before it reaches the plants that require the water for optimal growth. The efficiency of irrigation often is lower than half of the optimum (depending e.g. on climate and irrigation system), such that the accuracy of modelled efficiency may have strong effects on the simulated water cycle and the distribution, seasonal phenology, and productivity (yields) of crop types. Therefore, it is crucial to estimate irrigation efficiencies as detailed as possible in any (large-scale) irrigation assessment. In this study, generic irrigation functional types (IFTs) have been developed for a better representation of irrigation in the dynamic global vegetation and water balance model including managed land, LPJmL (Bondeau et al., 2006). LPJ is a model of intermediate complexity, representing the intra- and interannual dynamics of terrestrial vegetation (both natural and agricultural) and the associated biophysical and biogeochemical processes (e.g. carbon and water fluxes). Irrigation of agricultural vegetation is one important option of land and water management in this model. The IFTs developed here improve the way in which irrigation efficiencies have been considered in the pilot version of LPJmL. With the introduction of IFTs into LPJmL together with the recently implemented discharge accumulation along a global river topology (Jachner et al., submitted), water flows on agricultural land are represented in a more precise manner. The present country-scale IFT classification was derived from the dominant irrigation method (surface, sprinkler, or micro-irrigation), irrigation field size, and the associated management system, based on an extensive review of literature and data archives. We determine an overall irrigation project efficiency for each country. This overall efficiency is comprised by a combination of individual (partial) efficiencies that capture water losses a) from the conveyance systems (conveyance efficiency), b) when the irrigation water is brought to the field (field application efficiency), and c) a management factor determined by the irrigation system size, which is a substitute of distribution efficiency (the unequal distribution of irrigation water across the fields). The effectiveness in terms of timeliness of delivery is represented by application of scheduling rules. The dominant irrigation method is used to assign the respective IFT to each country; for a few countries where relevant data were not available, a statistical assignment procedure based on socio-economic and climatic information was employed. The resulting country-scale irrigation efficiencies are tabulated and presented in global maps. Our efficiencies compare well with earlier values that had been derived for larger regions; yet, the present study provides more detailed and consistent estimates of irrigation efficiencies, which owing to their generic nature are suited for application in any large-scale model that represents agricultural water use.","container-title":"PIK Report","journalAbbreviation":"PIK Report","page":"1-61","source":"ResearchGate","title":"Development of functional irrigation types for improved global crop modelling","author":[{"family":"Rohwer","given":"J."},{"family":"Gerten","given":"D."},{"family":"Lucht","given":"W."}],"issued":{"date-parts":[["2007",3,1]]}}}],"schema":"https://github.com/citation-style-language/schema/raw/master/csl-citation.json"}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42</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 xml:space="preserve">. Consumption is the blue water evapotranspiration only, excluding rainfall ("green water"). Biophysical consumption sums blue and green water needs, excluding losses. It applies to both rainfed and irrigated technologies. More documentation is available in Chaturvedi et al. </w:t>
      </w:r>
      <w:r w:rsidRPr="00EE41C6">
        <w:rPr>
          <w:rFonts w:ascii="Times New Roman" w:eastAsia="SimSun" w:hAnsi="Times New Roman" w:cs="Times New Roman"/>
          <w:kern w:val="0"/>
          <w14:ligatures w14:val="none"/>
        </w:rPr>
        <w:fldChar w:fldCharType="begin"/>
      </w:r>
      <w:r w:rsidR="00005AF3" w:rsidRPr="00EE41C6">
        <w:rPr>
          <w:rFonts w:ascii="Times New Roman" w:eastAsia="SimSun" w:hAnsi="Times New Roman" w:cs="Times New Roman"/>
          <w:kern w:val="0"/>
          <w14:ligatures w14:val="none"/>
        </w:rPr>
        <w:instrText xml:space="preserve"> ADDIN ZOTERO_ITEM CSL_CITATION {"citationID":"CY3lPYen","properties":{"formattedCitation":"\\super 43\\nosupersub{}","plainCitation":"43","noteIndex":0},"citationItems":[{"id":1675,"uris":["http://zotero.org/users/local/YcBHrSK0/items/T3Z6PFA8"],"itemData":{"id":1675,"type":"article-journal","abstract":"Measures to limit greenhouse gas concentrations will result in dramatic changes to energy and land systems and in turn alter the character of human requirements for water. We employ the global change assessment model (GCAM), an integrated assessment model, to explore the interactions of energy, land, and water systems under combinations of three alternative radiative forcing stabilization levels and two carbon tax regimes. The paper analyzes two important research questions: i) how large may global irrigation water demands become over the next century, and ii) what are the potential impacts of emissions mitigation policies on global irrigation-water withdrawals. We find that increasing population and economic growth could more than double the demand for water for agricultural systems in the absence of climate policy, and policies to mitigate climate change further increase agricultural demands for water. The largest increases in agricultural irrigation water demand occur in scenarios where only fossil fuel emissions are priced (but not land use change emissions) and are primarily driven by rapid expansion in bio-energy production. Regions such as China, India, and other countries in South and East Asia are likely to experience the greatest increases in water demands. Finally, we test the sensitivity of water withdrawal demands to the share of bio-energy crops under irrigation and conclude that many regions have insufficient space for heavy bio-energy crop irrigation in the future—a result that calls into question the physical possibility of producing the associated biomass energy, especially under climate policy scenarios.","container-title":"Mitigation and Adaptation Strategies for Global Change","DOI":"10.1007/s11027-013-9497-4","ISSN":"1573-1596","issue":"3","journalAbbreviation":"Mitig Adapt Strateg Glob Change","language":"en","page":"389-407","source":"Springer Link","title":"Climate mitigation policy implications for global irrigation water demand","volume":"20","author":[{"family":"Chaturvedi","given":"Vaibhav"},{"family":"Hejazi","given":"Mohamad"},{"family":"Edmonds","given":"James"},{"family":"Clarke","given":"Leon"},{"family":"Kyle","given":"Page"},{"family":"Davies","given":"Evan"},{"family":"Wise","given":"Marshall"}],"issued":{"date-parts":[["2015",3,1]]}}}],"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43</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 xml:space="preserve"> and Hejazi et al. </w:t>
      </w:r>
      <w:r w:rsidRPr="00EE41C6">
        <w:rPr>
          <w:rFonts w:ascii="Times New Roman" w:eastAsia="SimSun" w:hAnsi="Times New Roman" w:cs="Times New Roman"/>
          <w:kern w:val="0"/>
          <w14:ligatures w14:val="none"/>
        </w:rPr>
        <w:fldChar w:fldCharType="begin"/>
      </w:r>
      <w:r w:rsidR="00005AF3" w:rsidRPr="00EE41C6">
        <w:rPr>
          <w:rFonts w:ascii="Times New Roman" w:eastAsia="SimSun" w:hAnsi="Times New Roman" w:cs="Times New Roman"/>
          <w:kern w:val="0"/>
          <w14:ligatures w14:val="none"/>
        </w:rPr>
        <w:instrText xml:space="preserve"> ADDIN ZOTERO_ITEM CSL_CITATION {"citationID":"N7PQcH7u","properties":{"formattedCitation":"\\super 44\\nosupersub{}","plainCitation":"44","noteIndex":0},"citationItems":[{"id":1677,"uris":["http://zotero.org/users/local/YcBHrSK0/items/YBYIUGZM"],"itemData":{"id":1677,"type":"article-journal","abstract":"In this paper, we assess future water demands for the agricultural (irrigation and livestock), energy (electricity generation, primary energy production and processing), industrial (manufacturing and mining), and municipal sectors, by incorporating water demands into a technologically-detailed global integrated assessment model of energy, agriculture, and climate change — the Global Change Assessment Model (GCAM). Base-year water demands – both gross withdrawals and net consumptive use – are assigned to specific modeled activities in a way that maximizes consistency between bottom-up estimates of water demand intensities of specific technologies and practices, and top-down regional and sectoral estimates of water use. The energy, industrial, and municipal sectors are represented in fourteen geopolitical regions, with the agricultural sector further disaggregated into as many as eighteen agro-ecological zones (AEZs) within each region. We assess future water demands representing six socioeconomic scenarios, with no constraints imposed by future water supplies. The scenarios observe increases in global water withdrawals from 3710km3year−1 in 2005 to 6195–8690km3year−1 in 2050, and to 4869–12,693km3year−1 in 2095. Comparing the projected total regional water withdrawals to the historical supply of renewable freshwater, the Middle East exhibits the highest levels of water scarcity throughout the century, followed by India; water scarcity increases over time in both of these regions. In contrast, water scarcity improves in some regions with large base-year electric sector withdrawals, such as the USA and Canada, due to capital stock turnover and the almost complete phase-out of once-through flow cooling systems. The scenarios indicate that: 1) water is likely a limiting factor in meeting future water demands, 2) many regions can be expected to increase reliance on non-renewable groundwater, water reuse, and desalinated water, but they also highlight an important role for development and deployment of water conservation technologies and practices.","container-title":"Technological Forecasting and Social Change","DOI":"10.1016/j.techfore.2013.05.006","ISSN":"0040-1625","journalAbbreviation":"Technological Forecasting and Social Change","page":"205-226","source":"ScienceDirect","title":"Long-term global water projections using six socioeconomic scenarios in an integrated assessment modeling framework","volume":"81","author":[{"family":"Hejazi","given":"Mohamad"},{"family":"Edmonds","given":"James"},{"family":"Clarke","given":"Leon"},{"family":"Kyle","given":"Page"},{"family":"Davies","given":"Evan"},{"family":"Chaturvedi","given":"Vaibhav"},{"family":"Wise","given":"Marshall"},{"family":"Patel","given":"Pralit"},{"family":"Eom","given":"Jiyong"},{"family":"Calvin","given":"Katherine"},{"family":"Moss","given":"Richard"},{"family":"Kim","given":"Son"}],"issued":{"date-parts":[["2014",1,1]]}}}],"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44</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 The model accounts for different agricultural water flows and losses to represent water resource competition and agricultural production.</w:t>
      </w:r>
    </w:p>
    <w:p w14:paraId="52A992B0" w14:textId="61BC08FF" w:rsidR="00707CFD" w:rsidRPr="00EE41C6" w:rsidRDefault="00707CFD" w:rsidP="00707CFD">
      <w:pPr>
        <w:spacing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lastRenderedPageBreak/>
        <w:t xml:space="preserve">GCAM represents up to five cooling options for each thermal power technology: once-through, recirculating, pond, dry, and seawater once-through. These differ significantly in water withdrawal and consumption per National Energy Technology Laboratory (NETL) </w:t>
      </w:r>
      <w:r w:rsidRPr="00EE41C6">
        <w:rPr>
          <w:rFonts w:ascii="Times New Roman" w:eastAsia="SimSun" w:hAnsi="Times New Roman" w:cs="Times New Roman"/>
          <w:kern w:val="0"/>
          <w14:ligatures w14:val="none"/>
        </w:rPr>
        <w:fldChar w:fldCharType="begin"/>
      </w:r>
      <w:r w:rsidR="00005AF3" w:rsidRPr="00EE41C6">
        <w:rPr>
          <w:rFonts w:ascii="Times New Roman" w:eastAsia="SimSun" w:hAnsi="Times New Roman" w:cs="Times New Roman"/>
          <w:kern w:val="0"/>
          <w14:ligatures w14:val="none"/>
        </w:rPr>
        <w:instrText xml:space="preserve"> ADDIN ZOTERO_ITEM CSL_CITATION {"citationID":"to8CrsuF","properties":{"formattedCitation":"\\super 45\\nosupersub{}","plainCitation":"45","noteIndex":0},"citationItems":[{"id":1678,"uris":["http://zotero.org/users/local/YcBHrSK0/items/H6HYAAEY"],"itemData":{"id":1678,"type":"report","number":"DOE/NETL-402/080108","publisher":"National Energy Technology Laboratory","title":"Water Requirements for Existing and Emerging  Thermoelectric Plant Technologies","author":[{"family":"NETL","given":""}],"issued":{"date-parts":[["2008"]]}}}],"schema":"https://github.com/citation-style-language/schema/raw/master/csl-citation.json"}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45</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 xml:space="preserve">. Technology-specific demand coefficients are from </w:t>
      </w:r>
      <w:proofErr w:type="spellStart"/>
      <w:r w:rsidRPr="00EE41C6">
        <w:rPr>
          <w:rFonts w:ascii="Times New Roman" w:eastAsia="SimSun" w:hAnsi="Times New Roman" w:cs="Times New Roman"/>
          <w:kern w:val="0"/>
          <w14:ligatures w14:val="none"/>
        </w:rPr>
        <w:t>Macknick</w:t>
      </w:r>
      <w:proofErr w:type="spellEnd"/>
      <w:r w:rsidRPr="00EE41C6">
        <w:rPr>
          <w:rFonts w:ascii="Times New Roman" w:eastAsia="SimSun" w:hAnsi="Times New Roman" w:cs="Times New Roman"/>
          <w:kern w:val="0"/>
          <w14:ligatures w14:val="none"/>
        </w:rPr>
        <w:t xml:space="preserve"> et al. </w:t>
      </w:r>
      <w:r w:rsidRPr="00EE41C6">
        <w:rPr>
          <w:rFonts w:ascii="Times New Roman" w:eastAsia="SimSun" w:hAnsi="Times New Roman" w:cs="Times New Roman"/>
          <w:kern w:val="0"/>
          <w14:ligatures w14:val="none"/>
        </w:rPr>
        <w:fldChar w:fldCharType="begin"/>
      </w:r>
      <w:r w:rsidR="00005AF3" w:rsidRPr="00EE41C6">
        <w:rPr>
          <w:rFonts w:ascii="Times New Roman" w:eastAsia="SimSun" w:hAnsi="Times New Roman" w:cs="Times New Roman"/>
          <w:kern w:val="0"/>
          <w14:ligatures w14:val="none"/>
        </w:rPr>
        <w:instrText xml:space="preserve"> ADDIN ZOTERO_ITEM CSL_CITATION {"citationID":"ynGNE3h7","properties":{"formattedCitation":"\\super 46\\nosupersub{}","plainCitation":"46","noteIndex":0},"citationItems":[{"id":1679,"uris":["http://zotero.org/users/local/YcBHrSK0/items/WXFJTBP3"],"itemData":{"id":1679,"type":"report","publisher":"National Renewable Energy Laboratory","title":"A Review of Operational Water  Consumption and Withdrawal  Factors for Electricity  Generating Technologies","author":[{"family":"Macknick","given":"Jordan"},{"family":"Newmark","given":"Robin"},{"family":"Heath","given":"Garvin"},{"family":"Hallet","given":"KC"}],"issued":{"date-parts":[["2011"]]}}}],"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46</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 xml:space="preserve">. Not all options are available in each region based on underlying data; for example, cooling ponds are often excluded. Currently there is no dry cooling option for nuclear plants. Cooling systems compete in a calibrated logit nest, like fuels. Capital costs vary per NETL </w:t>
      </w:r>
      <w:r w:rsidRPr="00EE41C6">
        <w:rPr>
          <w:rFonts w:ascii="Times New Roman" w:eastAsia="SimSun" w:hAnsi="Times New Roman" w:cs="Times New Roman"/>
          <w:kern w:val="0"/>
          <w14:ligatures w14:val="none"/>
        </w:rPr>
        <w:fldChar w:fldCharType="begin"/>
      </w:r>
      <w:r w:rsidR="00005AF3" w:rsidRPr="00EE41C6">
        <w:rPr>
          <w:rFonts w:ascii="Times New Roman" w:eastAsia="SimSun" w:hAnsi="Times New Roman" w:cs="Times New Roman"/>
          <w:kern w:val="0"/>
          <w14:ligatures w14:val="none"/>
        </w:rPr>
        <w:instrText xml:space="preserve"> ADDIN ZOTERO_ITEM CSL_CITATION {"citationID":"nLRD2vAb","properties":{"formattedCitation":"\\super 45\\nosupersub{}","plainCitation":"45","noteIndex":0},"citationItems":[{"id":1678,"uris":["http://zotero.org/users/local/YcBHrSK0/items/H6HYAAEY"],"itemData":{"id":1678,"type":"report","number":"DOE/NETL-402/080108","publisher":"National Energy Technology Laboratory","title":"Water Requirements for Existing and Emerging  Thermoelectric Plant Technologies","author":[{"family":"NETL","given":""}],"issued":{"date-parts":[["2008"]]}}}],"schema":"https://github.com/citation-style-language/schema/raw/master/csl-citation.json"}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45</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 xml:space="preserve">. Dry cooling has lower generation efficiency. Competition is endogenous and cost-based. Further documentation is in Davies et al. </w:t>
      </w:r>
      <w:r w:rsidRPr="00EE41C6">
        <w:rPr>
          <w:rFonts w:ascii="Times New Roman" w:eastAsia="SimSun" w:hAnsi="Times New Roman" w:cs="Times New Roman"/>
          <w:kern w:val="0"/>
          <w14:ligatures w14:val="none"/>
        </w:rPr>
        <w:fldChar w:fldCharType="begin"/>
      </w:r>
      <w:r w:rsidR="00005AF3" w:rsidRPr="00EE41C6">
        <w:rPr>
          <w:rFonts w:ascii="Times New Roman" w:eastAsia="SimSun" w:hAnsi="Times New Roman" w:cs="Times New Roman"/>
          <w:kern w:val="0"/>
          <w14:ligatures w14:val="none"/>
        </w:rPr>
        <w:instrText xml:space="preserve"> ADDIN ZOTERO_ITEM CSL_CITATION {"citationID":"3boe1Wtd","properties":{"formattedCitation":"\\super 47\\nosupersub{}","plainCitation":"47","noteIndex":0},"citationItems":[{"id":1680,"uris":["http://zotero.org/users/local/YcBHrSK0/items/B6HFGJWS"],"itemData":{"id":1680,"type":"article-journal","abstract":"Electric power plants account for approximately half the global industrial water withdrawal. Although continued electric-sector expansion is probable, significant variations in water intensity by electricity technology and cooling system type make its effects on water demands uncertain. Using GCAM, an integrated assessment model of energy, agriculture, and climate change, we establish lower-, median-, and upper-bound estimates for current electric-sector water withdrawals and consumption in 14 geopolitical regions, and compare them with available estimates. We then explore water use for electricity to 2095, focusing on uncertainties in water withdrawal and consumption intensities, power plant cooling system changes, and adoption rates of water-saving technologies. Results reveal a probable decrease in the water withdrawal intensity with capital stock turnover, but a corresponding increase in consumptive use, for which technologies under development may compensate. At a regional scale, water use varies significantly based on the existing capital stock and its evolution over the century.","container-title":"Advances in Water Resources","DOI":"10.1016/j.advwatres.2012.11.020","ISSN":"0309-1708","journalAbbreviation":"Advances in Water Resources","page":"296-313","source":"ScienceDirect","title":"An integrated assessment of global and regional water demands for electricity generation to 2095","volume":"52","author":[{"family":"Davies","given":"Evan G. R."},{"family":"Kyle","given":"Page"},{"family":"Edmonds","given":"James A."}],"issued":{"date-parts":[["2013",2,1]]}}}],"schema":"https://github.com/citation-style-language/schema/raw/master/csl-citation.json"}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47</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 xml:space="preserve"> and Kyle et al. </w:t>
      </w:r>
      <w:r w:rsidRPr="00EE41C6">
        <w:rPr>
          <w:rFonts w:ascii="Times New Roman" w:eastAsia="SimSun" w:hAnsi="Times New Roman" w:cs="Times New Roman"/>
          <w:kern w:val="0"/>
          <w14:ligatures w14:val="none"/>
        </w:rPr>
        <w:fldChar w:fldCharType="begin"/>
      </w:r>
      <w:r w:rsidR="00005AF3" w:rsidRPr="00EE41C6">
        <w:rPr>
          <w:rFonts w:ascii="Times New Roman" w:eastAsia="SimSun" w:hAnsi="Times New Roman" w:cs="Times New Roman"/>
          <w:kern w:val="0"/>
          <w14:ligatures w14:val="none"/>
        </w:rPr>
        <w:instrText xml:space="preserve"> ADDIN ZOTERO_ITEM CSL_CITATION {"citationID":"yZZl8Gsw","properties":{"formattedCitation":"\\super 48\\nosupersub{}","plainCitation":"48","noteIndex":0},"citationItems":[{"id":1379,"uris":["http://zotero.org/users/local/YcBHrSK0/items/UZR5P4NK"],"itemData":{"id":1379,"type":"article-journal","container-title":"International Journal of Greenhouse Gas Control","DOI":"10.1016/j.ijggc.2012.12.006","ISSN":"17505836","journalAbbreviation":"International Journal of Greenhouse Gas Control","language":"en","page":"112-123","source":"DOI.org (Crossref)","title":"Influence of climate change mitigation technology on global demands of water for electricity generation","volume":"13","author":[{"family":"Kyle","given":"Page"},{"family":"Davies","given":"Evan G.R."},{"family":"Dooley","given":"James J."},{"family":"Smith","given":"Steven J."},{"family":"Clarke","given":"Leon E."},{"family":"Edmonds","given":"James A."},{"family":"Hejazi","given":"Mohamad"}],"issued":{"date-parts":[["2013",3]]}}}],"schema":"https://github.com/citation-style-language/schema/raw/master/csl-citation.json"}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48</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 The model captures different power plant cooling technologies and associated water demands to represent electricity-water interlinkages.</w:t>
      </w:r>
    </w:p>
    <w:p w14:paraId="4E6D5875" w14:textId="77777777" w:rsidR="00707CFD" w:rsidRPr="00EE41C6" w:rsidRDefault="00707CFD" w:rsidP="00707CFD">
      <w:pPr>
        <w:spacing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The industrial manufacturing sector’s water demands include surface and groundwater that is self-supplied by industrial manufacturers. The water demanded by this sector excludes water demands of coal mining and oil and gas production, which are represented in the respective energy production sectors. It also excludes water withdrawn for cooling of on-site (i.e., located at industrial facilities) thermo-electric power generation, which is modeled in the electricity generation sector. Finally, industrial facilities’ use of municipal water is also excluded (modeled in the municipal water sector).</w:t>
      </w:r>
    </w:p>
    <w:p w14:paraId="53E75745" w14:textId="586F0B14" w:rsidR="00707CFD" w:rsidRPr="00EE41C6" w:rsidRDefault="00707CFD" w:rsidP="00707CFD">
      <w:pPr>
        <w:spacing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 xml:space="preserve">All animal production technologies in GCAM have region-specific water demand coefficients representing drinking water and operations. There is no withdrawal/consumption distinction; all water is consumed. Coefficients are in cubic meters per kg commodity produced. They are calculated from Mekonnen and Hoekstra </w:t>
      </w:r>
      <w:r w:rsidRPr="00EE41C6">
        <w:rPr>
          <w:rFonts w:ascii="Times New Roman" w:eastAsia="SimSun" w:hAnsi="Times New Roman" w:cs="Times New Roman"/>
          <w:kern w:val="0"/>
          <w14:ligatures w14:val="none"/>
        </w:rPr>
        <w:fldChar w:fldCharType="begin"/>
      </w:r>
      <w:r w:rsidR="00005AF3" w:rsidRPr="00EE41C6">
        <w:rPr>
          <w:rFonts w:ascii="Times New Roman" w:eastAsia="SimSun" w:hAnsi="Times New Roman" w:cs="Times New Roman"/>
          <w:kern w:val="0"/>
          <w14:ligatures w14:val="none"/>
        </w:rPr>
        <w:instrText xml:space="preserve"> ADDIN ZOTERO_ITEM CSL_CITATION {"citationID":"pI1oPFlo","properties":{"formattedCitation":"\\super 49\\nosupersub{}","plainCitation":"49","noteIndex":0},"citationItems":[{"id":1682,"uris":["http://zotero.org/users/local/YcBHrSK0/items/HVWJZV84"],"itemData":{"id":1682,"type":"article-journal","abstract":"The increase in the consumption of animal products is likely to put further pressure on the world’s freshwater resources. This paper provides a comprehensive account of the water footprint of animal products, considering different production systems and feed composition per animal type and country. Nearly one-third of the total water footprint of agriculture in the world is related to the production of animal products. The water footprint of any animal product is larger than the water footprint of crop products with equivalent nutritional value. The average water footprint per calorie for beef is 20 times larger than for cereals and starchy roots. The water footprint per gram of protein for milk, eggs and chicken meat is 1.5 times larger than for pulses. The unfavorable feed conversion efficiency for animal products is largely responsible for the relatively large water footprint of animal products compared to the crop products. Animal products from industrial systems generally consume and pollute more ground- and surface-water resources than animal products from grazing or mixed systems. The rising global meat consumption and the intensification of animal production systems will put further pressure on the global freshwater resources in the coming decades. The study shows that from a freshwater perspective, animal products from grazing systems have a smaller blue and grey water footprint than products from industrial systems, and that it is more water-efficient to obtain calories, protein and fat through crop products than animal products.","container-title":"Ecosystems","DOI":"10.1007/s10021-011-9517-8","ISSN":"1435-0629","issue":"3","journalAbbreviation":"Ecosystems","language":"en","page":"401-415","source":"Springer Link","title":"A Global Assessment of the Water Footprint of Farm Animal Products","volume":"15","author":[{"family":"Mekonnen","given":"Mesfin M."},{"family":"Hoekstra","given":"Arjen Y."}],"issued":{"date-parts":[["2012",4,1]]}}}],"schema":"https://github.com/citation-style-language/schema/raw/master/csl-citation.json"}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49</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 xml:space="preserve">, which provides liters per animal per day by country around 2000. Computation also considers animal stocks from Food and Agriculture Organization Corporate Statistical Database ( FAOSTAT) </w:t>
      </w:r>
      <w:r w:rsidRPr="00EE41C6">
        <w:rPr>
          <w:rFonts w:ascii="Times New Roman" w:eastAsia="SimSun" w:hAnsi="Times New Roman" w:cs="Times New Roman"/>
          <w:kern w:val="0"/>
          <w14:ligatures w14:val="none"/>
        </w:rPr>
        <w:fldChar w:fldCharType="begin"/>
      </w:r>
      <w:r w:rsidR="00005AF3" w:rsidRPr="00EE41C6">
        <w:rPr>
          <w:rFonts w:ascii="Times New Roman" w:eastAsia="SimSun" w:hAnsi="Times New Roman" w:cs="Times New Roman"/>
          <w:kern w:val="0"/>
          <w14:ligatures w14:val="none"/>
        </w:rPr>
        <w:instrText xml:space="preserve"> ADDIN ZOTERO_ITEM CSL_CITATION {"citationID":"9aqjK1ub","properties":{"formattedCitation":"\\super 50\\nosupersub{}","plainCitation":"50","noteIndex":0},"citationItems":[{"id":1684,"uris":["http://zotero.org/users/local/YcBHrSK0/items/DVLHNAF9"],"itemData":{"id":1684,"type":"webpage","title":"FAOSTAT Statistics Database","URL":"https://data.apps.fao.org/aquastat/?lang=en","author":[{"family":"FAOSTAT","given":""}],"accessed":{"date-parts":[["2024",2,5]]},"issued":{"date-parts":[["2016"]]}}}],"schema":"https://github.com/citation-style-language/schema/raw/master/csl-citation.json"}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50</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 The resulting demand coefficients are held constant over time. This approach captures livestock water needs and links them to regional production levels. The coefficients integrate data on water use per animal and animal inventories to represent total water demands.</w:t>
      </w:r>
    </w:p>
    <w:p w14:paraId="6D0BD8F1" w14:textId="07F134DB" w:rsidR="00707CFD" w:rsidRPr="00EE41C6" w:rsidRDefault="00707CFD" w:rsidP="00707CFD">
      <w:pPr>
        <w:spacing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 xml:space="preserve">The approach for modeling the water demands of primary energy production is documented in Hejazi et al. </w:t>
      </w:r>
      <w:r w:rsidRPr="00EE41C6">
        <w:rPr>
          <w:rFonts w:ascii="Times New Roman" w:eastAsia="SimSun" w:hAnsi="Times New Roman" w:cs="Times New Roman"/>
          <w:kern w:val="0"/>
          <w14:ligatures w14:val="none"/>
        </w:rPr>
        <w:fldChar w:fldCharType="begin"/>
      </w:r>
      <w:r w:rsidR="00005AF3" w:rsidRPr="00EE41C6">
        <w:rPr>
          <w:rFonts w:ascii="Times New Roman" w:eastAsia="SimSun" w:hAnsi="Times New Roman" w:cs="Times New Roman"/>
          <w:kern w:val="0"/>
          <w14:ligatures w14:val="none"/>
        </w:rPr>
        <w:instrText xml:space="preserve"> ADDIN ZOTERO_ITEM CSL_CITATION {"citationID":"tqYBHzCK","properties":{"formattedCitation":"\\super 44\\nosupersub{}","plainCitation":"44","noteIndex":0},"citationItems":[{"id":1677,"uris":["http://zotero.org/users/local/YcBHrSK0/items/YBYIUGZM"],"itemData":{"id":1677,"type":"article-journal","abstract":"In this paper, we assess future water demands for the agricultural (irrigation and livestock), energy (electricity generation, primary energy production and processing), industrial (manufacturing and mining), and municipal sectors, by incorporating water demands into a technologically-detailed global integrated assessment model of energy, agriculture, and climate change — the Global Change Assessment Model (GCAM). Base-year water demands – both gross withdrawals and net consumptive use – are assigned to specific modeled activities in a way that maximizes consistency between bottom-up estimates of water demand intensities of specific technologies and practices, and top-down regional and sectoral estimates of water use. The energy, industrial, and municipal sectors are represented in fourteen geopolitical regions, with the agricultural sector further disaggregated into as many as eighteen agro-ecological zones (AEZs) within each region. We assess future water demands representing six socioeconomic scenarios, with no constraints imposed by future water supplies. The scenarios observe increases in global water withdrawals from 3710km3year−1 in 2005 to 6195–8690km3year−1 in 2050, and to 4869–12,693km3year−1 in 2095. Comparing the projected total regional water withdrawals to the historical supply of renewable freshwater, the Middle East exhibits the highest levels of water scarcity throughout the century, followed by India; water scarcity increases over time in both of these regions. In contrast, water scarcity improves in some regions with large base-year electric sector withdrawals, such as the USA and Canada, due to capital stock turnover and the almost complete phase-out of once-through flow cooling systems. The scenarios indicate that: 1) water is likely a limiting factor in meeting future water demands, 2) many regions can be expected to increase reliance on non-renewable groundwater, water reuse, and desalinated water, but they also highlight an important role for development and deployment of water conservation technologies and practices.","container-title":"Technological Forecasting and Social Change","DOI":"10.1016/j.techfore.2013.05.006","ISSN":"0040-1625","journalAbbreviation":"Technological Forecasting and Social Change","page":"205-226","source":"ScienceDirect","title":"Long-term global water projections using six socioeconomic scenarios in an integrated assessment modeling framework","volume":"81","author":[{"family":"Hejazi","given":"Mohamad"},{"family":"Edmonds","given":"James"},{"family":"Clarke","given":"Leon"},{"family":"Kyle","given":"Page"},{"family":"Davies","given":"Evan"},{"family":"Chaturvedi","given":"Vaibhav"},{"family":"Wise","given":"Marshall"},{"family":"Patel","given":"Pralit"},{"family":"Eom","given":"Jiyong"},{"family":"Calvin","given":"Katherine"},{"family":"Moss","given":"Richard"},{"family":"Kim","given":"Son"}],"issued":{"date-parts":[["2014",1,1]]}}}],"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44</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 xml:space="preserve">, and includes bottom-up estimates of water demand per unit energy produced for the following fuels: </w:t>
      </w:r>
      <w:r w:rsidRPr="00EE41C6">
        <w:rPr>
          <w:rFonts w:ascii="Times New Roman" w:eastAsia="SimSun" w:hAnsi="Times New Roman" w:cs="Times New Roman"/>
          <w:kern w:val="0"/>
          <w14:ligatures w14:val="none"/>
        </w:rPr>
        <w:lastRenderedPageBreak/>
        <w:t xml:space="preserve">coal, oil (conventional and unconventional), natural gas, and uranium. The main data source used for estimating water consumption per unit energy produced is Maheu </w:t>
      </w:r>
      <w:r w:rsidRPr="00EE41C6">
        <w:rPr>
          <w:rFonts w:ascii="Times New Roman" w:eastAsia="SimSun" w:hAnsi="Times New Roman" w:cs="Times New Roman"/>
          <w:kern w:val="0"/>
          <w14:ligatures w14:val="none"/>
        </w:rPr>
        <w:fldChar w:fldCharType="begin"/>
      </w:r>
      <w:r w:rsidR="00005AF3" w:rsidRPr="00EE41C6">
        <w:rPr>
          <w:rFonts w:ascii="Times New Roman" w:eastAsia="SimSun" w:hAnsi="Times New Roman" w:cs="Times New Roman"/>
          <w:kern w:val="0"/>
          <w14:ligatures w14:val="none"/>
        </w:rPr>
        <w:instrText xml:space="preserve"> ADDIN ZOTERO_ITEM CSL_CITATION {"citationID":"SExJikVV","properties":{"formattedCitation":"\\super 51\\nosupersub{}","plainCitation":"51","noteIndex":0},"citationItems":[{"id":1685,"uris":["http://zotero.org/users/local/YcBHrSK0/items/MRFWA7E5"],"itemData":{"id":1685,"type":"report","publisher":"McGill University, Montreal, Canada","title":"Energy Choices and their Impacts on Demand for Water Resources: An Assessment of Current and Projected Water Consumption in Global Energy Production","URL":"https://unisfera.org/sn_uploads/0Energy_demand_on_water_Finalversion.pdf","author":[{"family":"Maheu","given":"Audrey"}],"issued":{"date-parts":[["2009"]]}}}],"schema":"https://github.com/citation-style-language/schema/raw/master/csl-citation.json"}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51</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 xml:space="preserve">, which offers global average water consumption coefficients for each fuel type. These coefficients are somewhat higher than the values used in GCAM, as they do not distinguish between seawater and freshwater. The values read into GCAM are therefore the Maheu </w:t>
      </w:r>
      <w:r w:rsidRPr="00EE41C6">
        <w:rPr>
          <w:rFonts w:ascii="Times New Roman" w:eastAsia="SimSun" w:hAnsi="Times New Roman" w:cs="Times New Roman"/>
          <w:kern w:val="0"/>
          <w14:ligatures w14:val="none"/>
        </w:rPr>
        <w:fldChar w:fldCharType="begin"/>
      </w:r>
      <w:r w:rsidR="00005AF3" w:rsidRPr="00EE41C6">
        <w:rPr>
          <w:rFonts w:ascii="Times New Roman" w:eastAsia="SimSun" w:hAnsi="Times New Roman" w:cs="Times New Roman"/>
          <w:kern w:val="0"/>
          <w14:ligatures w14:val="none"/>
        </w:rPr>
        <w:instrText xml:space="preserve"> ADDIN ZOTERO_ITEM CSL_CITATION {"citationID":"nLTlZuZe","properties":{"formattedCitation":"\\super 51\\nosupersub{}","plainCitation":"51","noteIndex":0},"citationItems":[{"id":1685,"uris":["http://zotero.org/users/local/YcBHrSK0/items/MRFWA7E5"],"itemData":{"id":1685,"type":"report","publisher":"McGill University, Montreal, Canada","title":"Energy Choices and their Impacts on Demand for Water Resources: An Assessment of Current and Projected Water Consumption in Global Energy Production","URL":"https://unisfera.org/sn_uploads/0Energy_demand_on_water_Finalversion.pdf","author":[{"family":"Maheu","given":"Audrey"}],"issued":{"date-parts":[["2009"]]}}}],"schema":"https://github.com/citation-style-language/schema/raw/master/csl-citation.json"}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51</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 xml:space="preserve"> estimates less the fraction assumed to be seawater. This fraction is assumed to be 95% in the Middle East, and 43% in all other regions; the latter value is from a USA-based estimate in Kenny et al. </w:t>
      </w:r>
      <w:r w:rsidRPr="00EE41C6">
        <w:rPr>
          <w:rFonts w:ascii="Times New Roman" w:eastAsia="SimSun" w:hAnsi="Times New Roman" w:cs="Times New Roman"/>
          <w:kern w:val="0"/>
          <w14:ligatures w14:val="none"/>
        </w:rPr>
        <w:fldChar w:fldCharType="begin"/>
      </w:r>
      <w:r w:rsidR="00005AF3" w:rsidRPr="00EE41C6">
        <w:rPr>
          <w:rFonts w:ascii="Times New Roman" w:eastAsia="SimSun" w:hAnsi="Times New Roman" w:cs="Times New Roman"/>
          <w:kern w:val="0"/>
          <w14:ligatures w14:val="none"/>
        </w:rPr>
        <w:instrText xml:space="preserve"> ADDIN ZOTERO_ITEM CSL_CITATION {"citationID":"kavy4TIN","properties":{"formattedCitation":"\\super 52\\nosupersub{}","plainCitation":"52","noteIndex":0},"citationItems":[{"id":1686,"uris":["http://zotero.org/users/local/YcBHrSK0/items/ET35RSA2"],"itemData":{"id":1686,"type":"report","language":"eng","publisher":"U.S. Geological Survey, U.S. Department of the Interior, Reston, Virginia","source":"K10plus ISBN","title":"Estimated use of water in the United States in 2005","author":[{"family":"Keeny","given":"Joan F"},{"family":"Barber","given":"Nancy L"},{"family":"Hutson","given":"Susan S"},{"family":"Linsey","given":"Kristin S"},{"family":"Lovelace","given":"John K"},{"family":"Maupin","given":"Molly A"}],"issued":{"date-parts":[["2009"]]}}}],"schema":"https://github.com/citation-style-language/schema/raw/master/csl-citation.json"}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52</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 xml:space="preserve">. Water withdrawals are estimated as water consumption multiplied by an exogenous withdrawal to consumption ratio of 3.3, which comes from a 1995 USA assessment </w:t>
      </w:r>
      <w:r w:rsidRPr="00EE41C6">
        <w:rPr>
          <w:rFonts w:ascii="Times New Roman" w:eastAsia="SimSun" w:hAnsi="Times New Roman" w:cs="Times New Roman"/>
          <w:kern w:val="0"/>
          <w14:ligatures w14:val="none"/>
        </w:rPr>
        <w:fldChar w:fldCharType="begin"/>
      </w:r>
      <w:r w:rsidR="00005AF3" w:rsidRPr="00EE41C6">
        <w:rPr>
          <w:rFonts w:ascii="Times New Roman" w:eastAsia="SimSun" w:hAnsi="Times New Roman" w:cs="Times New Roman"/>
          <w:kern w:val="0"/>
          <w14:ligatures w14:val="none"/>
        </w:rPr>
        <w:instrText xml:space="preserve"> ADDIN ZOTERO_ITEM CSL_CITATION {"citationID":"0vSHLecg","properties":{"formattedCitation":"\\super 53\\nosupersub{}","plainCitation":"53","noteIndex":0},"citationItems":[{"id":1688,"uris":["http://zotero.org/users/local/YcBHrSK0/items/HUSBDBQQ"],"itemData":{"id":1688,"type":"report","archive":"USGS Publications Warehouse","collection-title":"Circular","genre":"Report","language":"ENGLISH","note":"edition: -\nDOI: 10.3133/cir1200","number":"1200","title":"Estimated use of water in the United States in 1995","URL":"https://pubs.usgs.gov/publication/cir1200","author":[{"family":"Solley","given":"Wayne B."},{"family":"Pierce","given":"Robert R."},{"family":"Perlman","given":"Howard A."}],"issued":{"date-parts":[["1998"]]}}}],"schema":"https://github.com/citation-style-language/schema/raw/master/csl-citation.json"}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53</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w:t>
      </w:r>
    </w:p>
    <w:p w14:paraId="7A8E7E72" w14:textId="36CA823C" w:rsidR="00707CFD" w:rsidRPr="00EE41C6" w:rsidRDefault="00707CFD" w:rsidP="00707CFD">
      <w:pPr>
        <w:spacing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 xml:space="preserve">Food and Agriculture Organization (FAO) </w:t>
      </w:r>
      <w:proofErr w:type="spellStart"/>
      <w:r w:rsidRPr="00EE41C6">
        <w:rPr>
          <w:rFonts w:ascii="Times New Roman" w:eastAsia="SimSun" w:hAnsi="Times New Roman" w:cs="Times New Roman"/>
          <w:kern w:val="0"/>
          <w14:ligatures w14:val="none"/>
        </w:rPr>
        <w:t>Aquastat</w:t>
      </w:r>
      <w:proofErr w:type="spellEnd"/>
      <w:r w:rsidRPr="00EE41C6">
        <w:rPr>
          <w:rFonts w:ascii="Times New Roman" w:eastAsia="SimSun" w:hAnsi="Times New Roman" w:cs="Times New Roman"/>
          <w:kern w:val="0"/>
          <w14:ligatures w14:val="none"/>
        </w:rPr>
        <w:t xml:space="preserve"> </w:t>
      </w:r>
      <w:r w:rsidRPr="00EE41C6">
        <w:rPr>
          <w:rFonts w:ascii="Times New Roman" w:eastAsia="SimSun" w:hAnsi="Times New Roman" w:cs="Times New Roman"/>
          <w:kern w:val="0"/>
          <w14:ligatures w14:val="none"/>
        </w:rPr>
        <w:fldChar w:fldCharType="begin"/>
      </w:r>
      <w:r w:rsidR="00005AF3" w:rsidRPr="00EE41C6">
        <w:rPr>
          <w:rFonts w:ascii="Times New Roman" w:eastAsia="SimSun" w:hAnsi="Times New Roman" w:cs="Times New Roman"/>
          <w:kern w:val="0"/>
          <w14:ligatures w14:val="none"/>
        </w:rPr>
        <w:instrText xml:space="preserve"> ADDIN ZOTERO_ITEM CSL_CITATION {"citationID":"9eT2u9fk","properties":{"formattedCitation":"\\super 54\\nosupersub{}","plainCitation":"54","noteIndex":0},"citationItems":[{"id":1689,"uris":["http://zotero.org/users/local/YcBHrSK0/items/HMF85SR4"],"itemData":{"id":1689,"type":"report","publisher":"Food and Agriculture Organization of the United Nations (FAO)","title":"AQUASTAT Main Database","URL":"https://www.fao.org/faostat/en/#home","author":[{"family":"FAO","given":""}],"accessed":{"date-parts":[["2024",2,5]]},"issued":{"date-parts":[["2016"]]}}}],"schema":"https://github.com/citation-style-language/schema/raw/master/csl-citation.json"}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54</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 xml:space="preserve"> withdrawals are assigned to a municipal water sector in each region, growing with population, GDP, and moderated by technical change. Prices are from International Benchmarking Network (IBNET) </w:t>
      </w:r>
      <w:r w:rsidRPr="00EE41C6">
        <w:rPr>
          <w:rFonts w:ascii="Times New Roman" w:eastAsia="SimSun" w:hAnsi="Times New Roman" w:cs="Times New Roman"/>
          <w:kern w:val="0"/>
          <w14:ligatures w14:val="none"/>
        </w:rPr>
        <w:fldChar w:fldCharType="begin"/>
      </w:r>
      <w:r w:rsidR="00005AF3" w:rsidRPr="00EE41C6">
        <w:rPr>
          <w:rFonts w:ascii="Times New Roman" w:eastAsia="SimSun" w:hAnsi="Times New Roman" w:cs="Times New Roman"/>
          <w:kern w:val="0"/>
          <w14:ligatures w14:val="none"/>
        </w:rPr>
        <w:instrText xml:space="preserve"> ADDIN ZOTERO_ITEM CSL_CITATION {"citationID":"g0rqriTK","properties":{"formattedCitation":"\\super 55\\nosupersub{}","plainCitation":"55","noteIndex":0},"citationItems":[{"id":1690,"uris":["http://zotero.org/users/local/YcBHrSK0/items/UXKW2K4L"],"itemData":{"id":1690,"type":"report","language":"en-US","publisher":"International Benchmarking Network for Water and Sanitation Utilities (IBNET)","title":"Benchmarking Database","URL":"https://www.ib-net.org/","author":[{"family":"IBNET","given":""}],"accessed":{"date-parts":[["2024",2,5]]},"issued":{"date-parts":[["2016"]]}}}],"schema":"https://github.com/citation-style-language/schema/raw/master/csl-citation.json"}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55</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 xml:space="preserve">. The demand projection functional form accounts for future price increases. Consumption is also modeled, with the distinction from withdrawals based on an overall municipal supply efficiency from </w:t>
      </w:r>
      <w:proofErr w:type="spellStart"/>
      <w:r w:rsidRPr="00EE41C6">
        <w:rPr>
          <w:rFonts w:ascii="Times New Roman" w:eastAsia="SimSun" w:hAnsi="Times New Roman" w:cs="Times New Roman"/>
          <w:kern w:val="0"/>
          <w14:ligatures w14:val="none"/>
        </w:rPr>
        <w:t>Shiklomanov</w:t>
      </w:r>
      <w:proofErr w:type="spellEnd"/>
      <w:r w:rsidRPr="00EE41C6">
        <w:rPr>
          <w:rFonts w:ascii="Times New Roman" w:eastAsia="SimSun" w:hAnsi="Times New Roman" w:cs="Times New Roman"/>
          <w:kern w:val="0"/>
          <w14:ligatures w14:val="none"/>
        </w:rPr>
        <w:t xml:space="preserve"> </w:t>
      </w:r>
      <w:r w:rsidRPr="00EE41C6">
        <w:rPr>
          <w:rFonts w:ascii="Times New Roman" w:eastAsia="SimSun" w:hAnsi="Times New Roman" w:cs="Times New Roman"/>
          <w:kern w:val="0"/>
          <w14:ligatures w14:val="none"/>
        </w:rPr>
        <w:fldChar w:fldCharType="begin"/>
      </w:r>
      <w:r w:rsidR="00005AF3" w:rsidRPr="00EE41C6">
        <w:rPr>
          <w:rFonts w:ascii="Times New Roman" w:eastAsia="SimSun" w:hAnsi="Times New Roman" w:cs="Times New Roman"/>
          <w:kern w:val="0"/>
          <w14:ligatures w14:val="none"/>
        </w:rPr>
        <w:instrText xml:space="preserve"> ADDIN ZOTERO_ITEM CSL_CITATION {"citationID":"d4kPo5e5","properties":{"formattedCitation":"\\super 56\\nosupersub{}","plainCitation":"56","noteIndex":0},"citationItems":[{"id":1691,"uris":["http://zotero.org/users/local/YcBHrSK0/items/IJULVURW"],"itemData":{"id":1691,"type":"report","publisher":"World Water Scenarios: Analysis of Global Water Resources and Use. Earthscan, London, UK","title":"World water resources and water use: present assessment and outlook for 2025","author":[{"family":"Shiklomanov","given":"Igor A."}],"issued":{"date-parts":[["2000"]]}}}],"schema":"https://github.com/citation-style-language/schema/raw/master/csl-citation.json"}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56</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 Withdrawals indicate total input to the supply system, while consumption is the volume not returned. The future withdrawal/consumption ratio is static, so both scale with demand. This represents growing municipal water needs. Adaptation measures can explore altering intensity. See Hejazi et al.</w:t>
      </w:r>
      <w:r w:rsidRPr="00EE41C6">
        <w:rPr>
          <w:rFonts w:ascii="Times New Roman" w:eastAsia="SimSun" w:hAnsi="Times New Roman" w:cs="Times New Roman"/>
          <w:kern w:val="0"/>
          <w14:ligatures w14:val="none"/>
        </w:rPr>
        <w:fldChar w:fldCharType="begin"/>
      </w:r>
      <w:r w:rsidR="00005AF3" w:rsidRPr="00EE41C6">
        <w:rPr>
          <w:rFonts w:ascii="Times New Roman" w:eastAsia="SimSun" w:hAnsi="Times New Roman" w:cs="Times New Roman"/>
          <w:kern w:val="0"/>
          <w14:ligatures w14:val="none"/>
        </w:rPr>
        <w:instrText xml:space="preserve"> ADDIN ZOTERO_ITEM CSL_CITATION {"citationID":"dZzE3s0J","properties":{"formattedCitation":"\\super 44,57\\nosupersub{}","plainCitation":"44,57","noteIndex":0},"citationItems":[{"id":1677,"uris":["http://zotero.org/users/local/YcBHrSK0/items/YBYIUGZM"],"itemData":{"id":1677,"type":"article-journal","abstract":"In this paper, we assess future water demands for the agricultural (irrigation and livestock), energy (electricity generation, primary energy production and processing), industrial (manufacturing and mining), and municipal sectors, by incorporating water demands into a technologically-detailed global integrated assessment model of energy, agriculture, and climate change — the Global Change Assessment Model (GCAM). Base-year water demands – both gross withdrawals and net consumptive use – are assigned to specific modeled activities in a way that maximizes consistency between bottom-up estimates of water demand intensities of specific technologies and practices, and top-down regional and sectoral estimates of water use. The energy, industrial, and municipal sectors are represented in fourteen geopolitical regions, with the agricultural sector further disaggregated into as many as eighteen agro-ecological zones (AEZs) within each region. We assess future water demands representing six socioeconomic scenarios, with no constraints imposed by future water supplies. The scenarios observe increases in global water withdrawals from 3710km3year−1 in 2005 to 6195–8690km3year−1 in 2050, and to 4869–12,693km3year−1 in 2095. Comparing the projected total regional water withdrawals to the historical supply of renewable freshwater, the Middle East exhibits the highest levels of water scarcity throughout the century, followed by India; water scarcity increases over time in both of these regions. In contrast, water scarcity improves in some regions with large base-year electric sector withdrawals, such as the USA and Canada, due to capital stock turnover and the almost complete phase-out of once-through flow cooling systems. The scenarios indicate that: 1) water is likely a limiting factor in meeting future water demands, 2) many regions can be expected to increase reliance on non-renewable groundwater, water reuse, and desalinated water, but they also highlight an important role for development and deployment of water conservation technologies and practices.","container-title":"Technological Forecasting and Social Change","DOI":"10.1016/j.techfore.2013.05.006","ISSN":"0040-1625","journalAbbreviation":"Technological Forecasting and Social Change","page":"205-226","source":"ScienceDirect","title":"Long-term global water projections using six socioeconomic scenarios in an integrated assessment modeling framework","volume":"81","author":[{"family":"Hejazi","given":"Mohamad"},{"family":"Edmonds","given":"James"},{"family":"Clarke","given":"Leon"},{"family":"Kyle","given":"Page"},{"family":"Davies","given":"Evan"},{"family":"Chaturvedi","given":"Vaibhav"},{"family":"Wise","given":"Marshall"},{"family":"Patel","given":"Pralit"},{"family":"Eom","given":"Jiyong"},{"family":"Calvin","given":"Katherine"},{"family":"Moss","given":"Richard"},{"family":"Kim","given":"Son"}],"issued":{"date-parts":[["2014",1,1]]}}},{"id":1692,"uris":["http://zotero.org/users/local/YcBHrSK0/items/LBLM8XDE"],"itemData":{"id":1692,"type":"article-journal","abstract":"Three future projections of global municipal water use are established: business-as usual (BAU), low technological improvement (Low Tech), and high technological improvement (High Tech). A global municipal water demand model is constructed using global water-use statistics at the country scale, calibrated to the base year of 2005, and simulated to the end of the 21st century. Since the constructed water demand model hinges on socio-economic variables (population, income), water price, and end-use technology and efficiency improvement rates, projections of those input variables are adopted to characterize the uncertainty in future water demand estimates. The water demand model is linked to the Global Change Assessment Model (GCAM), a global change integrated assessment model. Under the reference (BAU) scenario, the global total water withdrawal increases from 466 km3 year−1 in 2005 to 1098 km3 year−1 in 2100, while withdrawals in the High and Low Tech scenarios are 437 and 2000 km3 year−1, respectively. Editor Z.W. Kundzewicz; Associate editor D. Gerten Citation Hejazi, M., Edmonds, J., Chaturvedi, V., Davies, E., and Eom, J.Y., 2013. Scenarios of global municipal water use demand projections over the 21st century. Hydrological Sciences Journal, 58 (3), 519–538","container-title":"Hydrological Sciences Journal","DOI":"10.1080/02626667.2013.772301","ISSN":"0262-6667","issue":"3","note":"publisher: Taylor &amp; Francis\n_eprint: https://doi.org/10.1080/02626667.2013.772301","page":"519-538","source":"Taylor and Francis+NEJM","title":"Scenarios of global municipal water-use demand projections over the 21st century","volume":"58","author":[{"family":"Hejazi","given":"Mohamad"},{"family":"Edmonds","given":"James"},{"family":"Chaturvedi","given":"Vaibhav"},{"family":"Davies","given":"Evan"},{"family":"Eom","given":"Jiyong"}],"issued":{"date-parts":[["2013",4,1]]}}}],"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44,57</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 xml:space="preserve"> for details. The approach combines data on total use and supply efficiency to separately model withdrawn and consumed municipal water.</w:t>
      </w:r>
    </w:p>
    <w:p w14:paraId="4795E701" w14:textId="1394C17E" w:rsidR="00707CFD" w:rsidRPr="00EE41C6" w:rsidRDefault="00707CFD" w:rsidP="00707CFD">
      <w:pPr>
        <w:pStyle w:val="Heading1"/>
        <w:rPr>
          <w:rFonts w:ascii="Times New Roman" w:hAnsi="Times New Roman" w:cs="Times New Roman"/>
        </w:rPr>
      </w:pPr>
      <w:bookmarkStart w:id="29" w:name="_Toc176517758"/>
      <w:r w:rsidRPr="00EE41C6">
        <w:rPr>
          <w:rFonts w:ascii="Times New Roman" w:hAnsi="Times New Roman" w:cs="Times New Roman"/>
        </w:rPr>
        <w:t xml:space="preserve">Supplementary Note </w:t>
      </w:r>
      <w:r w:rsidR="008409AF" w:rsidRPr="00EE41C6">
        <w:rPr>
          <w:rFonts w:ascii="Times New Roman" w:hAnsi="Times New Roman" w:cs="Times New Roman"/>
        </w:rPr>
        <w:t>7</w:t>
      </w:r>
      <w:r w:rsidRPr="00EE41C6">
        <w:rPr>
          <w:rFonts w:ascii="Times New Roman" w:hAnsi="Times New Roman" w:cs="Times New Roman"/>
        </w:rPr>
        <w:t>: GCAM’s fertilizer module</w:t>
      </w:r>
      <w:bookmarkEnd w:id="29"/>
    </w:p>
    <w:p w14:paraId="7C820E50" w14:textId="77777777" w:rsidR="00707CFD" w:rsidRPr="00EE41C6" w:rsidRDefault="00707CFD" w:rsidP="00707CFD"/>
    <w:p w14:paraId="76DF5BA7" w14:textId="3EFF4F32" w:rsidR="00707CFD" w:rsidRPr="00EE41C6" w:rsidRDefault="00707CFD" w:rsidP="00707CFD">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 xml:space="preserve">GCAM includes a nitrogen (N) fertilizer module with regional production technologies and crop/AEZ consumption. Production and consumption by country use FAO </w:t>
      </w:r>
      <w:proofErr w:type="spellStart"/>
      <w:r w:rsidRPr="00EE41C6">
        <w:rPr>
          <w:rFonts w:ascii="Times New Roman" w:eastAsia="SimSun" w:hAnsi="Times New Roman" w:cs="Times New Roman"/>
          <w:kern w:val="0"/>
          <w14:ligatures w14:val="none"/>
        </w:rPr>
        <w:t>ResourceSTAT</w:t>
      </w:r>
      <w:proofErr w:type="spellEnd"/>
      <w:r w:rsidRPr="00EE41C6">
        <w:rPr>
          <w:rFonts w:ascii="Times New Roman" w:eastAsia="SimSun" w:hAnsi="Times New Roman" w:cs="Times New Roman"/>
          <w:kern w:val="0"/>
          <w14:ligatures w14:val="none"/>
        </w:rPr>
        <w:t xml:space="preserve"> data, with uniform downward adjustment of production so global totals match consumption excluding non-agricultural uses. Production shares by technology are from International Energy Agency (IEA), which also provides regional energy intensities. Consumption is downscaled to crops via International Fertilizer Association (IFA)/FAO data, then to AEZ based on crop production and USDA details for the USA. Non-fuel costs are calibrated </w:t>
      </w:r>
      <w:r w:rsidRPr="00EE41C6">
        <w:rPr>
          <w:rFonts w:ascii="Times New Roman" w:eastAsia="SimSun" w:hAnsi="Times New Roman" w:cs="Times New Roman"/>
          <w:kern w:val="0"/>
          <w14:ligatures w14:val="none"/>
        </w:rPr>
        <w:lastRenderedPageBreak/>
        <w:t>to market prices in base years. Input-output coefficients (</w:t>
      </w:r>
      <w:proofErr w:type="spellStart"/>
      <w:r w:rsidRPr="00EE41C6">
        <w:rPr>
          <w:rFonts w:ascii="Times New Roman" w:eastAsia="SimSun" w:hAnsi="Times New Roman" w:cs="Times New Roman"/>
          <w:kern w:val="0"/>
          <w14:ligatures w14:val="none"/>
        </w:rPr>
        <w:t>kgN</w:t>
      </w:r>
      <w:proofErr w:type="spellEnd"/>
      <w:r w:rsidRPr="00EE41C6">
        <w:rPr>
          <w:rFonts w:ascii="Times New Roman" w:eastAsia="SimSun" w:hAnsi="Times New Roman" w:cs="Times New Roman"/>
          <w:kern w:val="0"/>
          <w14:ligatures w14:val="none"/>
        </w:rPr>
        <w:t xml:space="preserve"> per kg crop) are constant, so future demand scales with yield improvements. FAO provides historical production including non-agricultural uses, exceeding consumption by 5-10%. GCAM includes only agricultural fertilizer, so global production is uniformly adjusted downward to match consumption. With significant base year trade, GCAM includes exogenous fertilizer trade. Exporting regions have additional fixed final demand, while importers have extra production without energy inputs. This captures fertilizer production technologies, energy use, consumption by crop and location, and trade flows to represent agricultural nitrogen demands.</w:t>
      </w:r>
    </w:p>
    <w:p w14:paraId="08928EC8" w14:textId="27C5653B" w:rsidR="00F77190" w:rsidRPr="00EE41C6" w:rsidRDefault="00732BF4" w:rsidP="00176F76">
      <w:pPr>
        <w:pStyle w:val="Heading1"/>
        <w:rPr>
          <w:rFonts w:ascii="Times New Roman" w:hAnsi="Times New Roman" w:cs="Times New Roman"/>
        </w:rPr>
      </w:pPr>
      <w:bookmarkStart w:id="30" w:name="_Toc157938564"/>
      <w:bookmarkStart w:id="31" w:name="_Toc176517759"/>
      <w:r w:rsidRPr="00EE41C6">
        <w:rPr>
          <w:rFonts w:ascii="Times New Roman" w:hAnsi="Times New Roman" w:cs="Times New Roman"/>
        </w:rPr>
        <w:t xml:space="preserve">Supplementary </w:t>
      </w:r>
      <w:bookmarkEnd w:id="30"/>
      <w:r w:rsidR="00176F76" w:rsidRPr="00EE41C6">
        <w:rPr>
          <w:rFonts w:ascii="Times New Roman" w:hAnsi="Times New Roman" w:cs="Times New Roman"/>
        </w:rPr>
        <w:t xml:space="preserve">Note </w:t>
      </w:r>
      <w:r w:rsidR="008409AF" w:rsidRPr="00EE41C6">
        <w:rPr>
          <w:rFonts w:ascii="Times New Roman" w:hAnsi="Times New Roman" w:cs="Times New Roman"/>
        </w:rPr>
        <w:t>8</w:t>
      </w:r>
      <w:r w:rsidR="00176F76" w:rsidRPr="00EE41C6">
        <w:rPr>
          <w:rFonts w:ascii="Times New Roman" w:hAnsi="Times New Roman" w:cs="Times New Roman"/>
        </w:rPr>
        <w:t>: M</w:t>
      </w:r>
      <w:r w:rsidR="00F77190" w:rsidRPr="00EE41C6">
        <w:rPr>
          <w:rFonts w:ascii="Times New Roman" w:hAnsi="Times New Roman" w:cs="Times New Roman"/>
        </w:rPr>
        <w:t>odel parameterization</w:t>
      </w:r>
      <w:bookmarkEnd w:id="31"/>
      <w:r w:rsidR="00F77190" w:rsidRPr="00EE41C6">
        <w:rPr>
          <w:rFonts w:ascii="Times New Roman" w:hAnsi="Times New Roman" w:cs="Times New Roman"/>
        </w:rPr>
        <w:t xml:space="preserve"> </w:t>
      </w:r>
    </w:p>
    <w:p w14:paraId="20BB8250" w14:textId="77777777" w:rsidR="00F1385D" w:rsidRPr="00EE41C6" w:rsidRDefault="00F1385D" w:rsidP="00F1385D"/>
    <w:p w14:paraId="69F724EA" w14:textId="37C87A68" w:rsidR="00AC081F" w:rsidRPr="00EE41C6" w:rsidRDefault="0068007A" w:rsidP="003043B7">
      <w:pPr>
        <w:spacing w:line="480" w:lineRule="auto"/>
        <w:ind w:firstLine="288"/>
        <w:jc w:val="both"/>
        <w:rPr>
          <w:rFonts w:ascii="Times New Roman" w:hAnsi="Times New Roman" w:cs="Times New Roman"/>
        </w:rPr>
      </w:pPr>
      <w:r w:rsidRPr="00EE41C6">
        <w:rPr>
          <w:rFonts w:ascii="Times New Roman" w:hAnsi="Times New Roman" w:cs="Times New Roman"/>
        </w:rPr>
        <w:t>In this section, some underlying parameters/modelling assumptions</w:t>
      </w:r>
      <w:r w:rsidR="00A11267" w:rsidRPr="00EE41C6">
        <w:rPr>
          <w:rFonts w:ascii="Times New Roman" w:hAnsi="Times New Roman" w:cs="Times New Roman"/>
        </w:rPr>
        <w:t xml:space="preserve"> are presented</w:t>
      </w:r>
      <w:r w:rsidR="00FA652B" w:rsidRPr="00EE41C6">
        <w:rPr>
          <w:rFonts w:ascii="Times New Roman" w:hAnsi="Times New Roman" w:cs="Times New Roman"/>
        </w:rPr>
        <w:t xml:space="preserve">. </w:t>
      </w:r>
      <w:r w:rsidRPr="00EE41C6">
        <w:rPr>
          <w:rFonts w:ascii="Times New Roman" w:hAnsi="Times New Roman" w:cs="Times New Roman"/>
        </w:rPr>
        <w:t xml:space="preserve">Unless cited otherwise, all information </w:t>
      </w:r>
      <w:r w:rsidR="00A11267" w:rsidRPr="00EE41C6">
        <w:rPr>
          <w:rFonts w:ascii="Times New Roman" w:hAnsi="Times New Roman" w:cs="Times New Roman"/>
        </w:rPr>
        <w:t>is</w:t>
      </w:r>
      <w:r w:rsidRPr="00EE41C6">
        <w:rPr>
          <w:rFonts w:ascii="Times New Roman" w:hAnsi="Times New Roman" w:cs="Times New Roman"/>
        </w:rPr>
        <w:t xml:space="preserve"> obtained from Ref. </w:t>
      </w:r>
      <w:r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{"citationID":"LZRnTKwQ","properties":{"formattedCitation":"\\super 58\\nosupersub{}","plainCitation":"58","noteIndex":0},"citationItems":[{"id":682,"uris":["http://zotero.org/users/local/YcBHrSK0/items/UIF6GXSP"],"itemData":{"id":682,"type":"report","abstract":"New features include: A new residential floorspace expansion model. Bio-energy updates: additional limits to \"unsustainable\" deployment Default hotelling rate for climate stabilization scenarios is now 3%. Split out 6 detailed industrial sectors from the aggregate industry sector. Updated Hydrogen production, distribution, and end-use technologies. A new protected lands definition. Expanded crop commodities. Use spatially explicit soil and vegetation carbon data from Moirai. HFC MAC curve fixes. New pollutant emissions controls. Add direct air capture as a mitigation option in GCAM-USA. Gross electricity trade in GCAM-USA. Add GHGs to GCAM-USA. Add pollutant emissions to GCAM-USA. Solution improvements, particularly related to water markets. Change the XML parser library to RapidXML. Add the ability to exit the model early due to solution failure. Reduce memory usage (offsets additional memory from expanded crop commodities). &lt;code&gt;gcamdata&lt;/code&gt;: Renv and user modification chunks.","license":"Open Access","note":"Programmers: _:n3652\nDOI: 10.5281/ZENODO.6619287","publisher":"Zenodo","source":"DOI.org (Datacite)","title":"JGCRI/gcam-core: GCAM 6.0","title-short":"JGCRI/gcam-core","URL":"https://zenodo.org/record/6619287","author":[{"family":"Bond-Lamberty","given":"Ben"},{"literal":"Pralit Patel"},{"family":"Lurz","given":"Joshua"},{"literal":"Pkyle"},{"literal":"Kvcalvin"},{"family":"Smith","given":"Steve"},{"literal":"Abigailsnyder"},{"family":"Dorheim","given":"Kalyn R."},{"literal":"Russellhz"},{"literal":"Mbins"},{"family":"Link","given":"Robert"},{"literal":"Skim301"},{"literal":"Nealtg"},{"literal":"Kanishka Narayan"},{"family":"Turner","given":"Sean W D"},{"family":"Aaron","given":"S."},{"literal":"Leyang Feng"},{"literal":"Enlochner"},{"literal":"Cwroney"},{"family":"Lynch","given":"Cary"},{"literal":"Jhoring"},{"literal":"Zarrar Khan"},{"literal":"Siddarthd96"},{"literal":"Orourkepr"},{"literal":"JonathanHuster"},{"literal":"Haewon"},{"family":"Ou","given":"Yang"},{"literal":"Gokul Iyer"},{"literal":"Mwisepnnl"},{"literal":"Marideeweber"}],"accessed":{"date-parts":[["2023",3,16]]},"issued":{"date-parts":[["2022"]]}}}],"schema":"https://github.com/citation-style-language/schema/raw/master/csl-citation.json"} </w:instrText>
      </w:r>
      <w:r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58</w:t>
      </w:r>
      <w:r w:rsidRPr="00EE41C6">
        <w:rPr>
          <w:rFonts w:ascii="Times New Roman" w:hAnsi="Times New Roman" w:cs="Times New Roman"/>
        </w:rPr>
        <w:fldChar w:fldCharType="end"/>
      </w:r>
      <w:r w:rsidRPr="00EE41C6">
        <w:rPr>
          <w:rFonts w:ascii="Times New Roman" w:hAnsi="Times New Roman" w:cs="Times New Roman"/>
        </w:rPr>
        <w:t xml:space="preserve">, and additional information not discussed or presented here can be obtained from the same source. </w:t>
      </w:r>
      <w:bookmarkStart w:id="32" w:name="_Toc167274027"/>
    </w:p>
    <w:p w14:paraId="789C5040" w14:textId="395A68AD" w:rsidR="00F10D60" w:rsidRPr="00EE41C6" w:rsidRDefault="00DB6449" w:rsidP="00DB6449">
      <w:pPr>
        <w:pStyle w:val="Caption"/>
        <w:jc w:val="center"/>
        <w:rPr>
          <w:rFonts w:ascii="Times New Roman" w:eastAsia="DengXian" w:hAnsi="Times New Roman" w:cs="Times New Roman"/>
          <w:color w:val="auto"/>
          <w:kern w:val="0"/>
          <w14:ligatures w14:val="none"/>
        </w:rPr>
      </w:pPr>
      <w:r w:rsidRPr="00EE41C6">
        <w:t xml:space="preserve">Supplementary Table </w:t>
      </w:r>
      <w:fldSimple w:instr=" SEQ Supplementary_Table \* ARABIC ">
        <w:r w:rsidR="008628F3" w:rsidRPr="00EE41C6">
          <w:rPr>
            <w:noProof/>
          </w:rPr>
          <w:t>2</w:t>
        </w:r>
      </w:fldSimple>
      <w:r w:rsidRPr="00EE41C6">
        <w:t xml:space="preserve"> </w:t>
      </w:r>
      <w:r w:rsidR="00F10D60" w:rsidRPr="00EE41C6">
        <w:rPr>
          <w:rFonts w:ascii="Times New Roman" w:eastAsia="DengXian" w:hAnsi="Times New Roman" w:cs="Times New Roman"/>
          <w:color w:val="auto"/>
          <w:kern w:val="0"/>
          <w14:ligatures w14:val="none"/>
        </w:rPr>
        <w:t xml:space="preserve">Capital cost assumptions for the electric power sector (2010 </w:t>
      </w:r>
      <w:r w:rsidR="00D87353" w:rsidRPr="00EE41C6">
        <w:rPr>
          <w:rFonts w:ascii="Times New Roman" w:eastAsia="DengXian" w:hAnsi="Times New Roman" w:cs="Times New Roman"/>
          <w:color w:val="auto"/>
          <w:kern w:val="0"/>
          <w14:ligatures w14:val="none"/>
        </w:rPr>
        <w:t>$</w:t>
      </w:r>
      <w:r w:rsidR="00F10D60" w:rsidRPr="00EE41C6">
        <w:rPr>
          <w:rFonts w:ascii="Times New Roman" w:eastAsia="DengXian" w:hAnsi="Times New Roman" w:cs="Times New Roman"/>
          <w:color w:val="auto"/>
          <w:kern w:val="0"/>
          <w14:ligatures w14:val="none"/>
        </w:rPr>
        <w:t xml:space="preserve"> </w:t>
      </w:r>
      <w:r w:rsidR="00D87353" w:rsidRPr="00EE41C6">
        <w:rPr>
          <w:rFonts w:ascii="Times New Roman" w:eastAsia="DengXian" w:hAnsi="Times New Roman" w:cs="Times New Roman"/>
          <w:color w:val="auto"/>
          <w:kern w:val="0"/>
          <w14:ligatures w14:val="none"/>
        </w:rPr>
        <w:t>per kilowatt (</w:t>
      </w:r>
      <w:r w:rsidR="00F10D60" w:rsidRPr="00EE41C6">
        <w:rPr>
          <w:rFonts w:ascii="Times New Roman" w:eastAsia="DengXian" w:hAnsi="Times New Roman" w:cs="Times New Roman"/>
          <w:color w:val="auto"/>
          <w:kern w:val="0"/>
          <w14:ligatures w14:val="none"/>
        </w:rPr>
        <w:t>kW</w:t>
      </w:r>
      <w:r w:rsidR="00D87353" w:rsidRPr="00EE41C6">
        <w:rPr>
          <w:rFonts w:ascii="Times New Roman" w:eastAsia="DengXian" w:hAnsi="Times New Roman" w:cs="Times New Roman"/>
          <w:color w:val="auto"/>
          <w:kern w:val="0"/>
          <w14:ligatures w14:val="none"/>
        </w:rPr>
        <w:t>)</w:t>
      </w:r>
      <w:r w:rsidR="00F10D60" w:rsidRPr="00EE41C6">
        <w:rPr>
          <w:rFonts w:ascii="Times New Roman" w:eastAsia="DengXian" w:hAnsi="Times New Roman" w:cs="Times New Roman"/>
          <w:color w:val="auto"/>
          <w:kern w:val="0"/>
          <w14:ligatures w14:val="none"/>
        </w:rPr>
        <w:t>)</w:t>
      </w:r>
      <w:bookmarkEnd w:id="32"/>
    </w:p>
    <w:tbl>
      <w:tblPr>
        <w:tblStyle w:val="TableGrid4"/>
        <w:tblW w:w="5000" w:type="pct"/>
        <w:tblLayout w:type="fixed"/>
        <w:tblLook w:val="04A0" w:firstRow="1" w:lastRow="0" w:firstColumn="1" w:lastColumn="0" w:noHBand="0" w:noVBand="1"/>
      </w:tblPr>
      <w:tblGrid>
        <w:gridCol w:w="5202"/>
        <w:gridCol w:w="1631"/>
        <w:gridCol w:w="1249"/>
        <w:gridCol w:w="1268"/>
      </w:tblGrid>
      <w:tr w:rsidR="00C01575" w:rsidRPr="00EE41C6" w14:paraId="37DEA639" w14:textId="77777777" w:rsidTr="00726652">
        <w:trPr>
          <w:trHeight w:val="20"/>
        </w:trPr>
        <w:tc>
          <w:tcPr>
            <w:tcW w:w="2782" w:type="pct"/>
            <w:vMerge w:val="restart"/>
          </w:tcPr>
          <w:p w14:paraId="1FBF8E21" w14:textId="77777777" w:rsidR="00F10D60" w:rsidRPr="00EE41C6" w:rsidRDefault="00F10D60" w:rsidP="00F10D60">
            <w:pPr>
              <w:spacing w:line="360" w:lineRule="auto"/>
              <w:jc w:val="center"/>
              <w:rPr>
                <w:rFonts w:ascii="Times New Roman" w:eastAsia="SimSun" w:hAnsi="Times New Roman" w:cs="Times New Roman"/>
                <w:sz w:val="20"/>
                <w:szCs w:val="20"/>
              </w:rPr>
            </w:pPr>
            <w:r w:rsidRPr="00EE41C6">
              <w:rPr>
                <w:rFonts w:ascii="Times New Roman" w:eastAsia="SimSun" w:hAnsi="Times New Roman" w:cs="Times New Roman"/>
                <w:sz w:val="20"/>
                <w:szCs w:val="20"/>
              </w:rPr>
              <w:t>Electricity Generation</w:t>
            </w:r>
          </w:p>
          <w:p w14:paraId="12BC4A9A" w14:textId="77777777" w:rsidR="00F10D60" w:rsidRPr="00EE41C6" w:rsidRDefault="00F10D60" w:rsidP="00F10D60">
            <w:pPr>
              <w:spacing w:line="360" w:lineRule="auto"/>
              <w:jc w:val="center"/>
              <w:rPr>
                <w:rFonts w:ascii="Times New Roman" w:eastAsia="SimSun" w:hAnsi="Times New Roman" w:cs="Times New Roman"/>
                <w:sz w:val="20"/>
                <w:szCs w:val="20"/>
              </w:rPr>
            </w:pPr>
            <w:r w:rsidRPr="00EE41C6">
              <w:rPr>
                <w:rFonts w:ascii="Times New Roman" w:eastAsia="SimSun" w:hAnsi="Times New Roman" w:cs="Times New Roman"/>
                <w:sz w:val="20"/>
                <w:szCs w:val="20"/>
              </w:rPr>
              <w:t>Technology</w:t>
            </w:r>
          </w:p>
        </w:tc>
        <w:tc>
          <w:tcPr>
            <w:tcW w:w="2218" w:type="pct"/>
            <w:gridSpan w:val="3"/>
          </w:tcPr>
          <w:p w14:paraId="5C86BBC7" w14:textId="1A6864B0" w:rsidR="00F10D60" w:rsidRPr="00EE41C6" w:rsidRDefault="00F10D60" w:rsidP="00F10D60">
            <w:pPr>
              <w:spacing w:line="360" w:lineRule="auto"/>
              <w:jc w:val="center"/>
              <w:rPr>
                <w:rFonts w:ascii="Times New Roman" w:eastAsia="SimSun" w:hAnsi="Times New Roman" w:cs="Times New Roman"/>
                <w:sz w:val="20"/>
                <w:szCs w:val="20"/>
              </w:rPr>
            </w:pPr>
            <w:r w:rsidRPr="00EE41C6">
              <w:rPr>
                <w:rFonts w:ascii="Times New Roman" w:eastAsia="SimSun" w:hAnsi="Times New Roman" w:cs="Times New Roman"/>
                <w:sz w:val="20"/>
                <w:szCs w:val="20"/>
              </w:rPr>
              <w:t xml:space="preserve">Overnight Capital Costs (2010 </w:t>
            </w:r>
            <w:r w:rsidR="00D87353" w:rsidRPr="00EE41C6">
              <w:rPr>
                <w:rFonts w:ascii="Times New Roman" w:eastAsia="SimSun" w:hAnsi="Times New Roman" w:cs="Times New Roman"/>
                <w:sz w:val="20"/>
                <w:szCs w:val="20"/>
              </w:rPr>
              <w:t xml:space="preserve">$ per </w:t>
            </w:r>
            <w:r w:rsidRPr="00EE41C6">
              <w:rPr>
                <w:rFonts w:ascii="Times New Roman" w:eastAsia="SimSun" w:hAnsi="Times New Roman" w:cs="Times New Roman"/>
                <w:sz w:val="20"/>
                <w:szCs w:val="20"/>
              </w:rPr>
              <w:t>kW)</w:t>
            </w:r>
          </w:p>
        </w:tc>
      </w:tr>
      <w:tr w:rsidR="00C01575" w:rsidRPr="00EE41C6" w14:paraId="6CDFA386" w14:textId="77777777" w:rsidTr="00726652">
        <w:trPr>
          <w:trHeight w:val="20"/>
        </w:trPr>
        <w:tc>
          <w:tcPr>
            <w:tcW w:w="2782" w:type="pct"/>
            <w:vMerge/>
          </w:tcPr>
          <w:p w14:paraId="739BA5E1" w14:textId="77777777" w:rsidR="00F10D60" w:rsidRPr="00EE41C6" w:rsidRDefault="00F10D60" w:rsidP="00F10D60">
            <w:pPr>
              <w:spacing w:line="360" w:lineRule="auto"/>
              <w:rPr>
                <w:rFonts w:ascii="Times New Roman" w:eastAsia="SimSun" w:hAnsi="Times New Roman" w:cs="Times New Roman"/>
                <w:sz w:val="20"/>
                <w:szCs w:val="20"/>
              </w:rPr>
            </w:pPr>
          </w:p>
        </w:tc>
        <w:tc>
          <w:tcPr>
            <w:tcW w:w="872" w:type="pct"/>
          </w:tcPr>
          <w:p w14:paraId="3537AC63" w14:textId="77777777" w:rsidR="00F10D60" w:rsidRPr="00EE41C6" w:rsidRDefault="00F10D60" w:rsidP="00F10D60">
            <w:pPr>
              <w:spacing w:line="360" w:lineRule="auto"/>
              <w:jc w:val="center"/>
              <w:rPr>
                <w:rFonts w:ascii="Times New Roman" w:eastAsia="SimSun" w:hAnsi="Times New Roman" w:cs="Times New Roman"/>
                <w:sz w:val="20"/>
                <w:szCs w:val="20"/>
              </w:rPr>
            </w:pPr>
            <w:r w:rsidRPr="00EE41C6">
              <w:rPr>
                <w:rFonts w:ascii="Times New Roman" w:eastAsia="SimSun" w:hAnsi="Times New Roman" w:cs="Times New Roman"/>
                <w:sz w:val="20"/>
                <w:szCs w:val="20"/>
              </w:rPr>
              <w:t>2020</w:t>
            </w:r>
          </w:p>
        </w:tc>
        <w:tc>
          <w:tcPr>
            <w:tcW w:w="668" w:type="pct"/>
          </w:tcPr>
          <w:p w14:paraId="33DD315A" w14:textId="77777777" w:rsidR="00F10D60" w:rsidRPr="00EE41C6" w:rsidRDefault="00F10D60" w:rsidP="00F10D60">
            <w:pPr>
              <w:spacing w:line="360" w:lineRule="auto"/>
              <w:jc w:val="center"/>
              <w:rPr>
                <w:rFonts w:ascii="Times New Roman" w:eastAsia="SimSun" w:hAnsi="Times New Roman" w:cs="Times New Roman"/>
                <w:sz w:val="20"/>
                <w:szCs w:val="20"/>
              </w:rPr>
            </w:pPr>
            <w:r w:rsidRPr="00EE41C6">
              <w:rPr>
                <w:rFonts w:ascii="Times New Roman" w:eastAsia="SimSun" w:hAnsi="Times New Roman" w:cs="Times New Roman"/>
                <w:sz w:val="20"/>
                <w:szCs w:val="20"/>
              </w:rPr>
              <w:t>2030</w:t>
            </w:r>
          </w:p>
        </w:tc>
        <w:tc>
          <w:tcPr>
            <w:tcW w:w="678" w:type="pct"/>
          </w:tcPr>
          <w:p w14:paraId="47BB05F0" w14:textId="77777777" w:rsidR="00F10D60" w:rsidRPr="00EE41C6" w:rsidRDefault="00F10D60" w:rsidP="00F10D60">
            <w:pPr>
              <w:spacing w:line="360" w:lineRule="auto"/>
              <w:jc w:val="center"/>
              <w:rPr>
                <w:rFonts w:ascii="Times New Roman" w:eastAsia="SimSun" w:hAnsi="Times New Roman" w:cs="Times New Roman"/>
                <w:sz w:val="20"/>
                <w:szCs w:val="20"/>
              </w:rPr>
            </w:pPr>
            <w:r w:rsidRPr="00EE41C6">
              <w:rPr>
                <w:rFonts w:ascii="Times New Roman" w:eastAsia="SimSun" w:hAnsi="Times New Roman" w:cs="Times New Roman"/>
                <w:sz w:val="20"/>
                <w:szCs w:val="20"/>
              </w:rPr>
              <w:t>2050</w:t>
            </w:r>
          </w:p>
        </w:tc>
      </w:tr>
      <w:tr w:rsidR="00C01575" w:rsidRPr="00EE41C6" w14:paraId="79B9F404" w14:textId="77777777" w:rsidTr="00726652">
        <w:trPr>
          <w:trHeight w:val="242"/>
        </w:trPr>
        <w:tc>
          <w:tcPr>
            <w:tcW w:w="2782" w:type="pct"/>
            <w:hideMark/>
          </w:tcPr>
          <w:p w14:paraId="5A9135A1" w14:textId="4A82461D" w:rsidR="00F10D60" w:rsidRPr="00EE41C6" w:rsidRDefault="00F10D60"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Biomass (conventional)</w:t>
            </w:r>
          </w:p>
        </w:tc>
        <w:tc>
          <w:tcPr>
            <w:tcW w:w="872" w:type="pct"/>
            <w:hideMark/>
          </w:tcPr>
          <w:p w14:paraId="0FC33556"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3,951</w:t>
            </w:r>
          </w:p>
        </w:tc>
        <w:tc>
          <w:tcPr>
            <w:tcW w:w="668" w:type="pct"/>
            <w:hideMark/>
          </w:tcPr>
          <w:p w14:paraId="4EE1E188"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3,818</w:t>
            </w:r>
          </w:p>
        </w:tc>
        <w:tc>
          <w:tcPr>
            <w:tcW w:w="678" w:type="pct"/>
            <w:hideMark/>
          </w:tcPr>
          <w:p w14:paraId="4A960E93"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3,702</w:t>
            </w:r>
          </w:p>
        </w:tc>
      </w:tr>
      <w:tr w:rsidR="00C01575" w:rsidRPr="00EE41C6" w14:paraId="32A0DE85" w14:textId="77777777" w:rsidTr="00726652">
        <w:trPr>
          <w:trHeight w:val="20"/>
        </w:trPr>
        <w:tc>
          <w:tcPr>
            <w:tcW w:w="2782" w:type="pct"/>
            <w:hideMark/>
          </w:tcPr>
          <w:p w14:paraId="6DD33CC1" w14:textId="31EB6AA3" w:rsidR="00F10D60" w:rsidRPr="00EE41C6" w:rsidRDefault="00D23622"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Biomass (Integrated Gasification Combined Cycle)</w:t>
            </w:r>
          </w:p>
        </w:tc>
        <w:tc>
          <w:tcPr>
            <w:tcW w:w="872" w:type="pct"/>
            <w:hideMark/>
          </w:tcPr>
          <w:p w14:paraId="5BCEA954"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5,745</w:t>
            </w:r>
          </w:p>
        </w:tc>
        <w:tc>
          <w:tcPr>
            <w:tcW w:w="668" w:type="pct"/>
            <w:hideMark/>
          </w:tcPr>
          <w:p w14:paraId="2242E70A"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5,180</w:t>
            </w:r>
          </w:p>
        </w:tc>
        <w:tc>
          <w:tcPr>
            <w:tcW w:w="678" w:type="pct"/>
            <w:hideMark/>
          </w:tcPr>
          <w:p w14:paraId="7BA63735"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4,819</w:t>
            </w:r>
          </w:p>
        </w:tc>
      </w:tr>
      <w:tr w:rsidR="00C01575" w:rsidRPr="00EE41C6" w14:paraId="42D9E40A" w14:textId="77777777" w:rsidTr="00726652">
        <w:trPr>
          <w:trHeight w:val="20"/>
        </w:trPr>
        <w:tc>
          <w:tcPr>
            <w:tcW w:w="2782" w:type="pct"/>
            <w:hideMark/>
          </w:tcPr>
          <w:p w14:paraId="60856E4E" w14:textId="2F66B99F" w:rsidR="00F10D60" w:rsidRPr="00EE41C6" w:rsidRDefault="00D23622"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Biomass (conventional with Carbon Capture and Storage)</w:t>
            </w:r>
          </w:p>
        </w:tc>
        <w:tc>
          <w:tcPr>
            <w:tcW w:w="872" w:type="pct"/>
            <w:hideMark/>
          </w:tcPr>
          <w:p w14:paraId="79E585F1"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7,317</w:t>
            </w:r>
          </w:p>
        </w:tc>
        <w:tc>
          <w:tcPr>
            <w:tcW w:w="668" w:type="pct"/>
            <w:hideMark/>
          </w:tcPr>
          <w:p w14:paraId="7550660F"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6,568</w:t>
            </w:r>
          </w:p>
        </w:tc>
        <w:tc>
          <w:tcPr>
            <w:tcW w:w="678" w:type="pct"/>
            <w:hideMark/>
          </w:tcPr>
          <w:p w14:paraId="286842DD"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6,168</w:t>
            </w:r>
          </w:p>
        </w:tc>
      </w:tr>
      <w:tr w:rsidR="00C01575" w:rsidRPr="00EE41C6" w14:paraId="55977A38" w14:textId="77777777" w:rsidTr="00726652">
        <w:trPr>
          <w:trHeight w:val="20"/>
        </w:trPr>
        <w:tc>
          <w:tcPr>
            <w:tcW w:w="2782" w:type="pct"/>
            <w:hideMark/>
          </w:tcPr>
          <w:p w14:paraId="3C0E1F9C" w14:textId="12EBCA67" w:rsidR="00F10D60" w:rsidRPr="00EE41C6" w:rsidRDefault="00D23622"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Biomass (Integrated Gasification Combined Cycle with Carbon Capture and Storage)</w:t>
            </w:r>
          </w:p>
        </w:tc>
        <w:tc>
          <w:tcPr>
            <w:tcW w:w="872" w:type="pct"/>
            <w:hideMark/>
          </w:tcPr>
          <w:p w14:paraId="04DF848F"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8,337</w:t>
            </w:r>
          </w:p>
        </w:tc>
        <w:tc>
          <w:tcPr>
            <w:tcW w:w="668" w:type="pct"/>
            <w:hideMark/>
          </w:tcPr>
          <w:p w14:paraId="0DED101C"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7,298</w:t>
            </w:r>
          </w:p>
        </w:tc>
        <w:tc>
          <w:tcPr>
            <w:tcW w:w="678" w:type="pct"/>
            <w:hideMark/>
          </w:tcPr>
          <w:p w14:paraId="5A8FB173"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6,720</w:t>
            </w:r>
          </w:p>
        </w:tc>
      </w:tr>
      <w:tr w:rsidR="00C01575" w:rsidRPr="00EE41C6" w14:paraId="02269CD0" w14:textId="77777777" w:rsidTr="00726652">
        <w:trPr>
          <w:trHeight w:val="161"/>
        </w:trPr>
        <w:tc>
          <w:tcPr>
            <w:tcW w:w="2782" w:type="pct"/>
            <w:hideMark/>
          </w:tcPr>
          <w:p w14:paraId="2F389055" w14:textId="47638F1B" w:rsidR="00F10D60" w:rsidRPr="00EE41C6" w:rsidRDefault="00D23622"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Coal (conventional pulverized)</w:t>
            </w:r>
          </w:p>
        </w:tc>
        <w:tc>
          <w:tcPr>
            <w:tcW w:w="872" w:type="pct"/>
            <w:hideMark/>
          </w:tcPr>
          <w:p w14:paraId="2805EC7D"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2,337</w:t>
            </w:r>
          </w:p>
        </w:tc>
        <w:tc>
          <w:tcPr>
            <w:tcW w:w="668" w:type="pct"/>
            <w:hideMark/>
          </w:tcPr>
          <w:p w14:paraId="064E4890"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2,242</w:t>
            </w:r>
          </w:p>
        </w:tc>
        <w:tc>
          <w:tcPr>
            <w:tcW w:w="678" w:type="pct"/>
            <w:hideMark/>
          </w:tcPr>
          <w:p w14:paraId="044264ED"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2,196</w:t>
            </w:r>
          </w:p>
        </w:tc>
      </w:tr>
      <w:tr w:rsidR="00C01575" w:rsidRPr="00EE41C6" w14:paraId="24C63903" w14:textId="77777777" w:rsidTr="00726652">
        <w:trPr>
          <w:trHeight w:val="20"/>
        </w:trPr>
        <w:tc>
          <w:tcPr>
            <w:tcW w:w="2782" w:type="pct"/>
            <w:hideMark/>
          </w:tcPr>
          <w:p w14:paraId="1E5A7A55" w14:textId="5175C743" w:rsidR="00F10D60" w:rsidRPr="00EE41C6" w:rsidRDefault="00D23622"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Coal (Integrated Gasification Combined Cycle)</w:t>
            </w:r>
          </w:p>
        </w:tc>
        <w:tc>
          <w:tcPr>
            <w:tcW w:w="872" w:type="pct"/>
            <w:hideMark/>
          </w:tcPr>
          <w:p w14:paraId="1013CD26"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3,060</w:t>
            </w:r>
          </w:p>
        </w:tc>
        <w:tc>
          <w:tcPr>
            <w:tcW w:w="668" w:type="pct"/>
            <w:hideMark/>
          </w:tcPr>
          <w:p w14:paraId="62B1F31C"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2,854</w:t>
            </w:r>
          </w:p>
        </w:tc>
        <w:tc>
          <w:tcPr>
            <w:tcW w:w="678" w:type="pct"/>
            <w:hideMark/>
          </w:tcPr>
          <w:p w14:paraId="5FC85DE0"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2,769</w:t>
            </w:r>
          </w:p>
        </w:tc>
      </w:tr>
      <w:tr w:rsidR="00C01575" w:rsidRPr="00EE41C6" w14:paraId="052569F0" w14:textId="77777777" w:rsidTr="00726652">
        <w:trPr>
          <w:trHeight w:val="20"/>
        </w:trPr>
        <w:tc>
          <w:tcPr>
            <w:tcW w:w="2782" w:type="pct"/>
            <w:hideMark/>
          </w:tcPr>
          <w:p w14:paraId="6385EB60" w14:textId="2E6A47FB" w:rsidR="00F10D60" w:rsidRPr="00EE41C6" w:rsidRDefault="00D23622"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Coal (conventional pulverized with Carbon Capture and Storage)</w:t>
            </w:r>
          </w:p>
        </w:tc>
        <w:tc>
          <w:tcPr>
            <w:tcW w:w="872" w:type="pct"/>
            <w:hideMark/>
          </w:tcPr>
          <w:p w14:paraId="23A3A010"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5,503</w:t>
            </w:r>
          </w:p>
        </w:tc>
        <w:tc>
          <w:tcPr>
            <w:tcW w:w="668" w:type="pct"/>
            <w:hideMark/>
          </w:tcPr>
          <w:p w14:paraId="574045A6"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4,925</w:t>
            </w:r>
          </w:p>
        </w:tc>
        <w:tc>
          <w:tcPr>
            <w:tcW w:w="678" w:type="pct"/>
            <w:hideMark/>
          </w:tcPr>
          <w:p w14:paraId="57BCE837"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4,619</w:t>
            </w:r>
          </w:p>
        </w:tc>
      </w:tr>
      <w:tr w:rsidR="00C01575" w:rsidRPr="00EE41C6" w14:paraId="33FD2ACA" w14:textId="77777777" w:rsidTr="00726652">
        <w:trPr>
          <w:trHeight w:val="20"/>
        </w:trPr>
        <w:tc>
          <w:tcPr>
            <w:tcW w:w="2782" w:type="pct"/>
            <w:hideMark/>
          </w:tcPr>
          <w:p w14:paraId="075DDB81" w14:textId="3E583E94" w:rsidR="00F10D60" w:rsidRPr="00EE41C6" w:rsidRDefault="00D23622"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Coal (Integrated Gasification Combined Cycle with Carbon Capture and Storage)</w:t>
            </w:r>
          </w:p>
        </w:tc>
        <w:tc>
          <w:tcPr>
            <w:tcW w:w="872" w:type="pct"/>
            <w:hideMark/>
          </w:tcPr>
          <w:p w14:paraId="36BAA9FF"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4,020</w:t>
            </w:r>
          </w:p>
        </w:tc>
        <w:tc>
          <w:tcPr>
            <w:tcW w:w="668" w:type="pct"/>
            <w:hideMark/>
          </w:tcPr>
          <w:p w14:paraId="32187614"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3,607</w:t>
            </w:r>
          </w:p>
        </w:tc>
        <w:tc>
          <w:tcPr>
            <w:tcW w:w="678" w:type="pct"/>
            <w:hideMark/>
          </w:tcPr>
          <w:p w14:paraId="6F7699F4"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3,448</w:t>
            </w:r>
          </w:p>
        </w:tc>
      </w:tr>
      <w:tr w:rsidR="00C01575" w:rsidRPr="00EE41C6" w14:paraId="2853950A" w14:textId="77777777" w:rsidTr="00726652">
        <w:trPr>
          <w:trHeight w:val="20"/>
        </w:trPr>
        <w:tc>
          <w:tcPr>
            <w:tcW w:w="2782" w:type="pct"/>
            <w:hideMark/>
          </w:tcPr>
          <w:p w14:paraId="125F58AF" w14:textId="5A6577CD" w:rsidR="00F10D60" w:rsidRPr="00EE41C6" w:rsidRDefault="00D23622"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Gas (Combined Cycle)</w:t>
            </w:r>
          </w:p>
        </w:tc>
        <w:tc>
          <w:tcPr>
            <w:tcW w:w="872" w:type="pct"/>
            <w:hideMark/>
          </w:tcPr>
          <w:p w14:paraId="6ED9E81F"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859</w:t>
            </w:r>
          </w:p>
        </w:tc>
        <w:tc>
          <w:tcPr>
            <w:tcW w:w="668" w:type="pct"/>
            <w:hideMark/>
          </w:tcPr>
          <w:p w14:paraId="38AAD018"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824</w:t>
            </w:r>
          </w:p>
        </w:tc>
        <w:tc>
          <w:tcPr>
            <w:tcW w:w="678" w:type="pct"/>
            <w:hideMark/>
          </w:tcPr>
          <w:p w14:paraId="0BFDF2AD"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807</w:t>
            </w:r>
          </w:p>
        </w:tc>
      </w:tr>
      <w:tr w:rsidR="00C01575" w:rsidRPr="00EE41C6" w14:paraId="14D15778" w14:textId="77777777" w:rsidTr="00726652">
        <w:trPr>
          <w:trHeight w:val="20"/>
        </w:trPr>
        <w:tc>
          <w:tcPr>
            <w:tcW w:w="2782" w:type="pct"/>
            <w:hideMark/>
          </w:tcPr>
          <w:p w14:paraId="29897155" w14:textId="01B1CA9E" w:rsidR="00F10D60" w:rsidRPr="00EE41C6" w:rsidRDefault="00D23622"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Gas (steam/Combustion Turbine)</w:t>
            </w:r>
          </w:p>
        </w:tc>
        <w:tc>
          <w:tcPr>
            <w:tcW w:w="872" w:type="pct"/>
            <w:hideMark/>
          </w:tcPr>
          <w:p w14:paraId="18CD9569"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911</w:t>
            </w:r>
          </w:p>
        </w:tc>
        <w:tc>
          <w:tcPr>
            <w:tcW w:w="668" w:type="pct"/>
            <w:hideMark/>
          </w:tcPr>
          <w:p w14:paraId="21E99438"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875</w:t>
            </w:r>
          </w:p>
        </w:tc>
        <w:tc>
          <w:tcPr>
            <w:tcW w:w="678" w:type="pct"/>
            <w:hideMark/>
          </w:tcPr>
          <w:p w14:paraId="18E7EF3B"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857</w:t>
            </w:r>
          </w:p>
        </w:tc>
      </w:tr>
      <w:tr w:rsidR="00C01575" w:rsidRPr="00EE41C6" w14:paraId="0F2A87C3" w14:textId="77777777" w:rsidTr="00726652">
        <w:trPr>
          <w:trHeight w:val="20"/>
        </w:trPr>
        <w:tc>
          <w:tcPr>
            <w:tcW w:w="2782" w:type="pct"/>
            <w:hideMark/>
          </w:tcPr>
          <w:p w14:paraId="3E155070" w14:textId="1CB6CC64" w:rsidR="00F10D60" w:rsidRPr="00EE41C6" w:rsidRDefault="00D23622"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Gas (Combined Cycle with Carbon Capture and Storage)</w:t>
            </w:r>
          </w:p>
        </w:tc>
        <w:tc>
          <w:tcPr>
            <w:tcW w:w="872" w:type="pct"/>
            <w:hideMark/>
          </w:tcPr>
          <w:p w14:paraId="52BBBB38"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1,864</w:t>
            </w:r>
          </w:p>
        </w:tc>
        <w:tc>
          <w:tcPr>
            <w:tcW w:w="668" w:type="pct"/>
            <w:hideMark/>
          </w:tcPr>
          <w:p w14:paraId="070A27B8"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1,677</w:t>
            </w:r>
          </w:p>
        </w:tc>
        <w:tc>
          <w:tcPr>
            <w:tcW w:w="678" w:type="pct"/>
            <w:hideMark/>
          </w:tcPr>
          <w:p w14:paraId="2BA25F30"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1,605</w:t>
            </w:r>
          </w:p>
        </w:tc>
      </w:tr>
      <w:tr w:rsidR="00C01575" w:rsidRPr="00EE41C6" w14:paraId="254BE7A8" w14:textId="77777777" w:rsidTr="00726652">
        <w:trPr>
          <w:trHeight w:val="20"/>
        </w:trPr>
        <w:tc>
          <w:tcPr>
            <w:tcW w:w="2782" w:type="pct"/>
            <w:hideMark/>
          </w:tcPr>
          <w:p w14:paraId="6DA6F6B7" w14:textId="2BCBECA0" w:rsidR="00F10D60" w:rsidRPr="00EE41C6" w:rsidRDefault="00D23622"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Refined liquids (steam/Combustion Turbine)</w:t>
            </w:r>
          </w:p>
        </w:tc>
        <w:tc>
          <w:tcPr>
            <w:tcW w:w="872" w:type="pct"/>
            <w:hideMark/>
          </w:tcPr>
          <w:p w14:paraId="3953B122"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742</w:t>
            </w:r>
          </w:p>
        </w:tc>
        <w:tc>
          <w:tcPr>
            <w:tcW w:w="668" w:type="pct"/>
            <w:hideMark/>
          </w:tcPr>
          <w:p w14:paraId="5ABF397F"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717</w:t>
            </w:r>
          </w:p>
        </w:tc>
        <w:tc>
          <w:tcPr>
            <w:tcW w:w="678" w:type="pct"/>
            <w:hideMark/>
          </w:tcPr>
          <w:p w14:paraId="750D964C"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694</w:t>
            </w:r>
          </w:p>
        </w:tc>
      </w:tr>
      <w:tr w:rsidR="00C01575" w:rsidRPr="00EE41C6" w14:paraId="7F99FCA3" w14:textId="77777777" w:rsidTr="00726652">
        <w:trPr>
          <w:trHeight w:val="20"/>
        </w:trPr>
        <w:tc>
          <w:tcPr>
            <w:tcW w:w="2782" w:type="pct"/>
            <w:hideMark/>
          </w:tcPr>
          <w:p w14:paraId="6C02F038" w14:textId="30F3823E" w:rsidR="00F10D60" w:rsidRPr="00EE41C6" w:rsidRDefault="00D23622"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Refined liquids (Combined Cycle)</w:t>
            </w:r>
          </w:p>
        </w:tc>
        <w:tc>
          <w:tcPr>
            <w:tcW w:w="872" w:type="pct"/>
            <w:hideMark/>
          </w:tcPr>
          <w:p w14:paraId="47C68C87"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1,036</w:t>
            </w:r>
          </w:p>
        </w:tc>
        <w:tc>
          <w:tcPr>
            <w:tcW w:w="668" w:type="pct"/>
            <w:hideMark/>
          </w:tcPr>
          <w:p w14:paraId="2709FE5F"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1,004</w:t>
            </w:r>
          </w:p>
        </w:tc>
        <w:tc>
          <w:tcPr>
            <w:tcW w:w="678" w:type="pct"/>
            <w:hideMark/>
          </w:tcPr>
          <w:p w14:paraId="4570487F"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972</w:t>
            </w:r>
          </w:p>
        </w:tc>
      </w:tr>
      <w:tr w:rsidR="00C01575" w:rsidRPr="00EE41C6" w14:paraId="091C441B" w14:textId="77777777" w:rsidTr="00726652">
        <w:trPr>
          <w:trHeight w:val="20"/>
        </w:trPr>
        <w:tc>
          <w:tcPr>
            <w:tcW w:w="2782" w:type="pct"/>
            <w:hideMark/>
          </w:tcPr>
          <w:p w14:paraId="517DE483" w14:textId="1E088A63" w:rsidR="00F10D60" w:rsidRPr="00EE41C6" w:rsidRDefault="00D23622"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Refined liquids (Combined Cycle with Carbon Capture and Storage)</w:t>
            </w:r>
          </w:p>
        </w:tc>
        <w:tc>
          <w:tcPr>
            <w:tcW w:w="872" w:type="pct"/>
            <w:hideMark/>
          </w:tcPr>
          <w:p w14:paraId="65B4539F"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2,356</w:t>
            </w:r>
          </w:p>
        </w:tc>
        <w:tc>
          <w:tcPr>
            <w:tcW w:w="668" w:type="pct"/>
            <w:hideMark/>
          </w:tcPr>
          <w:p w14:paraId="51F8F964"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2,079</w:t>
            </w:r>
          </w:p>
        </w:tc>
        <w:tc>
          <w:tcPr>
            <w:tcW w:w="678" w:type="pct"/>
            <w:hideMark/>
          </w:tcPr>
          <w:p w14:paraId="57844A1E"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1,937</w:t>
            </w:r>
          </w:p>
        </w:tc>
      </w:tr>
      <w:tr w:rsidR="00C01575" w:rsidRPr="00EE41C6" w14:paraId="4B05CD48" w14:textId="77777777" w:rsidTr="00726652">
        <w:trPr>
          <w:trHeight w:val="20"/>
        </w:trPr>
        <w:tc>
          <w:tcPr>
            <w:tcW w:w="2782" w:type="pct"/>
            <w:hideMark/>
          </w:tcPr>
          <w:p w14:paraId="1C6D862B" w14:textId="5735340A" w:rsidR="00F10D60" w:rsidRPr="00EE41C6" w:rsidRDefault="00D23622"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Generation II Light Water Reactor (Nuclear)</w:t>
            </w:r>
          </w:p>
        </w:tc>
        <w:tc>
          <w:tcPr>
            <w:tcW w:w="872" w:type="pct"/>
            <w:hideMark/>
          </w:tcPr>
          <w:p w14:paraId="30C0E89A"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5,500</w:t>
            </w:r>
          </w:p>
        </w:tc>
        <w:tc>
          <w:tcPr>
            <w:tcW w:w="668" w:type="pct"/>
            <w:hideMark/>
          </w:tcPr>
          <w:p w14:paraId="73A832A2"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5,500</w:t>
            </w:r>
          </w:p>
        </w:tc>
        <w:tc>
          <w:tcPr>
            <w:tcW w:w="678" w:type="pct"/>
            <w:hideMark/>
          </w:tcPr>
          <w:p w14:paraId="16AB7720"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5,500</w:t>
            </w:r>
          </w:p>
        </w:tc>
      </w:tr>
      <w:tr w:rsidR="00C01575" w:rsidRPr="00EE41C6" w14:paraId="04433F21" w14:textId="77777777" w:rsidTr="00726652">
        <w:trPr>
          <w:trHeight w:val="20"/>
        </w:trPr>
        <w:tc>
          <w:tcPr>
            <w:tcW w:w="2782" w:type="pct"/>
            <w:hideMark/>
          </w:tcPr>
          <w:p w14:paraId="38A12803" w14:textId="1E783362" w:rsidR="00F10D60" w:rsidRPr="00EE41C6" w:rsidRDefault="00D23622"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Generation</w:t>
            </w:r>
            <w:r w:rsidR="00F10D60" w:rsidRPr="00EE41C6">
              <w:rPr>
                <w:rFonts w:ascii="Times New Roman" w:hAnsi="Times New Roman" w:cs="Times New Roman"/>
                <w:kern w:val="2"/>
                <w:sz w:val="18"/>
                <w:szCs w:val="18"/>
                <w14:ligatures w14:val="standardContextual"/>
              </w:rPr>
              <w:t xml:space="preserve"> III (Nuclear)</w:t>
            </w:r>
          </w:p>
        </w:tc>
        <w:tc>
          <w:tcPr>
            <w:tcW w:w="872" w:type="pct"/>
            <w:hideMark/>
          </w:tcPr>
          <w:p w14:paraId="1988C14D"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4,400</w:t>
            </w:r>
          </w:p>
        </w:tc>
        <w:tc>
          <w:tcPr>
            <w:tcW w:w="668" w:type="pct"/>
            <w:hideMark/>
          </w:tcPr>
          <w:p w14:paraId="2E6C6204"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4,044</w:t>
            </w:r>
          </w:p>
        </w:tc>
        <w:tc>
          <w:tcPr>
            <w:tcW w:w="678" w:type="pct"/>
            <w:hideMark/>
          </w:tcPr>
          <w:p w14:paraId="0EF91264"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3,901</w:t>
            </w:r>
          </w:p>
        </w:tc>
      </w:tr>
      <w:tr w:rsidR="00C01575" w:rsidRPr="00EE41C6" w14:paraId="5A6C4F12" w14:textId="77777777" w:rsidTr="00726652">
        <w:trPr>
          <w:trHeight w:val="20"/>
        </w:trPr>
        <w:tc>
          <w:tcPr>
            <w:tcW w:w="2782" w:type="pct"/>
            <w:hideMark/>
          </w:tcPr>
          <w:p w14:paraId="22D97C54" w14:textId="07BBBB1B" w:rsidR="00F10D60" w:rsidRPr="00EE41C6" w:rsidRDefault="00D23622"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Concentrated Solar Power</w:t>
            </w:r>
          </w:p>
        </w:tc>
        <w:tc>
          <w:tcPr>
            <w:tcW w:w="872" w:type="pct"/>
            <w:hideMark/>
          </w:tcPr>
          <w:p w14:paraId="0C8363DB"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3,415</w:t>
            </w:r>
          </w:p>
        </w:tc>
        <w:tc>
          <w:tcPr>
            <w:tcW w:w="668" w:type="pct"/>
            <w:hideMark/>
          </w:tcPr>
          <w:p w14:paraId="279A8B06"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3,077</w:t>
            </w:r>
          </w:p>
        </w:tc>
        <w:tc>
          <w:tcPr>
            <w:tcW w:w="678" w:type="pct"/>
            <w:hideMark/>
          </w:tcPr>
          <w:p w14:paraId="6ED41D13"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2,946</w:t>
            </w:r>
          </w:p>
        </w:tc>
      </w:tr>
      <w:tr w:rsidR="00C01575" w:rsidRPr="00EE41C6" w14:paraId="66431122" w14:textId="77777777" w:rsidTr="00726652">
        <w:trPr>
          <w:trHeight w:val="20"/>
        </w:trPr>
        <w:tc>
          <w:tcPr>
            <w:tcW w:w="2782" w:type="pct"/>
            <w:hideMark/>
          </w:tcPr>
          <w:p w14:paraId="08225868" w14:textId="66F9CB65" w:rsidR="00F10D60" w:rsidRPr="00EE41C6" w:rsidRDefault="00D23622"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Concentrated Solar Power with storage</w:t>
            </w:r>
          </w:p>
        </w:tc>
        <w:tc>
          <w:tcPr>
            <w:tcW w:w="872" w:type="pct"/>
            <w:hideMark/>
          </w:tcPr>
          <w:p w14:paraId="28A652B8"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7,430</w:t>
            </w:r>
          </w:p>
        </w:tc>
        <w:tc>
          <w:tcPr>
            <w:tcW w:w="668" w:type="pct"/>
            <w:hideMark/>
          </w:tcPr>
          <w:p w14:paraId="0FC01485"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6,329</w:t>
            </w:r>
          </w:p>
        </w:tc>
        <w:tc>
          <w:tcPr>
            <w:tcW w:w="678" w:type="pct"/>
            <w:hideMark/>
          </w:tcPr>
          <w:p w14:paraId="56DFE438"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5,771</w:t>
            </w:r>
          </w:p>
        </w:tc>
      </w:tr>
      <w:tr w:rsidR="00C01575" w:rsidRPr="00EE41C6" w14:paraId="2028A5D4" w14:textId="77777777" w:rsidTr="00726652">
        <w:trPr>
          <w:trHeight w:val="20"/>
        </w:trPr>
        <w:tc>
          <w:tcPr>
            <w:tcW w:w="2782" w:type="pct"/>
            <w:hideMark/>
          </w:tcPr>
          <w:p w14:paraId="35F5288F" w14:textId="414584B9" w:rsidR="00F10D60" w:rsidRPr="00EE41C6" w:rsidRDefault="00D23622"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Photovoltaic</w:t>
            </w:r>
          </w:p>
        </w:tc>
        <w:tc>
          <w:tcPr>
            <w:tcW w:w="872" w:type="pct"/>
            <w:hideMark/>
          </w:tcPr>
          <w:p w14:paraId="1921BC4F"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1,856</w:t>
            </w:r>
          </w:p>
        </w:tc>
        <w:tc>
          <w:tcPr>
            <w:tcW w:w="668" w:type="pct"/>
            <w:hideMark/>
          </w:tcPr>
          <w:p w14:paraId="3E41EBAE"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1,534</w:t>
            </w:r>
          </w:p>
        </w:tc>
        <w:tc>
          <w:tcPr>
            <w:tcW w:w="678" w:type="pct"/>
            <w:hideMark/>
          </w:tcPr>
          <w:p w14:paraId="01FB48E8"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1,514</w:t>
            </w:r>
          </w:p>
        </w:tc>
      </w:tr>
      <w:tr w:rsidR="00C01575" w:rsidRPr="00EE41C6" w14:paraId="2D05AD47" w14:textId="77777777" w:rsidTr="00726652">
        <w:trPr>
          <w:trHeight w:val="20"/>
        </w:trPr>
        <w:tc>
          <w:tcPr>
            <w:tcW w:w="2782" w:type="pct"/>
            <w:hideMark/>
          </w:tcPr>
          <w:p w14:paraId="526E7CAD" w14:textId="20B9DADC" w:rsidR="00F10D60" w:rsidRPr="00EE41C6" w:rsidRDefault="00D23622"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Photovoltaic</w:t>
            </w:r>
            <w:r w:rsidR="00F10D60" w:rsidRPr="00EE41C6">
              <w:rPr>
                <w:rFonts w:ascii="Times New Roman" w:hAnsi="Times New Roman" w:cs="Times New Roman"/>
                <w:kern w:val="2"/>
                <w:sz w:val="18"/>
                <w:szCs w:val="18"/>
                <w14:ligatures w14:val="standardContextual"/>
              </w:rPr>
              <w:t xml:space="preserve"> with storage</w:t>
            </w:r>
          </w:p>
        </w:tc>
        <w:tc>
          <w:tcPr>
            <w:tcW w:w="872" w:type="pct"/>
            <w:hideMark/>
          </w:tcPr>
          <w:p w14:paraId="73B1CE57"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4,212</w:t>
            </w:r>
          </w:p>
        </w:tc>
        <w:tc>
          <w:tcPr>
            <w:tcW w:w="668" w:type="pct"/>
            <w:hideMark/>
          </w:tcPr>
          <w:p w14:paraId="0745C31D"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3,799</w:t>
            </w:r>
          </w:p>
        </w:tc>
        <w:tc>
          <w:tcPr>
            <w:tcW w:w="678" w:type="pct"/>
            <w:hideMark/>
          </w:tcPr>
          <w:p w14:paraId="1A5AEB68"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3,534</w:t>
            </w:r>
          </w:p>
        </w:tc>
      </w:tr>
      <w:tr w:rsidR="00C01575" w:rsidRPr="00EE41C6" w14:paraId="44C8B4D6" w14:textId="77777777" w:rsidTr="00726652">
        <w:trPr>
          <w:trHeight w:val="20"/>
        </w:trPr>
        <w:tc>
          <w:tcPr>
            <w:tcW w:w="2782" w:type="pct"/>
            <w:hideMark/>
          </w:tcPr>
          <w:p w14:paraId="4DD554FC" w14:textId="77777777" w:rsidR="00F10D60" w:rsidRPr="00EE41C6" w:rsidRDefault="00F10D60"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Wind</w:t>
            </w:r>
          </w:p>
        </w:tc>
        <w:tc>
          <w:tcPr>
            <w:tcW w:w="872" w:type="pct"/>
            <w:hideMark/>
          </w:tcPr>
          <w:p w14:paraId="0C2A195F"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1,662</w:t>
            </w:r>
          </w:p>
        </w:tc>
        <w:tc>
          <w:tcPr>
            <w:tcW w:w="668" w:type="pct"/>
            <w:hideMark/>
          </w:tcPr>
          <w:p w14:paraId="461C1279"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1,526</w:t>
            </w:r>
          </w:p>
        </w:tc>
        <w:tc>
          <w:tcPr>
            <w:tcW w:w="678" w:type="pct"/>
            <w:hideMark/>
          </w:tcPr>
          <w:p w14:paraId="3DFD984E"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1,481</w:t>
            </w:r>
          </w:p>
        </w:tc>
      </w:tr>
      <w:tr w:rsidR="00C01575" w:rsidRPr="00EE41C6" w14:paraId="0A4C3F52" w14:textId="77777777" w:rsidTr="00726652">
        <w:trPr>
          <w:trHeight w:val="20"/>
        </w:trPr>
        <w:tc>
          <w:tcPr>
            <w:tcW w:w="2782" w:type="pct"/>
            <w:hideMark/>
          </w:tcPr>
          <w:p w14:paraId="62CE610A" w14:textId="77777777" w:rsidR="00F10D60" w:rsidRPr="00EE41C6" w:rsidRDefault="00F10D60"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Wind with storage</w:t>
            </w:r>
          </w:p>
        </w:tc>
        <w:tc>
          <w:tcPr>
            <w:tcW w:w="872" w:type="pct"/>
            <w:hideMark/>
          </w:tcPr>
          <w:p w14:paraId="226D9AAC"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5,555</w:t>
            </w:r>
          </w:p>
        </w:tc>
        <w:tc>
          <w:tcPr>
            <w:tcW w:w="668" w:type="pct"/>
            <w:hideMark/>
          </w:tcPr>
          <w:p w14:paraId="61D36A63"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5,006</w:t>
            </w:r>
          </w:p>
        </w:tc>
        <w:tc>
          <w:tcPr>
            <w:tcW w:w="678" w:type="pct"/>
            <w:hideMark/>
          </w:tcPr>
          <w:p w14:paraId="06A530C2"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4,661</w:t>
            </w:r>
          </w:p>
        </w:tc>
      </w:tr>
      <w:tr w:rsidR="00C01575" w:rsidRPr="00EE41C6" w14:paraId="574FC333" w14:textId="77777777" w:rsidTr="00726652">
        <w:trPr>
          <w:trHeight w:val="20"/>
        </w:trPr>
        <w:tc>
          <w:tcPr>
            <w:tcW w:w="2782" w:type="pct"/>
            <w:hideMark/>
          </w:tcPr>
          <w:p w14:paraId="2A25F326" w14:textId="080E190B" w:rsidR="00F10D60" w:rsidRPr="00EE41C6" w:rsidRDefault="00F10D60"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 xml:space="preserve">Rooftop </w:t>
            </w:r>
            <w:r w:rsidR="00D23622" w:rsidRPr="00EE41C6">
              <w:rPr>
                <w:rFonts w:ascii="Times New Roman" w:hAnsi="Times New Roman" w:cs="Times New Roman"/>
                <w:kern w:val="2"/>
                <w:sz w:val="18"/>
                <w:szCs w:val="18"/>
                <w14:ligatures w14:val="standardContextual"/>
              </w:rPr>
              <w:t>Photovoltaic</w:t>
            </w:r>
          </w:p>
        </w:tc>
        <w:tc>
          <w:tcPr>
            <w:tcW w:w="872" w:type="pct"/>
            <w:hideMark/>
          </w:tcPr>
          <w:p w14:paraId="0CEDC1CA"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4,499</w:t>
            </w:r>
          </w:p>
        </w:tc>
        <w:tc>
          <w:tcPr>
            <w:tcW w:w="668" w:type="pct"/>
            <w:hideMark/>
          </w:tcPr>
          <w:p w14:paraId="183012B7"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4,057</w:t>
            </w:r>
          </w:p>
        </w:tc>
        <w:tc>
          <w:tcPr>
            <w:tcW w:w="678" w:type="pct"/>
            <w:hideMark/>
          </w:tcPr>
          <w:p w14:paraId="074AB007"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3,776</w:t>
            </w:r>
          </w:p>
        </w:tc>
      </w:tr>
      <w:tr w:rsidR="00C01575" w:rsidRPr="00EE41C6" w14:paraId="060E7DB0" w14:textId="77777777" w:rsidTr="00726652">
        <w:trPr>
          <w:trHeight w:val="20"/>
        </w:trPr>
        <w:tc>
          <w:tcPr>
            <w:tcW w:w="2782" w:type="pct"/>
            <w:hideMark/>
          </w:tcPr>
          <w:p w14:paraId="2A006062" w14:textId="77777777" w:rsidR="00F10D60" w:rsidRPr="00EE41C6" w:rsidRDefault="00F10D60"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lastRenderedPageBreak/>
              <w:t>Geothermal</w:t>
            </w:r>
          </w:p>
        </w:tc>
        <w:tc>
          <w:tcPr>
            <w:tcW w:w="872" w:type="pct"/>
            <w:hideMark/>
          </w:tcPr>
          <w:p w14:paraId="6B7E55CF"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4,348</w:t>
            </w:r>
          </w:p>
        </w:tc>
        <w:tc>
          <w:tcPr>
            <w:tcW w:w="668" w:type="pct"/>
            <w:hideMark/>
          </w:tcPr>
          <w:p w14:paraId="68AEC79B"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4,199</w:t>
            </w:r>
          </w:p>
        </w:tc>
        <w:tc>
          <w:tcPr>
            <w:tcW w:w="678" w:type="pct"/>
            <w:hideMark/>
          </w:tcPr>
          <w:p w14:paraId="142C643F" w14:textId="77777777" w:rsidR="00F10D60" w:rsidRPr="00EE41C6" w:rsidRDefault="00F10D60" w:rsidP="00F10D60">
            <w:pPr>
              <w:jc w:val="cente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4,073</w:t>
            </w:r>
          </w:p>
        </w:tc>
      </w:tr>
    </w:tbl>
    <w:p w14:paraId="5C2AC7D5" w14:textId="75524AFE" w:rsidR="00F77190" w:rsidRPr="00EE41C6" w:rsidRDefault="00F10D60" w:rsidP="00F10D60">
      <w:pPr>
        <w:spacing w:after="200" w:line="276" w:lineRule="auto"/>
        <w:rPr>
          <w:rFonts w:ascii="Times New Roman" w:eastAsia="SimSun" w:hAnsi="Times New Roman" w:cs="Times New Roman"/>
          <w:kern w:val="0"/>
          <w:sz w:val="18"/>
          <w:szCs w:val="18"/>
          <w14:ligatures w14:val="none"/>
        </w:rPr>
      </w:pPr>
      <w:r w:rsidRPr="00EE41C6">
        <w:rPr>
          <w:rFonts w:ascii="Times New Roman" w:eastAsia="SimSun" w:hAnsi="Times New Roman" w:cs="Times New Roman"/>
          <w:kern w:val="0"/>
          <w:sz w:val="18"/>
          <w:szCs w:val="18"/>
          <w14:ligatures w14:val="none"/>
        </w:rPr>
        <w:t>This table presents only the overnight capital costs. A fixed charge rate of 13% is assumed to amortize capital costs over the capital lifetime of a power plant.</w:t>
      </w:r>
    </w:p>
    <w:p w14:paraId="79F81521" w14:textId="262DF9AF" w:rsidR="00F10D60" w:rsidRPr="00EE41C6" w:rsidRDefault="00DB6449" w:rsidP="00DB6449">
      <w:pPr>
        <w:pStyle w:val="Caption"/>
        <w:jc w:val="center"/>
        <w:rPr>
          <w:rFonts w:ascii="Times New Roman" w:eastAsia="DengXian" w:hAnsi="Times New Roman" w:cs="Times New Roman"/>
          <w:color w:val="auto"/>
          <w:kern w:val="0"/>
          <w14:ligatures w14:val="none"/>
        </w:rPr>
      </w:pPr>
      <w:bookmarkStart w:id="33" w:name="_Toc167274028"/>
      <w:r w:rsidRPr="00EE41C6">
        <w:t xml:space="preserve">Supplementary Table </w:t>
      </w:r>
      <w:fldSimple w:instr=" SEQ Supplementary_Table \* ARABIC ">
        <w:r w:rsidR="008628F3" w:rsidRPr="00EE41C6">
          <w:rPr>
            <w:noProof/>
          </w:rPr>
          <w:t>3</w:t>
        </w:r>
      </w:fldSimple>
      <w:r w:rsidRPr="00EE41C6">
        <w:t xml:space="preserve"> </w:t>
      </w:r>
      <w:r w:rsidR="00F10D60" w:rsidRPr="00EE41C6">
        <w:rPr>
          <w:rFonts w:ascii="Times New Roman" w:eastAsia="DengXian" w:hAnsi="Times New Roman" w:cs="Times New Roman"/>
          <w:color w:val="auto"/>
          <w:kern w:val="0"/>
          <w14:ligatures w14:val="none"/>
        </w:rPr>
        <w:t>Physical lifetime assumptions for technologies in the electric power sector</w:t>
      </w:r>
      <w:bookmarkEnd w:id="33"/>
    </w:p>
    <w:tbl>
      <w:tblPr>
        <w:tblStyle w:val="TableGrid4"/>
        <w:tblW w:w="5000" w:type="pct"/>
        <w:tblLook w:val="04A0" w:firstRow="1" w:lastRow="0" w:firstColumn="1" w:lastColumn="0" w:noHBand="0" w:noVBand="1"/>
      </w:tblPr>
      <w:tblGrid>
        <w:gridCol w:w="7824"/>
        <w:gridCol w:w="1526"/>
      </w:tblGrid>
      <w:tr w:rsidR="00C01575" w:rsidRPr="00EE41C6" w14:paraId="19BB1D55" w14:textId="77777777" w:rsidTr="00D23622">
        <w:tc>
          <w:tcPr>
            <w:tcW w:w="4184" w:type="pct"/>
            <w:hideMark/>
          </w:tcPr>
          <w:p w14:paraId="3D4F7BD0" w14:textId="77777777" w:rsidR="00F10D60" w:rsidRPr="00EE41C6" w:rsidRDefault="00F10D60"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Technology</w:t>
            </w:r>
          </w:p>
        </w:tc>
        <w:tc>
          <w:tcPr>
            <w:tcW w:w="816" w:type="pct"/>
            <w:hideMark/>
          </w:tcPr>
          <w:p w14:paraId="2D4DB8E6" w14:textId="77777777" w:rsidR="00F10D60" w:rsidRPr="00EE41C6" w:rsidRDefault="00F10D60"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Lifetime (years)</w:t>
            </w:r>
          </w:p>
        </w:tc>
      </w:tr>
      <w:tr w:rsidR="00D23622" w:rsidRPr="00EE41C6" w14:paraId="566C81ED" w14:textId="77777777" w:rsidTr="00D23622">
        <w:tc>
          <w:tcPr>
            <w:tcW w:w="4184" w:type="pct"/>
            <w:hideMark/>
          </w:tcPr>
          <w:p w14:paraId="3A610E2F" w14:textId="0CBD045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Biomass (conventional)</w:t>
            </w:r>
          </w:p>
        </w:tc>
        <w:tc>
          <w:tcPr>
            <w:tcW w:w="816" w:type="pct"/>
            <w:hideMark/>
          </w:tcPr>
          <w:p w14:paraId="386A05C7" w14:textId="7777777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60</w:t>
            </w:r>
          </w:p>
        </w:tc>
      </w:tr>
      <w:tr w:rsidR="00D23622" w:rsidRPr="00EE41C6" w14:paraId="56284A3D" w14:textId="77777777" w:rsidTr="00D23622">
        <w:tc>
          <w:tcPr>
            <w:tcW w:w="4184" w:type="pct"/>
            <w:hideMark/>
          </w:tcPr>
          <w:p w14:paraId="1BC14AC0" w14:textId="5029A966"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Biomass (Integrated Gasification Combined Cycle)</w:t>
            </w:r>
          </w:p>
        </w:tc>
        <w:tc>
          <w:tcPr>
            <w:tcW w:w="816" w:type="pct"/>
            <w:hideMark/>
          </w:tcPr>
          <w:p w14:paraId="615D5F92" w14:textId="7777777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60</w:t>
            </w:r>
          </w:p>
        </w:tc>
      </w:tr>
      <w:tr w:rsidR="00D23622" w:rsidRPr="00EE41C6" w14:paraId="21F0EA74" w14:textId="77777777" w:rsidTr="00D23622">
        <w:tc>
          <w:tcPr>
            <w:tcW w:w="4184" w:type="pct"/>
            <w:hideMark/>
          </w:tcPr>
          <w:p w14:paraId="62B4FD12" w14:textId="6EA2C32F"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Biomass (conventional with Carbon Capture and Storage)</w:t>
            </w:r>
          </w:p>
        </w:tc>
        <w:tc>
          <w:tcPr>
            <w:tcW w:w="816" w:type="pct"/>
            <w:hideMark/>
          </w:tcPr>
          <w:p w14:paraId="545D7F7E" w14:textId="7777777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60</w:t>
            </w:r>
          </w:p>
        </w:tc>
      </w:tr>
      <w:tr w:rsidR="00D23622" w:rsidRPr="00EE41C6" w14:paraId="0E4CBCB5" w14:textId="77777777" w:rsidTr="00D23622">
        <w:tc>
          <w:tcPr>
            <w:tcW w:w="4184" w:type="pct"/>
            <w:hideMark/>
          </w:tcPr>
          <w:p w14:paraId="325F2A46" w14:textId="6D1D2E0F"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Biomass (Integrated Gasification Combined Cycle with Carbon Capture and Storage)</w:t>
            </w:r>
          </w:p>
        </w:tc>
        <w:tc>
          <w:tcPr>
            <w:tcW w:w="816" w:type="pct"/>
            <w:hideMark/>
          </w:tcPr>
          <w:p w14:paraId="07E599DF" w14:textId="7777777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60</w:t>
            </w:r>
          </w:p>
        </w:tc>
      </w:tr>
      <w:tr w:rsidR="00D23622" w:rsidRPr="00EE41C6" w14:paraId="6B97EDFB" w14:textId="77777777" w:rsidTr="00D23622">
        <w:tc>
          <w:tcPr>
            <w:tcW w:w="4184" w:type="pct"/>
            <w:hideMark/>
          </w:tcPr>
          <w:p w14:paraId="30F0242D" w14:textId="392B78F9"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Coal (conventional pulverized)</w:t>
            </w:r>
          </w:p>
        </w:tc>
        <w:tc>
          <w:tcPr>
            <w:tcW w:w="816" w:type="pct"/>
            <w:hideMark/>
          </w:tcPr>
          <w:p w14:paraId="07A8A393" w14:textId="7777777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60</w:t>
            </w:r>
          </w:p>
        </w:tc>
      </w:tr>
      <w:tr w:rsidR="00D23622" w:rsidRPr="00EE41C6" w14:paraId="62153231" w14:textId="77777777" w:rsidTr="00D23622">
        <w:tc>
          <w:tcPr>
            <w:tcW w:w="4184" w:type="pct"/>
            <w:hideMark/>
          </w:tcPr>
          <w:p w14:paraId="3E919D23" w14:textId="6DB77846"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Coal (Integrated Gasification Combined Cycle)</w:t>
            </w:r>
          </w:p>
        </w:tc>
        <w:tc>
          <w:tcPr>
            <w:tcW w:w="816" w:type="pct"/>
            <w:hideMark/>
          </w:tcPr>
          <w:p w14:paraId="7346115E" w14:textId="7777777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60</w:t>
            </w:r>
          </w:p>
        </w:tc>
      </w:tr>
      <w:tr w:rsidR="00D23622" w:rsidRPr="00EE41C6" w14:paraId="01ACF1B6" w14:textId="77777777" w:rsidTr="00D23622">
        <w:tc>
          <w:tcPr>
            <w:tcW w:w="4184" w:type="pct"/>
            <w:hideMark/>
          </w:tcPr>
          <w:p w14:paraId="62336322" w14:textId="101D16D0"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Coal (conventional pulverized with Carbon Capture and Storage)</w:t>
            </w:r>
          </w:p>
        </w:tc>
        <w:tc>
          <w:tcPr>
            <w:tcW w:w="816" w:type="pct"/>
            <w:hideMark/>
          </w:tcPr>
          <w:p w14:paraId="686EE751" w14:textId="7777777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60</w:t>
            </w:r>
          </w:p>
        </w:tc>
      </w:tr>
      <w:tr w:rsidR="00D23622" w:rsidRPr="00EE41C6" w14:paraId="339E757B" w14:textId="77777777" w:rsidTr="00D23622">
        <w:tc>
          <w:tcPr>
            <w:tcW w:w="4184" w:type="pct"/>
            <w:hideMark/>
          </w:tcPr>
          <w:p w14:paraId="62C17A14" w14:textId="05A2CC0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Coal (Integrated Gasification Combined Cycle with Carbon Capture and Storage)</w:t>
            </w:r>
          </w:p>
        </w:tc>
        <w:tc>
          <w:tcPr>
            <w:tcW w:w="816" w:type="pct"/>
            <w:hideMark/>
          </w:tcPr>
          <w:p w14:paraId="33753C7E" w14:textId="7777777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60</w:t>
            </w:r>
          </w:p>
        </w:tc>
      </w:tr>
      <w:tr w:rsidR="00D23622" w:rsidRPr="00EE41C6" w14:paraId="367BB899" w14:textId="77777777" w:rsidTr="00D23622">
        <w:tc>
          <w:tcPr>
            <w:tcW w:w="4184" w:type="pct"/>
            <w:hideMark/>
          </w:tcPr>
          <w:p w14:paraId="610DC301" w14:textId="49487104"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Gas (Combined Cycle)</w:t>
            </w:r>
          </w:p>
        </w:tc>
        <w:tc>
          <w:tcPr>
            <w:tcW w:w="816" w:type="pct"/>
            <w:hideMark/>
          </w:tcPr>
          <w:p w14:paraId="67FED69A" w14:textId="7777777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45</w:t>
            </w:r>
          </w:p>
        </w:tc>
      </w:tr>
      <w:tr w:rsidR="00D23622" w:rsidRPr="00EE41C6" w14:paraId="3B713133" w14:textId="77777777" w:rsidTr="00D23622">
        <w:tc>
          <w:tcPr>
            <w:tcW w:w="4184" w:type="pct"/>
            <w:hideMark/>
          </w:tcPr>
          <w:p w14:paraId="43659994" w14:textId="438E2115"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Gas (steam/Combustion Turbine)</w:t>
            </w:r>
          </w:p>
        </w:tc>
        <w:tc>
          <w:tcPr>
            <w:tcW w:w="816" w:type="pct"/>
            <w:hideMark/>
          </w:tcPr>
          <w:p w14:paraId="2BC18DFF" w14:textId="7777777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45</w:t>
            </w:r>
          </w:p>
        </w:tc>
      </w:tr>
      <w:tr w:rsidR="00D23622" w:rsidRPr="00EE41C6" w14:paraId="1BC3794A" w14:textId="77777777" w:rsidTr="00D23622">
        <w:tc>
          <w:tcPr>
            <w:tcW w:w="4184" w:type="pct"/>
            <w:hideMark/>
          </w:tcPr>
          <w:p w14:paraId="007948E6" w14:textId="64D7BAA1"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Gas (Combined Cycle with Carbon Capture and Storage)</w:t>
            </w:r>
          </w:p>
        </w:tc>
        <w:tc>
          <w:tcPr>
            <w:tcW w:w="816" w:type="pct"/>
            <w:hideMark/>
          </w:tcPr>
          <w:p w14:paraId="47EE4B16" w14:textId="7777777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45</w:t>
            </w:r>
          </w:p>
        </w:tc>
      </w:tr>
      <w:tr w:rsidR="00D23622" w:rsidRPr="00EE41C6" w14:paraId="0BCA6C64" w14:textId="77777777" w:rsidTr="00D23622">
        <w:tc>
          <w:tcPr>
            <w:tcW w:w="4184" w:type="pct"/>
            <w:hideMark/>
          </w:tcPr>
          <w:p w14:paraId="3510D936" w14:textId="306215A2"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Refined liquids (steam/Combustion Turbine)</w:t>
            </w:r>
          </w:p>
        </w:tc>
        <w:tc>
          <w:tcPr>
            <w:tcW w:w="816" w:type="pct"/>
            <w:hideMark/>
          </w:tcPr>
          <w:p w14:paraId="6269B179" w14:textId="7777777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45</w:t>
            </w:r>
          </w:p>
        </w:tc>
      </w:tr>
      <w:tr w:rsidR="00D23622" w:rsidRPr="00EE41C6" w14:paraId="48BCD7E6" w14:textId="77777777" w:rsidTr="00D23622">
        <w:tc>
          <w:tcPr>
            <w:tcW w:w="4184" w:type="pct"/>
            <w:hideMark/>
          </w:tcPr>
          <w:p w14:paraId="6FACEE59" w14:textId="07F9623E"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Refined liquids (Combined Cycle)</w:t>
            </w:r>
          </w:p>
        </w:tc>
        <w:tc>
          <w:tcPr>
            <w:tcW w:w="816" w:type="pct"/>
            <w:hideMark/>
          </w:tcPr>
          <w:p w14:paraId="5840CB1C" w14:textId="7777777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45</w:t>
            </w:r>
          </w:p>
        </w:tc>
      </w:tr>
      <w:tr w:rsidR="00D23622" w:rsidRPr="00EE41C6" w14:paraId="6F366D88" w14:textId="77777777" w:rsidTr="00D23622">
        <w:tc>
          <w:tcPr>
            <w:tcW w:w="4184" w:type="pct"/>
            <w:hideMark/>
          </w:tcPr>
          <w:p w14:paraId="0FB36D85" w14:textId="3184A51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Refined liquids (Combined Cycle with Carbon Capture and Storage)</w:t>
            </w:r>
          </w:p>
        </w:tc>
        <w:tc>
          <w:tcPr>
            <w:tcW w:w="816" w:type="pct"/>
            <w:hideMark/>
          </w:tcPr>
          <w:p w14:paraId="717D4E6C" w14:textId="7777777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45</w:t>
            </w:r>
          </w:p>
        </w:tc>
      </w:tr>
      <w:tr w:rsidR="00D23622" w:rsidRPr="00EE41C6" w14:paraId="39B845FA" w14:textId="77777777" w:rsidTr="00D23622">
        <w:tc>
          <w:tcPr>
            <w:tcW w:w="4184" w:type="pct"/>
            <w:hideMark/>
          </w:tcPr>
          <w:p w14:paraId="1614F49E" w14:textId="26EA9D80"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Generation II Light Water Reactor (Nuclear)</w:t>
            </w:r>
          </w:p>
        </w:tc>
        <w:tc>
          <w:tcPr>
            <w:tcW w:w="816" w:type="pct"/>
            <w:hideMark/>
          </w:tcPr>
          <w:p w14:paraId="3CF90EC4" w14:textId="7777777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60</w:t>
            </w:r>
          </w:p>
        </w:tc>
      </w:tr>
      <w:tr w:rsidR="00D23622" w:rsidRPr="00EE41C6" w14:paraId="0F867649" w14:textId="77777777" w:rsidTr="00D23622">
        <w:tc>
          <w:tcPr>
            <w:tcW w:w="4184" w:type="pct"/>
            <w:hideMark/>
          </w:tcPr>
          <w:p w14:paraId="6D615A50" w14:textId="1DC8EB41"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Generation III (Nuclear)</w:t>
            </w:r>
          </w:p>
        </w:tc>
        <w:tc>
          <w:tcPr>
            <w:tcW w:w="816" w:type="pct"/>
            <w:hideMark/>
          </w:tcPr>
          <w:p w14:paraId="4AD2AEBD" w14:textId="7777777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60</w:t>
            </w:r>
          </w:p>
        </w:tc>
      </w:tr>
      <w:tr w:rsidR="00D23622" w:rsidRPr="00EE41C6" w14:paraId="36F3DDA2" w14:textId="77777777" w:rsidTr="00D23622">
        <w:tc>
          <w:tcPr>
            <w:tcW w:w="4184" w:type="pct"/>
            <w:hideMark/>
          </w:tcPr>
          <w:p w14:paraId="34747808" w14:textId="66315C92"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Wind</w:t>
            </w:r>
          </w:p>
        </w:tc>
        <w:tc>
          <w:tcPr>
            <w:tcW w:w="816" w:type="pct"/>
            <w:hideMark/>
          </w:tcPr>
          <w:p w14:paraId="732D9682" w14:textId="7777777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30</w:t>
            </w:r>
          </w:p>
        </w:tc>
      </w:tr>
      <w:tr w:rsidR="00D23622" w:rsidRPr="00EE41C6" w14:paraId="79E0CF85" w14:textId="77777777" w:rsidTr="00D23622">
        <w:tc>
          <w:tcPr>
            <w:tcW w:w="4184" w:type="pct"/>
            <w:hideMark/>
          </w:tcPr>
          <w:p w14:paraId="448A529D" w14:textId="728ADB16"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Wind with storage</w:t>
            </w:r>
          </w:p>
        </w:tc>
        <w:tc>
          <w:tcPr>
            <w:tcW w:w="816" w:type="pct"/>
            <w:hideMark/>
          </w:tcPr>
          <w:p w14:paraId="099024CF" w14:textId="7777777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30</w:t>
            </w:r>
          </w:p>
        </w:tc>
      </w:tr>
      <w:tr w:rsidR="00D23622" w:rsidRPr="00EE41C6" w14:paraId="23634AB0" w14:textId="77777777" w:rsidTr="00D23622">
        <w:tc>
          <w:tcPr>
            <w:tcW w:w="4184" w:type="pct"/>
            <w:hideMark/>
          </w:tcPr>
          <w:p w14:paraId="4086159B" w14:textId="5E181C2B"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Photovoltaic</w:t>
            </w:r>
          </w:p>
        </w:tc>
        <w:tc>
          <w:tcPr>
            <w:tcW w:w="816" w:type="pct"/>
            <w:hideMark/>
          </w:tcPr>
          <w:p w14:paraId="72F7B18C" w14:textId="7777777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30</w:t>
            </w:r>
          </w:p>
        </w:tc>
      </w:tr>
      <w:tr w:rsidR="00D23622" w:rsidRPr="00EE41C6" w14:paraId="0C95EECB" w14:textId="77777777" w:rsidTr="00D23622">
        <w:tc>
          <w:tcPr>
            <w:tcW w:w="4184" w:type="pct"/>
            <w:hideMark/>
          </w:tcPr>
          <w:p w14:paraId="3334FB1C" w14:textId="5FF97A3F"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Photovoltaic with storage</w:t>
            </w:r>
          </w:p>
        </w:tc>
        <w:tc>
          <w:tcPr>
            <w:tcW w:w="816" w:type="pct"/>
            <w:hideMark/>
          </w:tcPr>
          <w:p w14:paraId="12922B5B" w14:textId="7777777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30</w:t>
            </w:r>
          </w:p>
        </w:tc>
      </w:tr>
      <w:tr w:rsidR="00D23622" w:rsidRPr="00EE41C6" w14:paraId="6004DD1A" w14:textId="77777777" w:rsidTr="00D23622">
        <w:tc>
          <w:tcPr>
            <w:tcW w:w="4184" w:type="pct"/>
            <w:hideMark/>
          </w:tcPr>
          <w:p w14:paraId="6EF6A614" w14:textId="12E9CC8D"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Concentrated Solar Power</w:t>
            </w:r>
          </w:p>
        </w:tc>
        <w:tc>
          <w:tcPr>
            <w:tcW w:w="816" w:type="pct"/>
            <w:hideMark/>
          </w:tcPr>
          <w:p w14:paraId="074E4049" w14:textId="7777777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30</w:t>
            </w:r>
          </w:p>
        </w:tc>
      </w:tr>
      <w:tr w:rsidR="00D23622" w:rsidRPr="00EE41C6" w14:paraId="382514ED" w14:textId="77777777" w:rsidTr="00D23622">
        <w:tc>
          <w:tcPr>
            <w:tcW w:w="4184" w:type="pct"/>
            <w:hideMark/>
          </w:tcPr>
          <w:p w14:paraId="35A30B35" w14:textId="25AC4DFA"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Concentrated Solar Power with storage</w:t>
            </w:r>
          </w:p>
        </w:tc>
        <w:tc>
          <w:tcPr>
            <w:tcW w:w="816" w:type="pct"/>
            <w:hideMark/>
          </w:tcPr>
          <w:p w14:paraId="4AF1C526" w14:textId="77777777" w:rsidR="00D23622" w:rsidRPr="00EE41C6" w:rsidRDefault="00D23622" w:rsidP="00D23622">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30</w:t>
            </w:r>
          </w:p>
        </w:tc>
      </w:tr>
      <w:tr w:rsidR="00F10D60" w:rsidRPr="00EE41C6" w14:paraId="71926DF0" w14:textId="77777777" w:rsidTr="00D23622">
        <w:tc>
          <w:tcPr>
            <w:tcW w:w="4184" w:type="pct"/>
            <w:hideMark/>
          </w:tcPr>
          <w:p w14:paraId="01A0A4F0" w14:textId="77777777" w:rsidR="00F10D60" w:rsidRPr="00EE41C6" w:rsidRDefault="00F10D60"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Geothermal</w:t>
            </w:r>
          </w:p>
        </w:tc>
        <w:tc>
          <w:tcPr>
            <w:tcW w:w="816" w:type="pct"/>
            <w:hideMark/>
          </w:tcPr>
          <w:p w14:paraId="0AE440B1" w14:textId="77777777" w:rsidR="00F10D60" w:rsidRPr="00EE41C6" w:rsidRDefault="00F10D60" w:rsidP="00F10D60">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30</w:t>
            </w:r>
          </w:p>
        </w:tc>
      </w:tr>
    </w:tbl>
    <w:p w14:paraId="49DB59B4" w14:textId="77777777" w:rsidR="00A11267" w:rsidRPr="00EE41C6" w:rsidRDefault="00A11267" w:rsidP="00AC081F">
      <w:pPr>
        <w:pStyle w:val="Caption"/>
      </w:pPr>
      <w:bookmarkStart w:id="34" w:name="_Toc167274029"/>
    </w:p>
    <w:p w14:paraId="2CE4A1BA" w14:textId="299C5E3A" w:rsidR="0068007A" w:rsidRPr="00EE41C6" w:rsidRDefault="00DB6449" w:rsidP="00DB6449">
      <w:pPr>
        <w:pStyle w:val="Caption"/>
        <w:jc w:val="center"/>
        <w:rPr>
          <w:rFonts w:ascii="Times New Roman" w:hAnsi="Times New Roman" w:cs="Times New Roman"/>
        </w:rPr>
      </w:pPr>
      <w:r w:rsidRPr="00EE41C6">
        <w:t xml:space="preserve">Supplementary Table </w:t>
      </w:r>
      <w:fldSimple w:instr=" SEQ Supplementary_Table \* ARABIC ">
        <w:r w:rsidR="008628F3" w:rsidRPr="00EE41C6">
          <w:rPr>
            <w:noProof/>
          </w:rPr>
          <w:t>4</w:t>
        </w:r>
      </w:fldSimple>
      <w:r w:rsidRPr="00EE41C6">
        <w:t xml:space="preserve"> </w:t>
      </w:r>
      <w:r w:rsidR="0068007A" w:rsidRPr="00EE41C6">
        <w:rPr>
          <w:rFonts w:ascii="Times New Roman" w:hAnsi="Times New Roman" w:cs="Times New Roman"/>
        </w:rPr>
        <w:t>Fraction of CO</w:t>
      </w:r>
      <w:r w:rsidR="0068007A" w:rsidRPr="00EE41C6">
        <w:rPr>
          <w:rFonts w:ascii="Times New Roman" w:hAnsi="Times New Roman" w:cs="Times New Roman"/>
          <w:vertAlign w:val="subscript"/>
        </w:rPr>
        <w:t>2</w:t>
      </w:r>
      <w:r w:rsidR="0068007A" w:rsidRPr="00EE41C6">
        <w:rPr>
          <w:rFonts w:ascii="Times New Roman" w:hAnsi="Times New Roman" w:cs="Times New Roman"/>
        </w:rPr>
        <w:t xml:space="preserve"> captured by transformation technologies</w:t>
      </w:r>
      <w:bookmarkEnd w:id="34"/>
    </w:p>
    <w:tbl>
      <w:tblPr>
        <w:tblStyle w:val="TableGrid"/>
        <w:tblW w:w="0" w:type="auto"/>
        <w:jc w:val="center"/>
        <w:tblLook w:val="04A0" w:firstRow="1" w:lastRow="0" w:firstColumn="1" w:lastColumn="0" w:noHBand="0" w:noVBand="1"/>
      </w:tblPr>
      <w:tblGrid>
        <w:gridCol w:w="1168"/>
        <w:gridCol w:w="1400"/>
        <w:gridCol w:w="2597"/>
        <w:gridCol w:w="960"/>
        <w:gridCol w:w="960"/>
      </w:tblGrid>
      <w:tr w:rsidR="0068007A" w:rsidRPr="00EE41C6" w14:paraId="7A8BA2BA" w14:textId="77777777" w:rsidTr="00726652">
        <w:trPr>
          <w:trHeight w:val="300"/>
          <w:jc w:val="center"/>
        </w:trPr>
        <w:tc>
          <w:tcPr>
            <w:tcW w:w="1168" w:type="dxa"/>
            <w:noWrap/>
            <w:hideMark/>
          </w:tcPr>
          <w:p w14:paraId="5A1D185D"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Supply sector</w:t>
            </w:r>
          </w:p>
        </w:tc>
        <w:tc>
          <w:tcPr>
            <w:tcW w:w="1400" w:type="dxa"/>
            <w:noWrap/>
            <w:hideMark/>
          </w:tcPr>
          <w:p w14:paraId="293C7FAE"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Subsector</w:t>
            </w:r>
          </w:p>
        </w:tc>
        <w:tc>
          <w:tcPr>
            <w:tcW w:w="2597" w:type="dxa"/>
            <w:noWrap/>
            <w:hideMark/>
          </w:tcPr>
          <w:p w14:paraId="10FAEC2A"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Technology</w:t>
            </w:r>
          </w:p>
        </w:tc>
        <w:tc>
          <w:tcPr>
            <w:tcW w:w="960" w:type="dxa"/>
            <w:noWrap/>
            <w:hideMark/>
          </w:tcPr>
          <w:p w14:paraId="0542B258"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1971</w:t>
            </w:r>
          </w:p>
        </w:tc>
        <w:tc>
          <w:tcPr>
            <w:tcW w:w="960" w:type="dxa"/>
            <w:noWrap/>
            <w:hideMark/>
          </w:tcPr>
          <w:p w14:paraId="6AC09E73"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2100</w:t>
            </w:r>
          </w:p>
        </w:tc>
      </w:tr>
      <w:tr w:rsidR="0068007A" w:rsidRPr="00EE41C6" w14:paraId="11484B4E" w14:textId="77777777" w:rsidTr="00726652">
        <w:trPr>
          <w:trHeight w:val="300"/>
          <w:jc w:val="center"/>
        </w:trPr>
        <w:tc>
          <w:tcPr>
            <w:tcW w:w="1168" w:type="dxa"/>
            <w:noWrap/>
            <w:hideMark/>
          </w:tcPr>
          <w:p w14:paraId="59EEAA90"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Refining</w:t>
            </w:r>
          </w:p>
        </w:tc>
        <w:tc>
          <w:tcPr>
            <w:tcW w:w="1400" w:type="dxa"/>
            <w:noWrap/>
            <w:hideMark/>
          </w:tcPr>
          <w:p w14:paraId="34122CDB"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Coal to liquids</w:t>
            </w:r>
          </w:p>
        </w:tc>
        <w:tc>
          <w:tcPr>
            <w:tcW w:w="2597" w:type="dxa"/>
            <w:noWrap/>
            <w:hideMark/>
          </w:tcPr>
          <w:p w14:paraId="384F9F88"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Coal to liquids ccs level 1</w:t>
            </w:r>
          </w:p>
        </w:tc>
        <w:tc>
          <w:tcPr>
            <w:tcW w:w="960" w:type="dxa"/>
            <w:noWrap/>
            <w:hideMark/>
          </w:tcPr>
          <w:p w14:paraId="61A7F34E"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0.818</w:t>
            </w:r>
          </w:p>
        </w:tc>
        <w:tc>
          <w:tcPr>
            <w:tcW w:w="960" w:type="dxa"/>
            <w:noWrap/>
            <w:hideMark/>
          </w:tcPr>
          <w:p w14:paraId="032DDB72"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0.818</w:t>
            </w:r>
          </w:p>
        </w:tc>
      </w:tr>
      <w:tr w:rsidR="0068007A" w:rsidRPr="00EE41C6" w14:paraId="184B73BD" w14:textId="77777777" w:rsidTr="00726652">
        <w:trPr>
          <w:trHeight w:val="300"/>
          <w:jc w:val="center"/>
        </w:trPr>
        <w:tc>
          <w:tcPr>
            <w:tcW w:w="1168" w:type="dxa"/>
            <w:noWrap/>
            <w:hideMark/>
          </w:tcPr>
          <w:p w14:paraId="1D7DAD3B"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Refining</w:t>
            </w:r>
          </w:p>
        </w:tc>
        <w:tc>
          <w:tcPr>
            <w:tcW w:w="1400" w:type="dxa"/>
            <w:noWrap/>
            <w:hideMark/>
          </w:tcPr>
          <w:p w14:paraId="796B7C42"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Coal to liquids</w:t>
            </w:r>
          </w:p>
        </w:tc>
        <w:tc>
          <w:tcPr>
            <w:tcW w:w="2597" w:type="dxa"/>
            <w:noWrap/>
            <w:hideMark/>
          </w:tcPr>
          <w:p w14:paraId="2B8AE949"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Coal to liquids ccs level 2</w:t>
            </w:r>
          </w:p>
        </w:tc>
        <w:tc>
          <w:tcPr>
            <w:tcW w:w="960" w:type="dxa"/>
            <w:noWrap/>
            <w:hideMark/>
          </w:tcPr>
          <w:p w14:paraId="0B24725C"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0.9</w:t>
            </w:r>
          </w:p>
        </w:tc>
        <w:tc>
          <w:tcPr>
            <w:tcW w:w="960" w:type="dxa"/>
            <w:noWrap/>
            <w:hideMark/>
          </w:tcPr>
          <w:p w14:paraId="1043E8ED"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0.9</w:t>
            </w:r>
          </w:p>
        </w:tc>
      </w:tr>
      <w:tr w:rsidR="0068007A" w:rsidRPr="00EE41C6" w14:paraId="576A5532" w14:textId="77777777" w:rsidTr="00726652">
        <w:trPr>
          <w:trHeight w:val="300"/>
          <w:jc w:val="center"/>
        </w:trPr>
        <w:tc>
          <w:tcPr>
            <w:tcW w:w="1168" w:type="dxa"/>
            <w:noWrap/>
            <w:hideMark/>
          </w:tcPr>
          <w:p w14:paraId="21A3D083"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Refining</w:t>
            </w:r>
          </w:p>
        </w:tc>
        <w:tc>
          <w:tcPr>
            <w:tcW w:w="1400" w:type="dxa"/>
            <w:noWrap/>
            <w:hideMark/>
          </w:tcPr>
          <w:p w14:paraId="2482E392"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Biomass liquids</w:t>
            </w:r>
          </w:p>
        </w:tc>
        <w:tc>
          <w:tcPr>
            <w:tcW w:w="2597" w:type="dxa"/>
            <w:noWrap/>
            <w:hideMark/>
          </w:tcPr>
          <w:p w14:paraId="4C61116F"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Cellulosic ethanol ccs level 1</w:t>
            </w:r>
          </w:p>
        </w:tc>
        <w:tc>
          <w:tcPr>
            <w:tcW w:w="960" w:type="dxa"/>
            <w:noWrap/>
            <w:hideMark/>
          </w:tcPr>
          <w:p w14:paraId="42E6AE69"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0.26</w:t>
            </w:r>
          </w:p>
        </w:tc>
        <w:tc>
          <w:tcPr>
            <w:tcW w:w="960" w:type="dxa"/>
            <w:noWrap/>
            <w:hideMark/>
          </w:tcPr>
          <w:p w14:paraId="26BDB8E1"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0.26</w:t>
            </w:r>
          </w:p>
        </w:tc>
      </w:tr>
      <w:tr w:rsidR="0068007A" w:rsidRPr="00EE41C6" w14:paraId="2ED76DB0" w14:textId="77777777" w:rsidTr="00726652">
        <w:trPr>
          <w:trHeight w:val="300"/>
          <w:jc w:val="center"/>
        </w:trPr>
        <w:tc>
          <w:tcPr>
            <w:tcW w:w="1168" w:type="dxa"/>
            <w:noWrap/>
            <w:hideMark/>
          </w:tcPr>
          <w:p w14:paraId="2553479E"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Refining</w:t>
            </w:r>
          </w:p>
        </w:tc>
        <w:tc>
          <w:tcPr>
            <w:tcW w:w="1400" w:type="dxa"/>
            <w:noWrap/>
            <w:hideMark/>
          </w:tcPr>
          <w:p w14:paraId="06EF33D2"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Biomass liquids</w:t>
            </w:r>
          </w:p>
        </w:tc>
        <w:tc>
          <w:tcPr>
            <w:tcW w:w="2597" w:type="dxa"/>
            <w:noWrap/>
            <w:hideMark/>
          </w:tcPr>
          <w:p w14:paraId="21A3B457"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Cellulosic ethanol ccs level 2</w:t>
            </w:r>
          </w:p>
        </w:tc>
        <w:tc>
          <w:tcPr>
            <w:tcW w:w="960" w:type="dxa"/>
            <w:noWrap/>
            <w:hideMark/>
          </w:tcPr>
          <w:p w14:paraId="204A3829"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0.9</w:t>
            </w:r>
          </w:p>
        </w:tc>
        <w:tc>
          <w:tcPr>
            <w:tcW w:w="960" w:type="dxa"/>
            <w:noWrap/>
            <w:hideMark/>
          </w:tcPr>
          <w:p w14:paraId="5A594C78"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0.9</w:t>
            </w:r>
          </w:p>
        </w:tc>
      </w:tr>
      <w:tr w:rsidR="0068007A" w:rsidRPr="00EE41C6" w14:paraId="00319826" w14:textId="77777777" w:rsidTr="00726652">
        <w:trPr>
          <w:trHeight w:val="300"/>
          <w:jc w:val="center"/>
        </w:trPr>
        <w:tc>
          <w:tcPr>
            <w:tcW w:w="1168" w:type="dxa"/>
            <w:noWrap/>
            <w:hideMark/>
          </w:tcPr>
          <w:p w14:paraId="1997C777"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Refining</w:t>
            </w:r>
          </w:p>
        </w:tc>
        <w:tc>
          <w:tcPr>
            <w:tcW w:w="1400" w:type="dxa"/>
            <w:noWrap/>
            <w:hideMark/>
          </w:tcPr>
          <w:p w14:paraId="6ECBE17E"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Biomass liquids</w:t>
            </w:r>
          </w:p>
        </w:tc>
        <w:tc>
          <w:tcPr>
            <w:tcW w:w="2597" w:type="dxa"/>
            <w:noWrap/>
            <w:hideMark/>
          </w:tcPr>
          <w:p w14:paraId="1E9680A2"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Ft biofuels ccs level 1</w:t>
            </w:r>
          </w:p>
        </w:tc>
        <w:tc>
          <w:tcPr>
            <w:tcW w:w="960" w:type="dxa"/>
            <w:noWrap/>
            <w:hideMark/>
          </w:tcPr>
          <w:p w14:paraId="0ED18306"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0.818</w:t>
            </w:r>
          </w:p>
        </w:tc>
        <w:tc>
          <w:tcPr>
            <w:tcW w:w="960" w:type="dxa"/>
            <w:noWrap/>
            <w:hideMark/>
          </w:tcPr>
          <w:p w14:paraId="169C2B30"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0.818</w:t>
            </w:r>
          </w:p>
        </w:tc>
      </w:tr>
      <w:tr w:rsidR="0068007A" w:rsidRPr="00EE41C6" w14:paraId="3BC3E8FF" w14:textId="77777777" w:rsidTr="00726652">
        <w:trPr>
          <w:trHeight w:val="300"/>
          <w:jc w:val="center"/>
        </w:trPr>
        <w:tc>
          <w:tcPr>
            <w:tcW w:w="1168" w:type="dxa"/>
            <w:noWrap/>
            <w:hideMark/>
          </w:tcPr>
          <w:p w14:paraId="09A696C4"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Refining</w:t>
            </w:r>
          </w:p>
        </w:tc>
        <w:tc>
          <w:tcPr>
            <w:tcW w:w="1400" w:type="dxa"/>
            <w:noWrap/>
            <w:hideMark/>
          </w:tcPr>
          <w:p w14:paraId="56F29014"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Biomass liquids</w:t>
            </w:r>
          </w:p>
        </w:tc>
        <w:tc>
          <w:tcPr>
            <w:tcW w:w="2597" w:type="dxa"/>
            <w:noWrap/>
            <w:hideMark/>
          </w:tcPr>
          <w:p w14:paraId="328E444C"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Ft biofuels ccs level 2</w:t>
            </w:r>
          </w:p>
        </w:tc>
        <w:tc>
          <w:tcPr>
            <w:tcW w:w="960" w:type="dxa"/>
            <w:noWrap/>
            <w:hideMark/>
          </w:tcPr>
          <w:p w14:paraId="16DED787"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0.9</w:t>
            </w:r>
          </w:p>
        </w:tc>
        <w:tc>
          <w:tcPr>
            <w:tcW w:w="960" w:type="dxa"/>
            <w:noWrap/>
            <w:hideMark/>
          </w:tcPr>
          <w:p w14:paraId="7DFF0731"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0.9</w:t>
            </w:r>
          </w:p>
        </w:tc>
      </w:tr>
    </w:tbl>
    <w:p w14:paraId="732BFB9F" w14:textId="0FC3133C" w:rsidR="00F32CC3" w:rsidRPr="00EE41C6" w:rsidRDefault="001D5CF8" w:rsidP="001D5CF8">
      <w:pPr>
        <w:jc w:val="center"/>
        <w:rPr>
          <w:rFonts w:ascii="Times New Roman" w:hAnsi="Times New Roman" w:cs="Times New Roman"/>
          <w:sz w:val="18"/>
          <w:szCs w:val="18"/>
        </w:rPr>
      </w:pPr>
      <w:r w:rsidRPr="00EE41C6">
        <w:rPr>
          <w:rFonts w:ascii="Times New Roman" w:hAnsi="Times New Roman" w:cs="Times New Roman"/>
          <w:sz w:val="18"/>
          <w:szCs w:val="18"/>
        </w:rPr>
        <w:t>Ft: Fischer-</w:t>
      </w:r>
      <w:proofErr w:type="spellStart"/>
      <w:r w:rsidRPr="00EE41C6">
        <w:rPr>
          <w:rFonts w:ascii="Times New Roman" w:hAnsi="Times New Roman" w:cs="Times New Roman"/>
          <w:sz w:val="18"/>
          <w:szCs w:val="18"/>
        </w:rPr>
        <w:t>Tropsch</w:t>
      </w:r>
      <w:proofErr w:type="spellEnd"/>
      <w:r w:rsidRPr="00EE41C6">
        <w:rPr>
          <w:rFonts w:ascii="Times New Roman" w:hAnsi="Times New Roman" w:cs="Times New Roman"/>
          <w:sz w:val="18"/>
          <w:szCs w:val="18"/>
        </w:rPr>
        <w:t>; ccs: carbon capture and storage</w:t>
      </w:r>
    </w:p>
    <w:p w14:paraId="31203F05" w14:textId="77777777" w:rsidR="005A4B17" w:rsidRPr="00EE41C6" w:rsidRDefault="005A4B17" w:rsidP="00DB6449">
      <w:pPr>
        <w:pStyle w:val="Caption"/>
        <w:jc w:val="center"/>
      </w:pPr>
      <w:bookmarkStart w:id="35" w:name="_Toc167274030"/>
    </w:p>
    <w:p w14:paraId="6A5DFBDC" w14:textId="36F6E098" w:rsidR="0068007A" w:rsidRPr="00EE41C6" w:rsidRDefault="00DB6449" w:rsidP="00DB6449">
      <w:pPr>
        <w:pStyle w:val="Caption"/>
        <w:jc w:val="center"/>
        <w:rPr>
          <w:rFonts w:ascii="Times New Roman" w:hAnsi="Times New Roman" w:cs="Times New Roman"/>
        </w:rPr>
      </w:pPr>
      <w:r w:rsidRPr="00EE41C6">
        <w:t xml:space="preserve">Supplementary Table </w:t>
      </w:r>
      <w:fldSimple w:instr=" SEQ Supplementary_Table \* ARABIC ">
        <w:r w:rsidR="008628F3" w:rsidRPr="00EE41C6">
          <w:rPr>
            <w:noProof/>
          </w:rPr>
          <w:t>5</w:t>
        </w:r>
      </w:fldSimple>
      <w:r w:rsidRPr="00EE41C6">
        <w:t xml:space="preserve"> </w:t>
      </w:r>
      <w:r w:rsidR="0068007A" w:rsidRPr="00EE41C6">
        <w:rPr>
          <w:rFonts w:ascii="Times New Roman" w:hAnsi="Times New Roman" w:cs="Times New Roman"/>
        </w:rPr>
        <w:t>Primary energy transformation technologies default cost assumptions (1975$</w:t>
      </w:r>
      <w:r w:rsidR="00150F6A" w:rsidRPr="00EE41C6">
        <w:rPr>
          <w:rFonts w:ascii="Times New Roman" w:hAnsi="Times New Roman" w:cs="Times New Roman"/>
        </w:rPr>
        <w:t xml:space="preserve"> per </w:t>
      </w:r>
      <w:r w:rsidR="0068007A" w:rsidRPr="00EE41C6">
        <w:rPr>
          <w:rFonts w:ascii="Times New Roman" w:hAnsi="Times New Roman" w:cs="Times New Roman"/>
        </w:rPr>
        <w:t>GJ)</w:t>
      </w:r>
      <w:bookmarkEnd w:id="35"/>
    </w:p>
    <w:tbl>
      <w:tblPr>
        <w:tblStyle w:val="TableGrid"/>
        <w:tblW w:w="0" w:type="auto"/>
        <w:jc w:val="center"/>
        <w:tblLook w:val="04A0" w:firstRow="1" w:lastRow="0" w:firstColumn="1" w:lastColumn="0" w:noHBand="0" w:noVBand="1"/>
      </w:tblPr>
      <w:tblGrid>
        <w:gridCol w:w="1410"/>
        <w:gridCol w:w="1401"/>
        <w:gridCol w:w="891"/>
        <w:gridCol w:w="891"/>
        <w:gridCol w:w="891"/>
        <w:gridCol w:w="1186"/>
        <w:gridCol w:w="1434"/>
      </w:tblGrid>
      <w:tr w:rsidR="0068007A" w:rsidRPr="00EE41C6" w14:paraId="1DB52129" w14:textId="77777777" w:rsidTr="001D5CF8">
        <w:trPr>
          <w:trHeight w:val="300"/>
          <w:jc w:val="center"/>
        </w:trPr>
        <w:tc>
          <w:tcPr>
            <w:tcW w:w="1410" w:type="dxa"/>
            <w:noWrap/>
            <w:hideMark/>
          </w:tcPr>
          <w:p w14:paraId="329428B3"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Supply sector</w:t>
            </w:r>
          </w:p>
        </w:tc>
        <w:tc>
          <w:tcPr>
            <w:tcW w:w="1401" w:type="dxa"/>
            <w:noWrap/>
            <w:hideMark/>
          </w:tcPr>
          <w:p w14:paraId="78EA2594"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Technology</w:t>
            </w:r>
          </w:p>
        </w:tc>
        <w:tc>
          <w:tcPr>
            <w:tcW w:w="891" w:type="dxa"/>
            <w:noWrap/>
            <w:hideMark/>
          </w:tcPr>
          <w:p w14:paraId="49B094B4"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1971</w:t>
            </w:r>
          </w:p>
        </w:tc>
        <w:tc>
          <w:tcPr>
            <w:tcW w:w="891" w:type="dxa"/>
            <w:noWrap/>
            <w:hideMark/>
          </w:tcPr>
          <w:p w14:paraId="164593A3"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2010</w:t>
            </w:r>
          </w:p>
        </w:tc>
        <w:tc>
          <w:tcPr>
            <w:tcW w:w="891" w:type="dxa"/>
            <w:noWrap/>
            <w:hideMark/>
          </w:tcPr>
          <w:p w14:paraId="063D8A51"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2100</w:t>
            </w:r>
          </w:p>
        </w:tc>
        <w:tc>
          <w:tcPr>
            <w:tcW w:w="1186" w:type="dxa"/>
            <w:noWrap/>
            <w:hideMark/>
          </w:tcPr>
          <w:p w14:paraId="01EFFE73"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Improvement max</w:t>
            </w:r>
          </w:p>
        </w:tc>
        <w:tc>
          <w:tcPr>
            <w:tcW w:w="1434" w:type="dxa"/>
            <w:noWrap/>
            <w:hideMark/>
          </w:tcPr>
          <w:p w14:paraId="6F013E04"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Improvement rate</w:t>
            </w:r>
          </w:p>
        </w:tc>
      </w:tr>
      <w:tr w:rsidR="0068007A" w:rsidRPr="00EE41C6" w14:paraId="341FC081" w14:textId="77777777" w:rsidTr="001D5CF8">
        <w:trPr>
          <w:trHeight w:val="300"/>
          <w:jc w:val="center"/>
        </w:trPr>
        <w:tc>
          <w:tcPr>
            <w:tcW w:w="1410" w:type="dxa"/>
            <w:noWrap/>
            <w:hideMark/>
          </w:tcPr>
          <w:p w14:paraId="48C5D61F"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Gas processing</w:t>
            </w:r>
          </w:p>
        </w:tc>
        <w:tc>
          <w:tcPr>
            <w:tcW w:w="1401" w:type="dxa"/>
            <w:noWrap/>
            <w:hideMark/>
          </w:tcPr>
          <w:p w14:paraId="68B42DE3"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Natural gas</w:t>
            </w:r>
          </w:p>
        </w:tc>
        <w:tc>
          <w:tcPr>
            <w:tcW w:w="891" w:type="dxa"/>
            <w:noWrap/>
            <w:hideMark/>
          </w:tcPr>
          <w:p w14:paraId="63515A5E"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0.2</w:t>
            </w:r>
          </w:p>
        </w:tc>
        <w:tc>
          <w:tcPr>
            <w:tcW w:w="891" w:type="dxa"/>
            <w:noWrap/>
            <w:hideMark/>
          </w:tcPr>
          <w:p w14:paraId="4304C07C"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0.2</w:t>
            </w:r>
          </w:p>
        </w:tc>
        <w:tc>
          <w:tcPr>
            <w:tcW w:w="891" w:type="dxa"/>
            <w:noWrap/>
            <w:hideMark/>
          </w:tcPr>
          <w:p w14:paraId="285923F3"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0.2</w:t>
            </w:r>
          </w:p>
        </w:tc>
        <w:tc>
          <w:tcPr>
            <w:tcW w:w="1186" w:type="dxa"/>
            <w:noWrap/>
            <w:hideMark/>
          </w:tcPr>
          <w:p w14:paraId="7EC4DF04" w14:textId="77777777" w:rsidR="0068007A" w:rsidRPr="00EE41C6" w:rsidRDefault="0068007A" w:rsidP="00726652">
            <w:pPr>
              <w:rPr>
                <w:rFonts w:ascii="Times New Roman" w:hAnsi="Times New Roman" w:cs="Times New Roman"/>
                <w:sz w:val="18"/>
                <w:szCs w:val="18"/>
              </w:rPr>
            </w:pPr>
          </w:p>
        </w:tc>
        <w:tc>
          <w:tcPr>
            <w:tcW w:w="1434" w:type="dxa"/>
            <w:noWrap/>
            <w:hideMark/>
          </w:tcPr>
          <w:p w14:paraId="61AC9011" w14:textId="77777777" w:rsidR="0068007A" w:rsidRPr="00EE41C6" w:rsidRDefault="0068007A" w:rsidP="00726652">
            <w:pPr>
              <w:rPr>
                <w:rFonts w:ascii="Times New Roman" w:hAnsi="Times New Roman" w:cs="Times New Roman"/>
                <w:sz w:val="18"/>
                <w:szCs w:val="18"/>
              </w:rPr>
            </w:pPr>
          </w:p>
        </w:tc>
      </w:tr>
      <w:tr w:rsidR="0068007A" w:rsidRPr="00EE41C6" w14:paraId="0DC148A4" w14:textId="77777777" w:rsidTr="001D5CF8">
        <w:trPr>
          <w:trHeight w:val="300"/>
          <w:jc w:val="center"/>
        </w:trPr>
        <w:tc>
          <w:tcPr>
            <w:tcW w:w="1410" w:type="dxa"/>
            <w:noWrap/>
            <w:hideMark/>
          </w:tcPr>
          <w:p w14:paraId="4128F705"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Gas processing</w:t>
            </w:r>
          </w:p>
        </w:tc>
        <w:tc>
          <w:tcPr>
            <w:tcW w:w="1401" w:type="dxa"/>
            <w:noWrap/>
            <w:hideMark/>
          </w:tcPr>
          <w:p w14:paraId="5B9952B5"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Biomass gasification</w:t>
            </w:r>
          </w:p>
        </w:tc>
        <w:tc>
          <w:tcPr>
            <w:tcW w:w="891" w:type="dxa"/>
            <w:noWrap/>
            <w:hideMark/>
          </w:tcPr>
          <w:p w14:paraId="2406C611"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7.030087</w:t>
            </w:r>
          </w:p>
        </w:tc>
        <w:tc>
          <w:tcPr>
            <w:tcW w:w="891" w:type="dxa"/>
            <w:noWrap/>
            <w:hideMark/>
          </w:tcPr>
          <w:p w14:paraId="32E94BA0"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7.030087</w:t>
            </w:r>
          </w:p>
        </w:tc>
        <w:tc>
          <w:tcPr>
            <w:tcW w:w="891" w:type="dxa"/>
            <w:noWrap/>
            <w:hideMark/>
          </w:tcPr>
          <w:p w14:paraId="3B06FD9C" w14:textId="77777777" w:rsidR="0068007A" w:rsidRPr="00EE41C6" w:rsidRDefault="0068007A" w:rsidP="00726652">
            <w:pPr>
              <w:rPr>
                <w:rFonts w:ascii="Times New Roman" w:hAnsi="Times New Roman" w:cs="Times New Roman"/>
                <w:sz w:val="18"/>
                <w:szCs w:val="18"/>
              </w:rPr>
            </w:pPr>
          </w:p>
        </w:tc>
        <w:tc>
          <w:tcPr>
            <w:tcW w:w="1186" w:type="dxa"/>
            <w:noWrap/>
            <w:hideMark/>
          </w:tcPr>
          <w:p w14:paraId="163C2443"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0.7</w:t>
            </w:r>
          </w:p>
        </w:tc>
        <w:tc>
          <w:tcPr>
            <w:tcW w:w="1434" w:type="dxa"/>
            <w:noWrap/>
            <w:hideMark/>
          </w:tcPr>
          <w:p w14:paraId="1C47E8F9"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0.03</w:t>
            </w:r>
          </w:p>
        </w:tc>
      </w:tr>
      <w:tr w:rsidR="0068007A" w:rsidRPr="00EE41C6" w14:paraId="53CCAEA1" w14:textId="77777777" w:rsidTr="001D5CF8">
        <w:trPr>
          <w:trHeight w:val="300"/>
          <w:jc w:val="center"/>
        </w:trPr>
        <w:tc>
          <w:tcPr>
            <w:tcW w:w="1410" w:type="dxa"/>
            <w:noWrap/>
            <w:hideMark/>
          </w:tcPr>
          <w:p w14:paraId="4B0C6730"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Gas processing</w:t>
            </w:r>
          </w:p>
        </w:tc>
        <w:tc>
          <w:tcPr>
            <w:tcW w:w="1401" w:type="dxa"/>
            <w:noWrap/>
            <w:hideMark/>
          </w:tcPr>
          <w:p w14:paraId="35DF6B57"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Coal gasification</w:t>
            </w:r>
          </w:p>
        </w:tc>
        <w:tc>
          <w:tcPr>
            <w:tcW w:w="891" w:type="dxa"/>
            <w:noWrap/>
            <w:hideMark/>
          </w:tcPr>
          <w:p w14:paraId="5725A658"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5.285779</w:t>
            </w:r>
          </w:p>
        </w:tc>
        <w:tc>
          <w:tcPr>
            <w:tcW w:w="891" w:type="dxa"/>
            <w:noWrap/>
            <w:hideMark/>
          </w:tcPr>
          <w:p w14:paraId="5A6B7195"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5.285779</w:t>
            </w:r>
          </w:p>
        </w:tc>
        <w:tc>
          <w:tcPr>
            <w:tcW w:w="891" w:type="dxa"/>
            <w:noWrap/>
            <w:hideMark/>
          </w:tcPr>
          <w:p w14:paraId="66F14562" w14:textId="77777777" w:rsidR="0068007A" w:rsidRPr="00EE41C6" w:rsidRDefault="0068007A" w:rsidP="00726652">
            <w:pPr>
              <w:rPr>
                <w:rFonts w:ascii="Times New Roman" w:hAnsi="Times New Roman" w:cs="Times New Roman"/>
                <w:sz w:val="18"/>
                <w:szCs w:val="18"/>
              </w:rPr>
            </w:pPr>
          </w:p>
        </w:tc>
        <w:tc>
          <w:tcPr>
            <w:tcW w:w="1186" w:type="dxa"/>
            <w:noWrap/>
            <w:hideMark/>
          </w:tcPr>
          <w:p w14:paraId="50FF9BCA"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0.7</w:t>
            </w:r>
          </w:p>
        </w:tc>
        <w:tc>
          <w:tcPr>
            <w:tcW w:w="1434" w:type="dxa"/>
            <w:noWrap/>
            <w:hideMark/>
          </w:tcPr>
          <w:p w14:paraId="79087064"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0.03</w:t>
            </w:r>
          </w:p>
        </w:tc>
      </w:tr>
      <w:tr w:rsidR="0068007A" w:rsidRPr="00EE41C6" w14:paraId="4CA35B1B" w14:textId="77777777" w:rsidTr="001D5CF8">
        <w:trPr>
          <w:trHeight w:val="300"/>
          <w:jc w:val="center"/>
        </w:trPr>
        <w:tc>
          <w:tcPr>
            <w:tcW w:w="1410" w:type="dxa"/>
            <w:noWrap/>
            <w:hideMark/>
          </w:tcPr>
          <w:p w14:paraId="6E542B88" w14:textId="6D2ADA7C"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Nuclear fuel gen</w:t>
            </w:r>
            <w:r w:rsidR="00D23622" w:rsidRPr="00EE41C6">
              <w:rPr>
                <w:rFonts w:ascii="Times New Roman" w:hAnsi="Times New Roman" w:cs="Times New Roman"/>
                <w:sz w:val="18"/>
                <w:szCs w:val="18"/>
              </w:rPr>
              <w:t>eration</w:t>
            </w:r>
            <w:r w:rsidRPr="00EE41C6">
              <w:rPr>
                <w:rFonts w:ascii="Times New Roman" w:hAnsi="Times New Roman" w:cs="Times New Roman"/>
                <w:sz w:val="18"/>
                <w:szCs w:val="18"/>
              </w:rPr>
              <w:t xml:space="preserve"> II</w:t>
            </w:r>
          </w:p>
        </w:tc>
        <w:tc>
          <w:tcPr>
            <w:tcW w:w="1401" w:type="dxa"/>
            <w:noWrap/>
            <w:hideMark/>
          </w:tcPr>
          <w:p w14:paraId="2E16E077"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Enriched uranium</w:t>
            </w:r>
          </w:p>
        </w:tc>
        <w:tc>
          <w:tcPr>
            <w:tcW w:w="891" w:type="dxa"/>
            <w:noWrap/>
            <w:hideMark/>
          </w:tcPr>
          <w:p w14:paraId="3EAE09FA"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0.124464</w:t>
            </w:r>
          </w:p>
        </w:tc>
        <w:tc>
          <w:tcPr>
            <w:tcW w:w="891" w:type="dxa"/>
            <w:noWrap/>
            <w:hideMark/>
          </w:tcPr>
          <w:p w14:paraId="35C18002"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0.124464</w:t>
            </w:r>
          </w:p>
        </w:tc>
        <w:tc>
          <w:tcPr>
            <w:tcW w:w="891" w:type="dxa"/>
            <w:noWrap/>
            <w:hideMark/>
          </w:tcPr>
          <w:p w14:paraId="5B588B71"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0.124464</w:t>
            </w:r>
          </w:p>
        </w:tc>
        <w:tc>
          <w:tcPr>
            <w:tcW w:w="1186" w:type="dxa"/>
            <w:noWrap/>
            <w:hideMark/>
          </w:tcPr>
          <w:p w14:paraId="6EEA4929" w14:textId="77777777" w:rsidR="0068007A" w:rsidRPr="00EE41C6" w:rsidRDefault="0068007A" w:rsidP="00726652">
            <w:pPr>
              <w:rPr>
                <w:rFonts w:ascii="Times New Roman" w:hAnsi="Times New Roman" w:cs="Times New Roman"/>
                <w:sz w:val="18"/>
                <w:szCs w:val="18"/>
              </w:rPr>
            </w:pPr>
          </w:p>
        </w:tc>
        <w:tc>
          <w:tcPr>
            <w:tcW w:w="1434" w:type="dxa"/>
            <w:noWrap/>
            <w:hideMark/>
          </w:tcPr>
          <w:p w14:paraId="2D05A54E" w14:textId="77777777" w:rsidR="0068007A" w:rsidRPr="00EE41C6" w:rsidRDefault="0068007A" w:rsidP="00726652">
            <w:pPr>
              <w:rPr>
                <w:rFonts w:ascii="Times New Roman" w:hAnsi="Times New Roman" w:cs="Times New Roman"/>
                <w:sz w:val="18"/>
                <w:szCs w:val="18"/>
              </w:rPr>
            </w:pPr>
          </w:p>
        </w:tc>
      </w:tr>
      <w:tr w:rsidR="0068007A" w:rsidRPr="00EE41C6" w14:paraId="1B20E221" w14:textId="77777777" w:rsidTr="001D5CF8">
        <w:trPr>
          <w:trHeight w:val="300"/>
          <w:jc w:val="center"/>
        </w:trPr>
        <w:tc>
          <w:tcPr>
            <w:tcW w:w="1410" w:type="dxa"/>
            <w:noWrap/>
            <w:hideMark/>
          </w:tcPr>
          <w:p w14:paraId="31EAF65F" w14:textId="0AB7223A"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lastRenderedPageBreak/>
              <w:t>Nuclear fuel gen</w:t>
            </w:r>
            <w:r w:rsidR="001D5CF8" w:rsidRPr="00EE41C6">
              <w:rPr>
                <w:rFonts w:ascii="Times New Roman" w:hAnsi="Times New Roman" w:cs="Times New Roman"/>
                <w:sz w:val="18"/>
                <w:szCs w:val="18"/>
              </w:rPr>
              <w:t xml:space="preserve">eration </w:t>
            </w:r>
            <w:r w:rsidRPr="00EE41C6">
              <w:rPr>
                <w:rFonts w:ascii="Times New Roman" w:hAnsi="Times New Roman" w:cs="Times New Roman"/>
                <w:sz w:val="18"/>
                <w:szCs w:val="18"/>
              </w:rPr>
              <w:t>III</w:t>
            </w:r>
          </w:p>
        </w:tc>
        <w:tc>
          <w:tcPr>
            <w:tcW w:w="1401" w:type="dxa"/>
            <w:noWrap/>
            <w:hideMark/>
          </w:tcPr>
          <w:p w14:paraId="1DFA7301"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Enriched uranium</w:t>
            </w:r>
          </w:p>
        </w:tc>
        <w:tc>
          <w:tcPr>
            <w:tcW w:w="891" w:type="dxa"/>
            <w:noWrap/>
            <w:hideMark/>
          </w:tcPr>
          <w:p w14:paraId="2C1AB4B2"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0.124464</w:t>
            </w:r>
          </w:p>
        </w:tc>
        <w:tc>
          <w:tcPr>
            <w:tcW w:w="891" w:type="dxa"/>
            <w:noWrap/>
            <w:hideMark/>
          </w:tcPr>
          <w:p w14:paraId="1792E782"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0.124464</w:t>
            </w:r>
          </w:p>
        </w:tc>
        <w:tc>
          <w:tcPr>
            <w:tcW w:w="891" w:type="dxa"/>
            <w:noWrap/>
            <w:hideMark/>
          </w:tcPr>
          <w:p w14:paraId="79C82DB4"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0.124464</w:t>
            </w:r>
          </w:p>
        </w:tc>
        <w:tc>
          <w:tcPr>
            <w:tcW w:w="1186" w:type="dxa"/>
            <w:noWrap/>
            <w:hideMark/>
          </w:tcPr>
          <w:p w14:paraId="0F8E5D89" w14:textId="77777777" w:rsidR="0068007A" w:rsidRPr="00EE41C6" w:rsidRDefault="0068007A" w:rsidP="00726652">
            <w:pPr>
              <w:rPr>
                <w:rFonts w:ascii="Times New Roman" w:hAnsi="Times New Roman" w:cs="Times New Roman"/>
                <w:sz w:val="18"/>
                <w:szCs w:val="18"/>
              </w:rPr>
            </w:pPr>
          </w:p>
        </w:tc>
        <w:tc>
          <w:tcPr>
            <w:tcW w:w="1434" w:type="dxa"/>
            <w:noWrap/>
            <w:hideMark/>
          </w:tcPr>
          <w:p w14:paraId="63A71015" w14:textId="77777777" w:rsidR="0068007A" w:rsidRPr="00EE41C6" w:rsidRDefault="0068007A" w:rsidP="00726652">
            <w:pPr>
              <w:rPr>
                <w:rFonts w:ascii="Times New Roman" w:hAnsi="Times New Roman" w:cs="Times New Roman"/>
                <w:sz w:val="18"/>
                <w:szCs w:val="18"/>
              </w:rPr>
            </w:pPr>
          </w:p>
        </w:tc>
      </w:tr>
      <w:tr w:rsidR="0068007A" w:rsidRPr="00EE41C6" w14:paraId="07D3C24C" w14:textId="77777777" w:rsidTr="001D5CF8">
        <w:trPr>
          <w:trHeight w:val="300"/>
          <w:jc w:val="center"/>
        </w:trPr>
        <w:tc>
          <w:tcPr>
            <w:tcW w:w="1410" w:type="dxa"/>
            <w:noWrap/>
            <w:hideMark/>
          </w:tcPr>
          <w:p w14:paraId="578FC010"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Refining</w:t>
            </w:r>
          </w:p>
        </w:tc>
        <w:tc>
          <w:tcPr>
            <w:tcW w:w="1401" w:type="dxa"/>
            <w:noWrap/>
            <w:hideMark/>
          </w:tcPr>
          <w:p w14:paraId="40C808DE"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Oil refining</w:t>
            </w:r>
          </w:p>
        </w:tc>
        <w:tc>
          <w:tcPr>
            <w:tcW w:w="891" w:type="dxa"/>
            <w:noWrap/>
            <w:hideMark/>
          </w:tcPr>
          <w:p w14:paraId="55090B6F"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0.84</w:t>
            </w:r>
          </w:p>
        </w:tc>
        <w:tc>
          <w:tcPr>
            <w:tcW w:w="891" w:type="dxa"/>
            <w:noWrap/>
            <w:hideMark/>
          </w:tcPr>
          <w:p w14:paraId="5708728C"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0.84</w:t>
            </w:r>
          </w:p>
        </w:tc>
        <w:tc>
          <w:tcPr>
            <w:tcW w:w="891" w:type="dxa"/>
            <w:noWrap/>
            <w:hideMark/>
          </w:tcPr>
          <w:p w14:paraId="7A1F3ACD"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0.84</w:t>
            </w:r>
          </w:p>
        </w:tc>
        <w:tc>
          <w:tcPr>
            <w:tcW w:w="1186" w:type="dxa"/>
            <w:noWrap/>
            <w:hideMark/>
          </w:tcPr>
          <w:p w14:paraId="1B1FB16D" w14:textId="77777777" w:rsidR="0068007A" w:rsidRPr="00EE41C6" w:rsidRDefault="0068007A" w:rsidP="00726652">
            <w:pPr>
              <w:rPr>
                <w:rFonts w:ascii="Times New Roman" w:hAnsi="Times New Roman" w:cs="Times New Roman"/>
                <w:sz w:val="18"/>
                <w:szCs w:val="18"/>
              </w:rPr>
            </w:pPr>
          </w:p>
        </w:tc>
        <w:tc>
          <w:tcPr>
            <w:tcW w:w="1434" w:type="dxa"/>
            <w:noWrap/>
            <w:hideMark/>
          </w:tcPr>
          <w:p w14:paraId="29E66C41" w14:textId="77777777" w:rsidR="0068007A" w:rsidRPr="00EE41C6" w:rsidRDefault="0068007A" w:rsidP="00726652">
            <w:pPr>
              <w:rPr>
                <w:rFonts w:ascii="Times New Roman" w:hAnsi="Times New Roman" w:cs="Times New Roman"/>
                <w:sz w:val="18"/>
                <w:szCs w:val="18"/>
              </w:rPr>
            </w:pPr>
          </w:p>
        </w:tc>
      </w:tr>
      <w:tr w:rsidR="0068007A" w:rsidRPr="00EE41C6" w14:paraId="58E710AC" w14:textId="77777777" w:rsidTr="001D5CF8">
        <w:trPr>
          <w:trHeight w:val="300"/>
          <w:jc w:val="center"/>
        </w:trPr>
        <w:tc>
          <w:tcPr>
            <w:tcW w:w="1410" w:type="dxa"/>
            <w:noWrap/>
            <w:hideMark/>
          </w:tcPr>
          <w:p w14:paraId="61D1986D"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Refining</w:t>
            </w:r>
          </w:p>
        </w:tc>
        <w:tc>
          <w:tcPr>
            <w:tcW w:w="1401" w:type="dxa"/>
            <w:noWrap/>
            <w:hideMark/>
          </w:tcPr>
          <w:p w14:paraId="40D17DFE"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Coal to liquids</w:t>
            </w:r>
          </w:p>
        </w:tc>
        <w:tc>
          <w:tcPr>
            <w:tcW w:w="891" w:type="dxa"/>
            <w:noWrap/>
            <w:hideMark/>
          </w:tcPr>
          <w:p w14:paraId="3FDB3E6F"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5.294118</w:t>
            </w:r>
          </w:p>
        </w:tc>
        <w:tc>
          <w:tcPr>
            <w:tcW w:w="891" w:type="dxa"/>
            <w:noWrap/>
            <w:hideMark/>
          </w:tcPr>
          <w:p w14:paraId="58F6F4E6"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5.294118</w:t>
            </w:r>
          </w:p>
        </w:tc>
        <w:tc>
          <w:tcPr>
            <w:tcW w:w="891" w:type="dxa"/>
            <w:noWrap/>
            <w:hideMark/>
          </w:tcPr>
          <w:p w14:paraId="151E0DD3" w14:textId="77777777" w:rsidR="0068007A" w:rsidRPr="00EE41C6" w:rsidRDefault="0068007A" w:rsidP="00726652">
            <w:pPr>
              <w:rPr>
                <w:rFonts w:ascii="Times New Roman" w:hAnsi="Times New Roman" w:cs="Times New Roman"/>
                <w:sz w:val="18"/>
                <w:szCs w:val="18"/>
              </w:rPr>
            </w:pPr>
          </w:p>
        </w:tc>
        <w:tc>
          <w:tcPr>
            <w:tcW w:w="1186" w:type="dxa"/>
            <w:noWrap/>
            <w:hideMark/>
          </w:tcPr>
          <w:p w14:paraId="3D050B34"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0.7</w:t>
            </w:r>
          </w:p>
        </w:tc>
        <w:tc>
          <w:tcPr>
            <w:tcW w:w="1434" w:type="dxa"/>
            <w:noWrap/>
            <w:hideMark/>
          </w:tcPr>
          <w:p w14:paraId="058BA289"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0.03</w:t>
            </w:r>
          </w:p>
        </w:tc>
      </w:tr>
      <w:tr w:rsidR="0068007A" w:rsidRPr="00EE41C6" w14:paraId="07108762" w14:textId="77777777" w:rsidTr="001D5CF8">
        <w:trPr>
          <w:trHeight w:val="300"/>
          <w:jc w:val="center"/>
        </w:trPr>
        <w:tc>
          <w:tcPr>
            <w:tcW w:w="1410" w:type="dxa"/>
            <w:noWrap/>
            <w:hideMark/>
          </w:tcPr>
          <w:p w14:paraId="33778B73"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Refining</w:t>
            </w:r>
          </w:p>
        </w:tc>
        <w:tc>
          <w:tcPr>
            <w:tcW w:w="1401" w:type="dxa"/>
            <w:noWrap/>
            <w:hideMark/>
          </w:tcPr>
          <w:p w14:paraId="0C2D8303"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Coal to liquids ccs level 1</w:t>
            </w:r>
          </w:p>
        </w:tc>
        <w:tc>
          <w:tcPr>
            <w:tcW w:w="891" w:type="dxa"/>
            <w:noWrap/>
            <w:hideMark/>
          </w:tcPr>
          <w:p w14:paraId="4907C176"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5.980615</w:t>
            </w:r>
          </w:p>
        </w:tc>
        <w:tc>
          <w:tcPr>
            <w:tcW w:w="891" w:type="dxa"/>
            <w:noWrap/>
            <w:hideMark/>
          </w:tcPr>
          <w:p w14:paraId="4995AE9F"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5.980615</w:t>
            </w:r>
          </w:p>
        </w:tc>
        <w:tc>
          <w:tcPr>
            <w:tcW w:w="891" w:type="dxa"/>
            <w:noWrap/>
            <w:hideMark/>
          </w:tcPr>
          <w:p w14:paraId="0E58F30A" w14:textId="77777777" w:rsidR="0068007A" w:rsidRPr="00EE41C6" w:rsidRDefault="0068007A" w:rsidP="00726652">
            <w:pPr>
              <w:rPr>
                <w:rFonts w:ascii="Times New Roman" w:hAnsi="Times New Roman" w:cs="Times New Roman"/>
                <w:sz w:val="18"/>
                <w:szCs w:val="18"/>
              </w:rPr>
            </w:pPr>
          </w:p>
        </w:tc>
        <w:tc>
          <w:tcPr>
            <w:tcW w:w="1186" w:type="dxa"/>
            <w:noWrap/>
            <w:hideMark/>
          </w:tcPr>
          <w:p w14:paraId="057081FB"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0.6</w:t>
            </w:r>
          </w:p>
        </w:tc>
        <w:tc>
          <w:tcPr>
            <w:tcW w:w="1434" w:type="dxa"/>
            <w:noWrap/>
            <w:hideMark/>
          </w:tcPr>
          <w:p w14:paraId="48372844"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0.05</w:t>
            </w:r>
          </w:p>
        </w:tc>
      </w:tr>
      <w:tr w:rsidR="0068007A" w:rsidRPr="00EE41C6" w14:paraId="7AFE4D55" w14:textId="77777777" w:rsidTr="001D5CF8">
        <w:trPr>
          <w:trHeight w:val="300"/>
          <w:jc w:val="center"/>
        </w:trPr>
        <w:tc>
          <w:tcPr>
            <w:tcW w:w="1410" w:type="dxa"/>
            <w:noWrap/>
            <w:hideMark/>
          </w:tcPr>
          <w:p w14:paraId="20266371"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Refining</w:t>
            </w:r>
          </w:p>
        </w:tc>
        <w:tc>
          <w:tcPr>
            <w:tcW w:w="1401" w:type="dxa"/>
            <w:noWrap/>
            <w:hideMark/>
          </w:tcPr>
          <w:p w14:paraId="7BC1994C"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Coal to liquids ccs level 2</w:t>
            </w:r>
          </w:p>
        </w:tc>
        <w:tc>
          <w:tcPr>
            <w:tcW w:w="891" w:type="dxa"/>
            <w:noWrap/>
            <w:hideMark/>
          </w:tcPr>
          <w:p w14:paraId="4D23021A"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6.467671</w:t>
            </w:r>
          </w:p>
        </w:tc>
        <w:tc>
          <w:tcPr>
            <w:tcW w:w="891" w:type="dxa"/>
            <w:noWrap/>
            <w:hideMark/>
          </w:tcPr>
          <w:p w14:paraId="53148546"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6.467671</w:t>
            </w:r>
          </w:p>
        </w:tc>
        <w:tc>
          <w:tcPr>
            <w:tcW w:w="891" w:type="dxa"/>
            <w:noWrap/>
            <w:hideMark/>
          </w:tcPr>
          <w:p w14:paraId="5549A280" w14:textId="77777777" w:rsidR="0068007A" w:rsidRPr="00EE41C6" w:rsidRDefault="0068007A" w:rsidP="00726652">
            <w:pPr>
              <w:rPr>
                <w:rFonts w:ascii="Times New Roman" w:hAnsi="Times New Roman" w:cs="Times New Roman"/>
                <w:sz w:val="18"/>
                <w:szCs w:val="18"/>
              </w:rPr>
            </w:pPr>
          </w:p>
        </w:tc>
        <w:tc>
          <w:tcPr>
            <w:tcW w:w="1186" w:type="dxa"/>
            <w:noWrap/>
            <w:hideMark/>
          </w:tcPr>
          <w:p w14:paraId="04EBDAB3"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0.6</w:t>
            </w:r>
          </w:p>
        </w:tc>
        <w:tc>
          <w:tcPr>
            <w:tcW w:w="1434" w:type="dxa"/>
            <w:noWrap/>
            <w:hideMark/>
          </w:tcPr>
          <w:p w14:paraId="6731C277"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0.05</w:t>
            </w:r>
          </w:p>
        </w:tc>
      </w:tr>
      <w:tr w:rsidR="0068007A" w:rsidRPr="00EE41C6" w14:paraId="3597BF34" w14:textId="77777777" w:rsidTr="001D5CF8">
        <w:trPr>
          <w:trHeight w:val="300"/>
          <w:jc w:val="center"/>
        </w:trPr>
        <w:tc>
          <w:tcPr>
            <w:tcW w:w="1410" w:type="dxa"/>
            <w:noWrap/>
            <w:hideMark/>
          </w:tcPr>
          <w:p w14:paraId="08E9AA9F"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Refining</w:t>
            </w:r>
          </w:p>
        </w:tc>
        <w:tc>
          <w:tcPr>
            <w:tcW w:w="1401" w:type="dxa"/>
            <w:noWrap/>
            <w:hideMark/>
          </w:tcPr>
          <w:p w14:paraId="0743493E"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Gas to liquids</w:t>
            </w:r>
          </w:p>
        </w:tc>
        <w:tc>
          <w:tcPr>
            <w:tcW w:w="891" w:type="dxa"/>
            <w:noWrap/>
            <w:hideMark/>
          </w:tcPr>
          <w:p w14:paraId="3B5D7AD5"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3.970588</w:t>
            </w:r>
          </w:p>
        </w:tc>
        <w:tc>
          <w:tcPr>
            <w:tcW w:w="891" w:type="dxa"/>
            <w:noWrap/>
            <w:hideMark/>
          </w:tcPr>
          <w:p w14:paraId="0C3E16C6"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3.970588</w:t>
            </w:r>
          </w:p>
        </w:tc>
        <w:tc>
          <w:tcPr>
            <w:tcW w:w="891" w:type="dxa"/>
            <w:noWrap/>
            <w:hideMark/>
          </w:tcPr>
          <w:p w14:paraId="44FC51CB" w14:textId="77777777" w:rsidR="0068007A" w:rsidRPr="00EE41C6" w:rsidRDefault="0068007A" w:rsidP="00726652">
            <w:pPr>
              <w:rPr>
                <w:rFonts w:ascii="Times New Roman" w:hAnsi="Times New Roman" w:cs="Times New Roman"/>
                <w:sz w:val="18"/>
                <w:szCs w:val="18"/>
              </w:rPr>
            </w:pPr>
          </w:p>
        </w:tc>
        <w:tc>
          <w:tcPr>
            <w:tcW w:w="1186" w:type="dxa"/>
            <w:noWrap/>
            <w:hideMark/>
          </w:tcPr>
          <w:p w14:paraId="1EDAA480"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0.7</w:t>
            </w:r>
          </w:p>
        </w:tc>
        <w:tc>
          <w:tcPr>
            <w:tcW w:w="1434" w:type="dxa"/>
            <w:noWrap/>
            <w:hideMark/>
          </w:tcPr>
          <w:p w14:paraId="44E58E7A"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0.03</w:t>
            </w:r>
          </w:p>
        </w:tc>
      </w:tr>
      <w:tr w:rsidR="0068007A" w:rsidRPr="00EE41C6" w14:paraId="15358F35" w14:textId="77777777" w:rsidTr="001D5CF8">
        <w:trPr>
          <w:trHeight w:val="300"/>
          <w:jc w:val="center"/>
        </w:trPr>
        <w:tc>
          <w:tcPr>
            <w:tcW w:w="1410" w:type="dxa"/>
            <w:noWrap/>
            <w:hideMark/>
          </w:tcPr>
          <w:p w14:paraId="198F026A"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Refining</w:t>
            </w:r>
          </w:p>
        </w:tc>
        <w:tc>
          <w:tcPr>
            <w:tcW w:w="1401" w:type="dxa"/>
            <w:noWrap/>
            <w:hideMark/>
          </w:tcPr>
          <w:p w14:paraId="1E5C4BCA"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Cellulosic ethanol</w:t>
            </w:r>
          </w:p>
        </w:tc>
        <w:tc>
          <w:tcPr>
            <w:tcW w:w="891" w:type="dxa"/>
            <w:noWrap/>
            <w:hideMark/>
          </w:tcPr>
          <w:p w14:paraId="55D44F76"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4.74</w:t>
            </w:r>
          </w:p>
        </w:tc>
        <w:tc>
          <w:tcPr>
            <w:tcW w:w="891" w:type="dxa"/>
            <w:noWrap/>
            <w:hideMark/>
          </w:tcPr>
          <w:p w14:paraId="4CF93BDB"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4.74</w:t>
            </w:r>
          </w:p>
        </w:tc>
        <w:tc>
          <w:tcPr>
            <w:tcW w:w="891" w:type="dxa"/>
            <w:noWrap/>
            <w:hideMark/>
          </w:tcPr>
          <w:p w14:paraId="107A202C" w14:textId="77777777" w:rsidR="0068007A" w:rsidRPr="00EE41C6" w:rsidRDefault="0068007A" w:rsidP="00726652">
            <w:pPr>
              <w:rPr>
                <w:rFonts w:ascii="Times New Roman" w:hAnsi="Times New Roman" w:cs="Times New Roman"/>
                <w:sz w:val="18"/>
                <w:szCs w:val="18"/>
              </w:rPr>
            </w:pPr>
          </w:p>
        </w:tc>
        <w:tc>
          <w:tcPr>
            <w:tcW w:w="1186" w:type="dxa"/>
            <w:noWrap/>
            <w:hideMark/>
          </w:tcPr>
          <w:p w14:paraId="3830E2C5"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0.7</w:t>
            </w:r>
          </w:p>
        </w:tc>
        <w:tc>
          <w:tcPr>
            <w:tcW w:w="1434" w:type="dxa"/>
            <w:noWrap/>
            <w:hideMark/>
          </w:tcPr>
          <w:p w14:paraId="46786E8A"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0.03</w:t>
            </w:r>
          </w:p>
        </w:tc>
      </w:tr>
      <w:tr w:rsidR="0068007A" w:rsidRPr="00EE41C6" w14:paraId="135C3EB0" w14:textId="77777777" w:rsidTr="001D5CF8">
        <w:trPr>
          <w:trHeight w:val="300"/>
          <w:jc w:val="center"/>
        </w:trPr>
        <w:tc>
          <w:tcPr>
            <w:tcW w:w="1410" w:type="dxa"/>
            <w:noWrap/>
            <w:hideMark/>
          </w:tcPr>
          <w:p w14:paraId="42C3AD62"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Refining</w:t>
            </w:r>
          </w:p>
        </w:tc>
        <w:tc>
          <w:tcPr>
            <w:tcW w:w="1401" w:type="dxa"/>
            <w:noWrap/>
            <w:hideMark/>
          </w:tcPr>
          <w:p w14:paraId="67DF6D3A"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Cellulosic ethanol ccs level 1</w:t>
            </w:r>
          </w:p>
        </w:tc>
        <w:tc>
          <w:tcPr>
            <w:tcW w:w="891" w:type="dxa"/>
            <w:noWrap/>
            <w:hideMark/>
          </w:tcPr>
          <w:p w14:paraId="016E481B"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4.991818</w:t>
            </w:r>
          </w:p>
        </w:tc>
        <w:tc>
          <w:tcPr>
            <w:tcW w:w="891" w:type="dxa"/>
            <w:noWrap/>
            <w:hideMark/>
          </w:tcPr>
          <w:p w14:paraId="7ED0D4D9"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4.991818</w:t>
            </w:r>
          </w:p>
        </w:tc>
        <w:tc>
          <w:tcPr>
            <w:tcW w:w="891" w:type="dxa"/>
            <w:noWrap/>
            <w:hideMark/>
          </w:tcPr>
          <w:p w14:paraId="2C828D02" w14:textId="77777777" w:rsidR="0068007A" w:rsidRPr="00EE41C6" w:rsidRDefault="0068007A" w:rsidP="00726652">
            <w:pPr>
              <w:rPr>
                <w:rFonts w:ascii="Times New Roman" w:hAnsi="Times New Roman" w:cs="Times New Roman"/>
                <w:sz w:val="18"/>
                <w:szCs w:val="18"/>
              </w:rPr>
            </w:pPr>
          </w:p>
        </w:tc>
        <w:tc>
          <w:tcPr>
            <w:tcW w:w="1186" w:type="dxa"/>
            <w:noWrap/>
            <w:hideMark/>
          </w:tcPr>
          <w:p w14:paraId="276854A1"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0.6</w:t>
            </w:r>
          </w:p>
        </w:tc>
        <w:tc>
          <w:tcPr>
            <w:tcW w:w="1434" w:type="dxa"/>
            <w:noWrap/>
            <w:hideMark/>
          </w:tcPr>
          <w:p w14:paraId="6883623A"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0.05</w:t>
            </w:r>
          </w:p>
        </w:tc>
      </w:tr>
      <w:tr w:rsidR="0068007A" w:rsidRPr="00EE41C6" w14:paraId="264A6D5C" w14:textId="77777777" w:rsidTr="001D5CF8">
        <w:trPr>
          <w:trHeight w:val="300"/>
          <w:jc w:val="center"/>
        </w:trPr>
        <w:tc>
          <w:tcPr>
            <w:tcW w:w="1410" w:type="dxa"/>
            <w:noWrap/>
            <w:hideMark/>
          </w:tcPr>
          <w:p w14:paraId="54DDA3D4"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Refining</w:t>
            </w:r>
          </w:p>
        </w:tc>
        <w:tc>
          <w:tcPr>
            <w:tcW w:w="1401" w:type="dxa"/>
            <w:noWrap/>
            <w:hideMark/>
          </w:tcPr>
          <w:p w14:paraId="55E2D734"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Cellulosic ethanol ccs level 2</w:t>
            </w:r>
          </w:p>
        </w:tc>
        <w:tc>
          <w:tcPr>
            <w:tcW w:w="891" w:type="dxa"/>
            <w:noWrap/>
            <w:hideMark/>
          </w:tcPr>
          <w:p w14:paraId="7A66C1E6"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6.850562</w:t>
            </w:r>
          </w:p>
        </w:tc>
        <w:tc>
          <w:tcPr>
            <w:tcW w:w="891" w:type="dxa"/>
            <w:noWrap/>
            <w:hideMark/>
          </w:tcPr>
          <w:p w14:paraId="532996DB"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6.850562</w:t>
            </w:r>
          </w:p>
        </w:tc>
        <w:tc>
          <w:tcPr>
            <w:tcW w:w="891" w:type="dxa"/>
            <w:noWrap/>
            <w:hideMark/>
          </w:tcPr>
          <w:p w14:paraId="7D8D2499" w14:textId="77777777" w:rsidR="0068007A" w:rsidRPr="00EE41C6" w:rsidRDefault="0068007A" w:rsidP="00726652">
            <w:pPr>
              <w:rPr>
                <w:rFonts w:ascii="Times New Roman" w:hAnsi="Times New Roman" w:cs="Times New Roman"/>
                <w:sz w:val="18"/>
                <w:szCs w:val="18"/>
              </w:rPr>
            </w:pPr>
          </w:p>
        </w:tc>
        <w:tc>
          <w:tcPr>
            <w:tcW w:w="1186" w:type="dxa"/>
            <w:noWrap/>
            <w:hideMark/>
          </w:tcPr>
          <w:p w14:paraId="2AC20801"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0.6</w:t>
            </w:r>
          </w:p>
        </w:tc>
        <w:tc>
          <w:tcPr>
            <w:tcW w:w="1434" w:type="dxa"/>
            <w:noWrap/>
            <w:hideMark/>
          </w:tcPr>
          <w:p w14:paraId="70B9E31B"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0.05</w:t>
            </w:r>
          </w:p>
        </w:tc>
      </w:tr>
      <w:tr w:rsidR="0068007A" w:rsidRPr="00EE41C6" w14:paraId="5FBC9F95" w14:textId="77777777" w:rsidTr="001D5CF8">
        <w:trPr>
          <w:trHeight w:val="300"/>
          <w:jc w:val="center"/>
        </w:trPr>
        <w:tc>
          <w:tcPr>
            <w:tcW w:w="1410" w:type="dxa"/>
            <w:noWrap/>
            <w:hideMark/>
          </w:tcPr>
          <w:p w14:paraId="1052214A"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Refining</w:t>
            </w:r>
          </w:p>
        </w:tc>
        <w:tc>
          <w:tcPr>
            <w:tcW w:w="1401" w:type="dxa"/>
            <w:noWrap/>
            <w:hideMark/>
          </w:tcPr>
          <w:p w14:paraId="39D3D692" w14:textId="7B9A3EB6" w:rsidR="0068007A" w:rsidRPr="00EE41C6" w:rsidRDefault="00D23622" w:rsidP="00726652">
            <w:pPr>
              <w:rPr>
                <w:rFonts w:ascii="Times New Roman" w:hAnsi="Times New Roman" w:cs="Times New Roman"/>
                <w:sz w:val="18"/>
                <w:szCs w:val="18"/>
              </w:rPr>
            </w:pPr>
            <w:r w:rsidRPr="00EE41C6">
              <w:rPr>
                <w:rFonts w:ascii="Times New Roman" w:hAnsi="Times New Roman" w:cs="Times New Roman"/>
                <w:sz w:val="18"/>
                <w:szCs w:val="18"/>
              </w:rPr>
              <w:t xml:space="preserve">Fischer </w:t>
            </w:r>
            <w:proofErr w:type="spellStart"/>
            <w:r w:rsidRPr="00EE41C6">
              <w:rPr>
                <w:rFonts w:ascii="Times New Roman" w:hAnsi="Times New Roman" w:cs="Times New Roman"/>
                <w:sz w:val="18"/>
                <w:szCs w:val="18"/>
              </w:rPr>
              <w:t>Tropsch</w:t>
            </w:r>
            <w:proofErr w:type="spellEnd"/>
            <w:r w:rsidRPr="00EE41C6">
              <w:rPr>
                <w:rFonts w:ascii="Times New Roman" w:hAnsi="Times New Roman" w:cs="Times New Roman"/>
                <w:sz w:val="18"/>
                <w:szCs w:val="18"/>
              </w:rPr>
              <w:t xml:space="preserve"> (</w:t>
            </w:r>
            <w:r w:rsidR="0068007A" w:rsidRPr="00EE41C6">
              <w:rPr>
                <w:rFonts w:ascii="Times New Roman" w:hAnsi="Times New Roman" w:cs="Times New Roman"/>
                <w:sz w:val="18"/>
                <w:szCs w:val="18"/>
              </w:rPr>
              <w:t>Ft</w:t>
            </w:r>
            <w:r w:rsidRPr="00EE41C6">
              <w:rPr>
                <w:rFonts w:ascii="Times New Roman" w:hAnsi="Times New Roman" w:cs="Times New Roman"/>
                <w:sz w:val="18"/>
                <w:szCs w:val="18"/>
              </w:rPr>
              <w:t>)</w:t>
            </w:r>
            <w:r w:rsidR="0068007A" w:rsidRPr="00EE41C6">
              <w:rPr>
                <w:rFonts w:ascii="Times New Roman" w:hAnsi="Times New Roman" w:cs="Times New Roman"/>
                <w:sz w:val="18"/>
                <w:szCs w:val="18"/>
              </w:rPr>
              <w:t xml:space="preserve"> biofuels</w:t>
            </w:r>
          </w:p>
        </w:tc>
        <w:tc>
          <w:tcPr>
            <w:tcW w:w="891" w:type="dxa"/>
            <w:noWrap/>
            <w:hideMark/>
          </w:tcPr>
          <w:p w14:paraId="0EDB6BD8"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7.802308</w:t>
            </w:r>
          </w:p>
        </w:tc>
        <w:tc>
          <w:tcPr>
            <w:tcW w:w="891" w:type="dxa"/>
            <w:noWrap/>
            <w:hideMark/>
          </w:tcPr>
          <w:p w14:paraId="12C4F7EA"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7.802308</w:t>
            </w:r>
          </w:p>
        </w:tc>
        <w:tc>
          <w:tcPr>
            <w:tcW w:w="891" w:type="dxa"/>
            <w:noWrap/>
            <w:hideMark/>
          </w:tcPr>
          <w:p w14:paraId="2967998F" w14:textId="77777777" w:rsidR="0068007A" w:rsidRPr="00EE41C6" w:rsidRDefault="0068007A" w:rsidP="00726652">
            <w:pPr>
              <w:rPr>
                <w:rFonts w:ascii="Times New Roman" w:hAnsi="Times New Roman" w:cs="Times New Roman"/>
                <w:sz w:val="18"/>
                <w:szCs w:val="18"/>
              </w:rPr>
            </w:pPr>
          </w:p>
        </w:tc>
        <w:tc>
          <w:tcPr>
            <w:tcW w:w="1186" w:type="dxa"/>
            <w:noWrap/>
            <w:hideMark/>
          </w:tcPr>
          <w:p w14:paraId="067ADCB8"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0.7</w:t>
            </w:r>
          </w:p>
        </w:tc>
        <w:tc>
          <w:tcPr>
            <w:tcW w:w="1434" w:type="dxa"/>
            <w:noWrap/>
            <w:hideMark/>
          </w:tcPr>
          <w:p w14:paraId="3272232F"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0.03</w:t>
            </w:r>
          </w:p>
        </w:tc>
      </w:tr>
      <w:tr w:rsidR="0068007A" w:rsidRPr="00EE41C6" w14:paraId="7B583EAE" w14:textId="77777777" w:rsidTr="001D5CF8">
        <w:trPr>
          <w:trHeight w:val="300"/>
          <w:jc w:val="center"/>
        </w:trPr>
        <w:tc>
          <w:tcPr>
            <w:tcW w:w="1410" w:type="dxa"/>
            <w:noWrap/>
            <w:hideMark/>
          </w:tcPr>
          <w:p w14:paraId="62430B57"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Refining</w:t>
            </w:r>
          </w:p>
        </w:tc>
        <w:tc>
          <w:tcPr>
            <w:tcW w:w="1401" w:type="dxa"/>
            <w:noWrap/>
            <w:hideMark/>
          </w:tcPr>
          <w:p w14:paraId="4116FE3E"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Ft biofuels ccs level 1</w:t>
            </w:r>
          </w:p>
        </w:tc>
        <w:tc>
          <w:tcPr>
            <w:tcW w:w="891" w:type="dxa"/>
            <w:noWrap/>
            <w:hideMark/>
          </w:tcPr>
          <w:p w14:paraId="2A24711C"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8.516923</w:t>
            </w:r>
          </w:p>
        </w:tc>
        <w:tc>
          <w:tcPr>
            <w:tcW w:w="891" w:type="dxa"/>
            <w:noWrap/>
            <w:hideMark/>
          </w:tcPr>
          <w:p w14:paraId="5313F7D1"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8.516923</w:t>
            </w:r>
          </w:p>
        </w:tc>
        <w:tc>
          <w:tcPr>
            <w:tcW w:w="891" w:type="dxa"/>
            <w:noWrap/>
            <w:hideMark/>
          </w:tcPr>
          <w:p w14:paraId="4016F30E" w14:textId="77777777" w:rsidR="0068007A" w:rsidRPr="00EE41C6" w:rsidRDefault="0068007A" w:rsidP="00726652">
            <w:pPr>
              <w:rPr>
                <w:rFonts w:ascii="Times New Roman" w:hAnsi="Times New Roman" w:cs="Times New Roman"/>
                <w:sz w:val="18"/>
                <w:szCs w:val="18"/>
              </w:rPr>
            </w:pPr>
          </w:p>
        </w:tc>
        <w:tc>
          <w:tcPr>
            <w:tcW w:w="1186" w:type="dxa"/>
            <w:noWrap/>
            <w:hideMark/>
          </w:tcPr>
          <w:p w14:paraId="4B7729AA"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0.6</w:t>
            </w:r>
          </w:p>
        </w:tc>
        <w:tc>
          <w:tcPr>
            <w:tcW w:w="1434" w:type="dxa"/>
            <w:noWrap/>
            <w:hideMark/>
          </w:tcPr>
          <w:p w14:paraId="358646D6"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0.05</w:t>
            </w:r>
          </w:p>
        </w:tc>
      </w:tr>
      <w:tr w:rsidR="0068007A" w:rsidRPr="00EE41C6" w14:paraId="6F96EA01" w14:textId="77777777" w:rsidTr="001D5CF8">
        <w:trPr>
          <w:trHeight w:val="300"/>
          <w:jc w:val="center"/>
        </w:trPr>
        <w:tc>
          <w:tcPr>
            <w:tcW w:w="1410" w:type="dxa"/>
            <w:noWrap/>
            <w:hideMark/>
          </w:tcPr>
          <w:p w14:paraId="0369893C"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Refining</w:t>
            </w:r>
          </w:p>
        </w:tc>
        <w:tc>
          <w:tcPr>
            <w:tcW w:w="1401" w:type="dxa"/>
            <w:noWrap/>
            <w:hideMark/>
          </w:tcPr>
          <w:p w14:paraId="02C26531"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Ft biofuels ccs level 2</w:t>
            </w:r>
          </w:p>
        </w:tc>
        <w:tc>
          <w:tcPr>
            <w:tcW w:w="891" w:type="dxa"/>
            <w:noWrap/>
            <w:hideMark/>
          </w:tcPr>
          <w:p w14:paraId="76B0CA96"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8.97527</w:t>
            </w:r>
          </w:p>
        </w:tc>
        <w:tc>
          <w:tcPr>
            <w:tcW w:w="891" w:type="dxa"/>
            <w:noWrap/>
            <w:hideMark/>
          </w:tcPr>
          <w:p w14:paraId="7758C8C3"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8.97527</w:t>
            </w:r>
          </w:p>
        </w:tc>
        <w:tc>
          <w:tcPr>
            <w:tcW w:w="891" w:type="dxa"/>
            <w:noWrap/>
            <w:hideMark/>
          </w:tcPr>
          <w:p w14:paraId="241AE3BE" w14:textId="77777777" w:rsidR="0068007A" w:rsidRPr="00EE41C6" w:rsidRDefault="0068007A" w:rsidP="00726652">
            <w:pPr>
              <w:rPr>
                <w:rFonts w:ascii="Times New Roman" w:hAnsi="Times New Roman" w:cs="Times New Roman"/>
                <w:sz w:val="18"/>
                <w:szCs w:val="18"/>
              </w:rPr>
            </w:pPr>
          </w:p>
        </w:tc>
        <w:tc>
          <w:tcPr>
            <w:tcW w:w="1186" w:type="dxa"/>
            <w:noWrap/>
            <w:hideMark/>
          </w:tcPr>
          <w:p w14:paraId="369FB017"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0.6</w:t>
            </w:r>
          </w:p>
        </w:tc>
        <w:tc>
          <w:tcPr>
            <w:tcW w:w="1434" w:type="dxa"/>
            <w:noWrap/>
            <w:hideMark/>
          </w:tcPr>
          <w:p w14:paraId="27332172"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0.05</w:t>
            </w:r>
          </w:p>
        </w:tc>
      </w:tr>
      <w:tr w:rsidR="0068007A" w:rsidRPr="00EE41C6" w14:paraId="03D0C5E4" w14:textId="77777777" w:rsidTr="001D5CF8">
        <w:trPr>
          <w:trHeight w:val="300"/>
          <w:jc w:val="center"/>
        </w:trPr>
        <w:tc>
          <w:tcPr>
            <w:tcW w:w="1410" w:type="dxa"/>
            <w:noWrap/>
            <w:hideMark/>
          </w:tcPr>
          <w:p w14:paraId="0B9C0F2B"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Refining</w:t>
            </w:r>
          </w:p>
        </w:tc>
        <w:tc>
          <w:tcPr>
            <w:tcW w:w="1401" w:type="dxa"/>
            <w:noWrap/>
            <w:hideMark/>
          </w:tcPr>
          <w:p w14:paraId="7CFEA030"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Corn ethanol</w:t>
            </w:r>
          </w:p>
        </w:tc>
        <w:tc>
          <w:tcPr>
            <w:tcW w:w="891" w:type="dxa"/>
            <w:noWrap/>
            <w:hideMark/>
          </w:tcPr>
          <w:p w14:paraId="4F543AC9"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2.38</w:t>
            </w:r>
          </w:p>
        </w:tc>
        <w:tc>
          <w:tcPr>
            <w:tcW w:w="891" w:type="dxa"/>
            <w:noWrap/>
            <w:hideMark/>
          </w:tcPr>
          <w:p w14:paraId="6D6019D7"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2.38</w:t>
            </w:r>
          </w:p>
        </w:tc>
        <w:tc>
          <w:tcPr>
            <w:tcW w:w="891" w:type="dxa"/>
            <w:noWrap/>
            <w:hideMark/>
          </w:tcPr>
          <w:p w14:paraId="1ACC51BB"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2.38</w:t>
            </w:r>
          </w:p>
        </w:tc>
        <w:tc>
          <w:tcPr>
            <w:tcW w:w="1186" w:type="dxa"/>
            <w:noWrap/>
            <w:hideMark/>
          </w:tcPr>
          <w:p w14:paraId="2B6839E4" w14:textId="77777777" w:rsidR="0068007A" w:rsidRPr="00EE41C6" w:rsidRDefault="0068007A" w:rsidP="00726652">
            <w:pPr>
              <w:rPr>
                <w:rFonts w:ascii="Times New Roman" w:hAnsi="Times New Roman" w:cs="Times New Roman"/>
                <w:sz w:val="18"/>
                <w:szCs w:val="18"/>
              </w:rPr>
            </w:pPr>
          </w:p>
        </w:tc>
        <w:tc>
          <w:tcPr>
            <w:tcW w:w="1434" w:type="dxa"/>
            <w:noWrap/>
            <w:hideMark/>
          </w:tcPr>
          <w:p w14:paraId="5881BA31" w14:textId="77777777" w:rsidR="0068007A" w:rsidRPr="00EE41C6" w:rsidRDefault="0068007A" w:rsidP="00726652">
            <w:pPr>
              <w:rPr>
                <w:rFonts w:ascii="Times New Roman" w:hAnsi="Times New Roman" w:cs="Times New Roman"/>
                <w:sz w:val="18"/>
                <w:szCs w:val="18"/>
              </w:rPr>
            </w:pPr>
          </w:p>
        </w:tc>
      </w:tr>
      <w:tr w:rsidR="0068007A" w:rsidRPr="00EE41C6" w14:paraId="7CB55F7A" w14:textId="77777777" w:rsidTr="001D5CF8">
        <w:trPr>
          <w:trHeight w:val="300"/>
          <w:jc w:val="center"/>
        </w:trPr>
        <w:tc>
          <w:tcPr>
            <w:tcW w:w="1410" w:type="dxa"/>
            <w:noWrap/>
            <w:hideMark/>
          </w:tcPr>
          <w:p w14:paraId="7B44785E"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Refining</w:t>
            </w:r>
          </w:p>
        </w:tc>
        <w:tc>
          <w:tcPr>
            <w:tcW w:w="1401" w:type="dxa"/>
            <w:noWrap/>
            <w:hideMark/>
          </w:tcPr>
          <w:p w14:paraId="0CCAA55D"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Sugar cane ethanol</w:t>
            </w:r>
          </w:p>
        </w:tc>
        <w:tc>
          <w:tcPr>
            <w:tcW w:w="891" w:type="dxa"/>
            <w:noWrap/>
            <w:hideMark/>
          </w:tcPr>
          <w:p w14:paraId="553693F6"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2</w:t>
            </w:r>
          </w:p>
        </w:tc>
        <w:tc>
          <w:tcPr>
            <w:tcW w:w="891" w:type="dxa"/>
            <w:noWrap/>
            <w:hideMark/>
          </w:tcPr>
          <w:p w14:paraId="29D72088"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2</w:t>
            </w:r>
          </w:p>
        </w:tc>
        <w:tc>
          <w:tcPr>
            <w:tcW w:w="891" w:type="dxa"/>
            <w:noWrap/>
            <w:hideMark/>
          </w:tcPr>
          <w:p w14:paraId="3D07C4EB"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2</w:t>
            </w:r>
          </w:p>
        </w:tc>
        <w:tc>
          <w:tcPr>
            <w:tcW w:w="1186" w:type="dxa"/>
            <w:noWrap/>
            <w:hideMark/>
          </w:tcPr>
          <w:p w14:paraId="6E1A3818" w14:textId="77777777" w:rsidR="0068007A" w:rsidRPr="00EE41C6" w:rsidRDefault="0068007A" w:rsidP="00726652">
            <w:pPr>
              <w:rPr>
                <w:rFonts w:ascii="Times New Roman" w:hAnsi="Times New Roman" w:cs="Times New Roman"/>
                <w:sz w:val="18"/>
                <w:szCs w:val="18"/>
              </w:rPr>
            </w:pPr>
          </w:p>
        </w:tc>
        <w:tc>
          <w:tcPr>
            <w:tcW w:w="1434" w:type="dxa"/>
            <w:noWrap/>
            <w:hideMark/>
          </w:tcPr>
          <w:p w14:paraId="7EE6F0EB" w14:textId="77777777" w:rsidR="0068007A" w:rsidRPr="00EE41C6" w:rsidRDefault="0068007A" w:rsidP="00726652">
            <w:pPr>
              <w:rPr>
                <w:rFonts w:ascii="Times New Roman" w:hAnsi="Times New Roman" w:cs="Times New Roman"/>
                <w:sz w:val="18"/>
                <w:szCs w:val="18"/>
              </w:rPr>
            </w:pPr>
          </w:p>
        </w:tc>
      </w:tr>
      <w:tr w:rsidR="0068007A" w:rsidRPr="00EE41C6" w14:paraId="39936AC9" w14:textId="77777777" w:rsidTr="001D5CF8">
        <w:trPr>
          <w:trHeight w:val="300"/>
          <w:jc w:val="center"/>
        </w:trPr>
        <w:tc>
          <w:tcPr>
            <w:tcW w:w="1410" w:type="dxa"/>
            <w:noWrap/>
            <w:hideMark/>
          </w:tcPr>
          <w:p w14:paraId="551CD21E"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Refining</w:t>
            </w:r>
          </w:p>
        </w:tc>
        <w:tc>
          <w:tcPr>
            <w:tcW w:w="1401" w:type="dxa"/>
            <w:noWrap/>
            <w:hideMark/>
          </w:tcPr>
          <w:p w14:paraId="4DB59A0C"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Biodiesel</w:t>
            </w:r>
          </w:p>
        </w:tc>
        <w:tc>
          <w:tcPr>
            <w:tcW w:w="891" w:type="dxa"/>
            <w:noWrap/>
            <w:hideMark/>
          </w:tcPr>
          <w:p w14:paraId="4AE38D55"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1.88</w:t>
            </w:r>
          </w:p>
        </w:tc>
        <w:tc>
          <w:tcPr>
            <w:tcW w:w="891" w:type="dxa"/>
            <w:noWrap/>
            <w:hideMark/>
          </w:tcPr>
          <w:p w14:paraId="16B1E0F4"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1.88</w:t>
            </w:r>
          </w:p>
        </w:tc>
        <w:tc>
          <w:tcPr>
            <w:tcW w:w="891" w:type="dxa"/>
            <w:noWrap/>
            <w:hideMark/>
          </w:tcPr>
          <w:p w14:paraId="410FB9C5" w14:textId="77777777" w:rsidR="0068007A" w:rsidRPr="00EE41C6" w:rsidRDefault="0068007A" w:rsidP="00726652">
            <w:pPr>
              <w:rPr>
                <w:rFonts w:ascii="Times New Roman" w:hAnsi="Times New Roman" w:cs="Times New Roman"/>
                <w:sz w:val="18"/>
                <w:szCs w:val="18"/>
              </w:rPr>
            </w:pPr>
            <w:r w:rsidRPr="00EE41C6">
              <w:rPr>
                <w:rFonts w:ascii="Times New Roman" w:hAnsi="Times New Roman" w:cs="Times New Roman"/>
                <w:sz w:val="18"/>
                <w:szCs w:val="18"/>
              </w:rPr>
              <w:t>1.88</w:t>
            </w:r>
          </w:p>
        </w:tc>
        <w:tc>
          <w:tcPr>
            <w:tcW w:w="1186" w:type="dxa"/>
            <w:noWrap/>
            <w:hideMark/>
          </w:tcPr>
          <w:p w14:paraId="13569F33" w14:textId="77777777" w:rsidR="0068007A" w:rsidRPr="00EE41C6" w:rsidRDefault="0068007A" w:rsidP="00726652">
            <w:pPr>
              <w:rPr>
                <w:rFonts w:ascii="Times New Roman" w:hAnsi="Times New Roman" w:cs="Times New Roman"/>
                <w:sz w:val="18"/>
                <w:szCs w:val="18"/>
              </w:rPr>
            </w:pPr>
          </w:p>
        </w:tc>
        <w:tc>
          <w:tcPr>
            <w:tcW w:w="1434" w:type="dxa"/>
            <w:noWrap/>
            <w:hideMark/>
          </w:tcPr>
          <w:p w14:paraId="7D2618D4" w14:textId="77777777" w:rsidR="0068007A" w:rsidRPr="00EE41C6" w:rsidRDefault="0068007A" w:rsidP="00726652">
            <w:pPr>
              <w:rPr>
                <w:rFonts w:ascii="Times New Roman" w:hAnsi="Times New Roman" w:cs="Times New Roman"/>
                <w:sz w:val="18"/>
                <w:szCs w:val="18"/>
              </w:rPr>
            </w:pPr>
          </w:p>
        </w:tc>
      </w:tr>
    </w:tbl>
    <w:p w14:paraId="1B11D077" w14:textId="77777777" w:rsidR="001D5CF8" w:rsidRPr="00EE41C6" w:rsidRDefault="001D5CF8" w:rsidP="001D5CF8">
      <w:pPr>
        <w:jc w:val="center"/>
        <w:rPr>
          <w:rFonts w:ascii="Times New Roman" w:hAnsi="Times New Roman" w:cs="Times New Roman"/>
          <w:sz w:val="18"/>
          <w:szCs w:val="18"/>
        </w:rPr>
      </w:pPr>
      <w:r w:rsidRPr="00EE41C6">
        <w:rPr>
          <w:rFonts w:ascii="Times New Roman" w:hAnsi="Times New Roman" w:cs="Times New Roman"/>
          <w:sz w:val="18"/>
          <w:szCs w:val="18"/>
        </w:rPr>
        <w:t>Ft: Fischer-</w:t>
      </w:r>
      <w:proofErr w:type="spellStart"/>
      <w:r w:rsidRPr="00EE41C6">
        <w:rPr>
          <w:rFonts w:ascii="Times New Roman" w:hAnsi="Times New Roman" w:cs="Times New Roman"/>
          <w:sz w:val="18"/>
          <w:szCs w:val="18"/>
        </w:rPr>
        <w:t>Tropsch</w:t>
      </w:r>
      <w:proofErr w:type="spellEnd"/>
      <w:r w:rsidRPr="00EE41C6">
        <w:rPr>
          <w:rFonts w:ascii="Times New Roman" w:hAnsi="Times New Roman" w:cs="Times New Roman"/>
          <w:sz w:val="18"/>
          <w:szCs w:val="18"/>
        </w:rPr>
        <w:t>; ccs: carbon capture and storage</w:t>
      </w:r>
    </w:p>
    <w:p w14:paraId="5742215D" w14:textId="77777777" w:rsidR="005A4B17" w:rsidRPr="00EE41C6" w:rsidRDefault="005A4B17" w:rsidP="00176F76">
      <w:pPr>
        <w:pStyle w:val="Caption"/>
      </w:pPr>
      <w:bookmarkStart w:id="36" w:name="_Toc167274031"/>
      <w:bookmarkStart w:id="37" w:name="_Hlk149139042"/>
    </w:p>
    <w:p w14:paraId="0EC7B063" w14:textId="6FF28296" w:rsidR="0068007A" w:rsidRPr="00EE41C6" w:rsidRDefault="00DB6449" w:rsidP="00DB6449">
      <w:pPr>
        <w:pStyle w:val="Caption"/>
        <w:jc w:val="center"/>
        <w:rPr>
          <w:rFonts w:ascii="Times New Roman" w:hAnsi="Times New Roman" w:cs="Times New Roman"/>
        </w:rPr>
      </w:pPr>
      <w:r w:rsidRPr="00EE41C6">
        <w:t xml:space="preserve">Supplementary Table </w:t>
      </w:r>
      <w:fldSimple w:instr=" SEQ Supplementary_Table \* ARABIC ">
        <w:r w:rsidR="008628F3" w:rsidRPr="00EE41C6">
          <w:rPr>
            <w:noProof/>
          </w:rPr>
          <w:t>6</w:t>
        </w:r>
      </w:fldSimple>
      <w:r w:rsidRPr="00EE41C6">
        <w:t xml:space="preserve"> </w:t>
      </w:r>
      <w:r w:rsidR="0068007A" w:rsidRPr="00EE41C6">
        <w:rPr>
          <w:rFonts w:ascii="Times New Roman" w:hAnsi="Times New Roman" w:cs="Times New Roman"/>
        </w:rPr>
        <w:t>Electricity technology capacity factors</w:t>
      </w:r>
      <w:bookmarkEnd w:id="36"/>
    </w:p>
    <w:tbl>
      <w:tblPr>
        <w:tblStyle w:val="TableGrid"/>
        <w:tblW w:w="0" w:type="auto"/>
        <w:jc w:val="center"/>
        <w:tblLook w:val="04A0" w:firstRow="1" w:lastRow="0" w:firstColumn="1" w:lastColumn="0" w:noHBand="0" w:noVBand="1"/>
      </w:tblPr>
      <w:tblGrid>
        <w:gridCol w:w="1168"/>
        <w:gridCol w:w="1309"/>
        <w:gridCol w:w="2352"/>
        <w:gridCol w:w="960"/>
        <w:gridCol w:w="960"/>
      </w:tblGrid>
      <w:tr w:rsidR="0068007A" w:rsidRPr="00EE41C6" w14:paraId="3D2A1640" w14:textId="77777777" w:rsidTr="00726652">
        <w:trPr>
          <w:trHeight w:val="300"/>
          <w:jc w:val="center"/>
        </w:trPr>
        <w:tc>
          <w:tcPr>
            <w:tcW w:w="1168" w:type="dxa"/>
            <w:noWrap/>
            <w:hideMark/>
          </w:tcPr>
          <w:bookmarkEnd w:id="37"/>
          <w:p w14:paraId="1DC66F54"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Supply sector</w:t>
            </w:r>
          </w:p>
        </w:tc>
        <w:tc>
          <w:tcPr>
            <w:tcW w:w="1309" w:type="dxa"/>
            <w:noWrap/>
            <w:hideMark/>
          </w:tcPr>
          <w:p w14:paraId="60A9A72E"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Subsector</w:t>
            </w:r>
          </w:p>
        </w:tc>
        <w:tc>
          <w:tcPr>
            <w:tcW w:w="2352" w:type="dxa"/>
            <w:noWrap/>
            <w:hideMark/>
          </w:tcPr>
          <w:p w14:paraId="677F7C5B"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Technology</w:t>
            </w:r>
          </w:p>
        </w:tc>
        <w:tc>
          <w:tcPr>
            <w:tcW w:w="960" w:type="dxa"/>
            <w:noWrap/>
            <w:hideMark/>
          </w:tcPr>
          <w:p w14:paraId="20D29770"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1971</w:t>
            </w:r>
          </w:p>
        </w:tc>
        <w:tc>
          <w:tcPr>
            <w:tcW w:w="960" w:type="dxa"/>
            <w:noWrap/>
            <w:hideMark/>
          </w:tcPr>
          <w:p w14:paraId="4A085823"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2100</w:t>
            </w:r>
          </w:p>
        </w:tc>
      </w:tr>
      <w:tr w:rsidR="0068007A" w:rsidRPr="00EE41C6" w14:paraId="1E5111DB" w14:textId="77777777" w:rsidTr="00726652">
        <w:trPr>
          <w:trHeight w:val="300"/>
          <w:jc w:val="center"/>
        </w:trPr>
        <w:tc>
          <w:tcPr>
            <w:tcW w:w="1168" w:type="dxa"/>
            <w:noWrap/>
            <w:hideMark/>
          </w:tcPr>
          <w:p w14:paraId="12A45F6F"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46EDD20E"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Coal</w:t>
            </w:r>
          </w:p>
        </w:tc>
        <w:tc>
          <w:tcPr>
            <w:tcW w:w="2352" w:type="dxa"/>
            <w:noWrap/>
            <w:hideMark/>
          </w:tcPr>
          <w:p w14:paraId="2CA04DC9" w14:textId="2D323E52" w:rsidR="0068007A" w:rsidRPr="00EE41C6" w:rsidRDefault="009D154C" w:rsidP="00D23622">
            <w:pPr>
              <w:rPr>
                <w:rFonts w:ascii="Times New Roman" w:hAnsi="Times New Roman" w:cs="Times New Roman"/>
                <w:sz w:val="18"/>
                <w:szCs w:val="18"/>
              </w:rPr>
            </w:pPr>
            <w:r w:rsidRPr="00EE41C6">
              <w:rPr>
                <w:rFonts w:ascii="Times New Roman" w:hAnsi="Times New Roman" w:cs="Times New Roman"/>
                <w:sz w:val="18"/>
                <w:szCs w:val="18"/>
              </w:rPr>
              <w:t>Coal (Conventional Pulverized Coal</w:t>
            </w:r>
          </w:p>
        </w:tc>
        <w:tc>
          <w:tcPr>
            <w:tcW w:w="960" w:type="dxa"/>
            <w:noWrap/>
            <w:hideMark/>
          </w:tcPr>
          <w:p w14:paraId="1CD4E4AC"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0.85</w:t>
            </w:r>
          </w:p>
        </w:tc>
        <w:tc>
          <w:tcPr>
            <w:tcW w:w="960" w:type="dxa"/>
            <w:noWrap/>
            <w:hideMark/>
          </w:tcPr>
          <w:p w14:paraId="2E556D5B"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0.85</w:t>
            </w:r>
          </w:p>
        </w:tc>
      </w:tr>
      <w:tr w:rsidR="0068007A" w:rsidRPr="00EE41C6" w14:paraId="35A6835E" w14:textId="77777777" w:rsidTr="00726652">
        <w:trPr>
          <w:trHeight w:val="300"/>
          <w:jc w:val="center"/>
        </w:trPr>
        <w:tc>
          <w:tcPr>
            <w:tcW w:w="1168" w:type="dxa"/>
            <w:noWrap/>
            <w:hideMark/>
          </w:tcPr>
          <w:p w14:paraId="2726B136"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1269365E"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Coal</w:t>
            </w:r>
          </w:p>
        </w:tc>
        <w:tc>
          <w:tcPr>
            <w:tcW w:w="2352" w:type="dxa"/>
            <w:noWrap/>
            <w:hideMark/>
          </w:tcPr>
          <w:p w14:paraId="69576E24" w14:textId="5A2830BA" w:rsidR="0068007A" w:rsidRPr="00EE41C6" w:rsidRDefault="009D154C" w:rsidP="00D23622">
            <w:pPr>
              <w:rPr>
                <w:rFonts w:ascii="Times New Roman" w:hAnsi="Times New Roman" w:cs="Times New Roman"/>
                <w:sz w:val="18"/>
                <w:szCs w:val="18"/>
              </w:rPr>
            </w:pPr>
            <w:r w:rsidRPr="00EE41C6">
              <w:rPr>
                <w:rFonts w:ascii="Times New Roman" w:hAnsi="Times New Roman" w:cs="Times New Roman"/>
                <w:sz w:val="18"/>
                <w:szCs w:val="18"/>
              </w:rPr>
              <w:t>Coal (Conventional Pulverized Coal with CCS)</w:t>
            </w:r>
          </w:p>
        </w:tc>
        <w:tc>
          <w:tcPr>
            <w:tcW w:w="960" w:type="dxa"/>
            <w:noWrap/>
            <w:hideMark/>
          </w:tcPr>
          <w:p w14:paraId="5A294B8B"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w:t>
            </w:r>
          </w:p>
        </w:tc>
        <w:tc>
          <w:tcPr>
            <w:tcW w:w="960" w:type="dxa"/>
            <w:noWrap/>
            <w:hideMark/>
          </w:tcPr>
          <w:p w14:paraId="7D4405FC"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w:t>
            </w:r>
          </w:p>
        </w:tc>
      </w:tr>
      <w:tr w:rsidR="0068007A" w:rsidRPr="00EE41C6" w14:paraId="474BAE25" w14:textId="77777777" w:rsidTr="00726652">
        <w:trPr>
          <w:trHeight w:val="300"/>
          <w:jc w:val="center"/>
        </w:trPr>
        <w:tc>
          <w:tcPr>
            <w:tcW w:w="1168" w:type="dxa"/>
            <w:noWrap/>
            <w:hideMark/>
          </w:tcPr>
          <w:p w14:paraId="500A7980"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3CE400DC"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Coal</w:t>
            </w:r>
          </w:p>
        </w:tc>
        <w:tc>
          <w:tcPr>
            <w:tcW w:w="2352" w:type="dxa"/>
            <w:noWrap/>
            <w:hideMark/>
          </w:tcPr>
          <w:p w14:paraId="1201DE34" w14:textId="4767F025" w:rsidR="0068007A" w:rsidRPr="00EE41C6" w:rsidRDefault="009D154C" w:rsidP="00D23622">
            <w:pPr>
              <w:rPr>
                <w:rFonts w:ascii="Times New Roman" w:hAnsi="Times New Roman" w:cs="Times New Roman"/>
                <w:sz w:val="18"/>
                <w:szCs w:val="18"/>
              </w:rPr>
            </w:pPr>
            <w:r w:rsidRPr="00EE41C6">
              <w:rPr>
                <w:rFonts w:ascii="Times New Roman" w:hAnsi="Times New Roman" w:cs="Times New Roman"/>
                <w:sz w:val="18"/>
                <w:szCs w:val="18"/>
              </w:rPr>
              <w:t>Coal (Integrated Gasification Combined Cycle)</w:t>
            </w:r>
          </w:p>
        </w:tc>
        <w:tc>
          <w:tcPr>
            <w:tcW w:w="960" w:type="dxa"/>
            <w:noWrap/>
            <w:hideMark/>
          </w:tcPr>
          <w:p w14:paraId="6CB6220B"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w:t>
            </w:r>
          </w:p>
        </w:tc>
        <w:tc>
          <w:tcPr>
            <w:tcW w:w="960" w:type="dxa"/>
            <w:noWrap/>
            <w:hideMark/>
          </w:tcPr>
          <w:p w14:paraId="2244DFD5"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w:t>
            </w:r>
          </w:p>
        </w:tc>
      </w:tr>
      <w:tr w:rsidR="0068007A" w:rsidRPr="00EE41C6" w14:paraId="09C9DFF8" w14:textId="77777777" w:rsidTr="00726652">
        <w:trPr>
          <w:trHeight w:val="300"/>
          <w:jc w:val="center"/>
        </w:trPr>
        <w:tc>
          <w:tcPr>
            <w:tcW w:w="1168" w:type="dxa"/>
            <w:noWrap/>
            <w:hideMark/>
          </w:tcPr>
          <w:p w14:paraId="3D648B05"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553626E4"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Coal</w:t>
            </w:r>
          </w:p>
        </w:tc>
        <w:tc>
          <w:tcPr>
            <w:tcW w:w="2352" w:type="dxa"/>
            <w:noWrap/>
            <w:hideMark/>
          </w:tcPr>
          <w:p w14:paraId="197EDE22" w14:textId="25E4303E" w:rsidR="0068007A" w:rsidRPr="00EE41C6" w:rsidRDefault="009D154C" w:rsidP="00D23622">
            <w:pPr>
              <w:rPr>
                <w:rFonts w:ascii="Times New Roman" w:hAnsi="Times New Roman" w:cs="Times New Roman"/>
                <w:sz w:val="18"/>
                <w:szCs w:val="18"/>
              </w:rPr>
            </w:pPr>
            <w:r w:rsidRPr="00EE41C6">
              <w:rPr>
                <w:rFonts w:ascii="Times New Roman" w:hAnsi="Times New Roman" w:cs="Times New Roman"/>
                <w:sz w:val="18"/>
                <w:szCs w:val="18"/>
              </w:rPr>
              <w:t>Coal (Integrated Gasification Combined Cycle with CCS)</w:t>
            </w:r>
          </w:p>
        </w:tc>
        <w:tc>
          <w:tcPr>
            <w:tcW w:w="960" w:type="dxa"/>
            <w:noWrap/>
            <w:hideMark/>
          </w:tcPr>
          <w:p w14:paraId="331C8802"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w:t>
            </w:r>
          </w:p>
        </w:tc>
        <w:tc>
          <w:tcPr>
            <w:tcW w:w="960" w:type="dxa"/>
            <w:noWrap/>
            <w:hideMark/>
          </w:tcPr>
          <w:p w14:paraId="689A7D68"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w:t>
            </w:r>
          </w:p>
        </w:tc>
      </w:tr>
      <w:tr w:rsidR="0068007A" w:rsidRPr="00EE41C6" w14:paraId="59A6A28F" w14:textId="77777777" w:rsidTr="00726652">
        <w:trPr>
          <w:trHeight w:val="300"/>
          <w:jc w:val="center"/>
        </w:trPr>
        <w:tc>
          <w:tcPr>
            <w:tcW w:w="1168" w:type="dxa"/>
            <w:noWrap/>
            <w:hideMark/>
          </w:tcPr>
          <w:p w14:paraId="20A1D0C3"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7AD28DFF"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Gas</w:t>
            </w:r>
          </w:p>
        </w:tc>
        <w:tc>
          <w:tcPr>
            <w:tcW w:w="2352" w:type="dxa"/>
            <w:noWrap/>
            <w:hideMark/>
          </w:tcPr>
          <w:p w14:paraId="7A9E6293" w14:textId="2CB5847E" w:rsidR="0068007A" w:rsidRPr="00EE41C6" w:rsidRDefault="009D154C" w:rsidP="00D23622">
            <w:pPr>
              <w:rPr>
                <w:rFonts w:ascii="Times New Roman" w:hAnsi="Times New Roman" w:cs="Times New Roman"/>
                <w:sz w:val="18"/>
                <w:szCs w:val="18"/>
              </w:rPr>
            </w:pPr>
            <w:r w:rsidRPr="00EE41C6">
              <w:rPr>
                <w:rFonts w:ascii="Times New Roman" w:hAnsi="Times New Roman" w:cs="Times New Roman"/>
                <w:sz w:val="18"/>
                <w:szCs w:val="18"/>
              </w:rPr>
              <w:t>Gas (Steam Cycle/Turbine)</w:t>
            </w:r>
          </w:p>
        </w:tc>
        <w:tc>
          <w:tcPr>
            <w:tcW w:w="960" w:type="dxa"/>
            <w:noWrap/>
            <w:hideMark/>
          </w:tcPr>
          <w:p w14:paraId="293893D2"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w:t>
            </w:r>
          </w:p>
        </w:tc>
        <w:tc>
          <w:tcPr>
            <w:tcW w:w="960" w:type="dxa"/>
            <w:noWrap/>
            <w:hideMark/>
          </w:tcPr>
          <w:p w14:paraId="7A8BA0D9"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w:t>
            </w:r>
          </w:p>
        </w:tc>
      </w:tr>
      <w:tr w:rsidR="0068007A" w:rsidRPr="00EE41C6" w14:paraId="6FFD36D6" w14:textId="77777777" w:rsidTr="00726652">
        <w:trPr>
          <w:trHeight w:val="300"/>
          <w:jc w:val="center"/>
        </w:trPr>
        <w:tc>
          <w:tcPr>
            <w:tcW w:w="1168" w:type="dxa"/>
            <w:noWrap/>
            <w:hideMark/>
          </w:tcPr>
          <w:p w14:paraId="68B7405B"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592CDF4A"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Gas</w:t>
            </w:r>
          </w:p>
        </w:tc>
        <w:tc>
          <w:tcPr>
            <w:tcW w:w="2352" w:type="dxa"/>
            <w:noWrap/>
            <w:hideMark/>
          </w:tcPr>
          <w:p w14:paraId="297EF9DE" w14:textId="57B494F0" w:rsidR="0068007A" w:rsidRPr="00EE41C6" w:rsidRDefault="009D154C" w:rsidP="00D23622">
            <w:pPr>
              <w:rPr>
                <w:rFonts w:ascii="Times New Roman" w:hAnsi="Times New Roman" w:cs="Times New Roman"/>
                <w:sz w:val="18"/>
                <w:szCs w:val="18"/>
              </w:rPr>
            </w:pPr>
            <w:r w:rsidRPr="00EE41C6">
              <w:rPr>
                <w:rFonts w:ascii="Times New Roman" w:hAnsi="Times New Roman" w:cs="Times New Roman"/>
                <w:sz w:val="18"/>
                <w:szCs w:val="18"/>
              </w:rPr>
              <w:t>Gas (Combined Cycle)</w:t>
            </w:r>
          </w:p>
        </w:tc>
        <w:tc>
          <w:tcPr>
            <w:tcW w:w="960" w:type="dxa"/>
            <w:noWrap/>
            <w:hideMark/>
          </w:tcPr>
          <w:p w14:paraId="07448747"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0.85</w:t>
            </w:r>
          </w:p>
        </w:tc>
        <w:tc>
          <w:tcPr>
            <w:tcW w:w="960" w:type="dxa"/>
            <w:noWrap/>
            <w:hideMark/>
          </w:tcPr>
          <w:p w14:paraId="6B066929"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0.85</w:t>
            </w:r>
          </w:p>
        </w:tc>
      </w:tr>
      <w:tr w:rsidR="0068007A" w:rsidRPr="00EE41C6" w14:paraId="5A590A2C" w14:textId="77777777" w:rsidTr="00726652">
        <w:trPr>
          <w:trHeight w:val="300"/>
          <w:jc w:val="center"/>
        </w:trPr>
        <w:tc>
          <w:tcPr>
            <w:tcW w:w="1168" w:type="dxa"/>
            <w:noWrap/>
            <w:hideMark/>
          </w:tcPr>
          <w:p w14:paraId="602DB424"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5464A16B"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Gas</w:t>
            </w:r>
          </w:p>
        </w:tc>
        <w:tc>
          <w:tcPr>
            <w:tcW w:w="2352" w:type="dxa"/>
            <w:noWrap/>
            <w:hideMark/>
          </w:tcPr>
          <w:p w14:paraId="339165A1" w14:textId="204DB101" w:rsidR="0068007A" w:rsidRPr="00EE41C6" w:rsidRDefault="009D154C" w:rsidP="00D23622">
            <w:pPr>
              <w:rPr>
                <w:rFonts w:ascii="Times New Roman" w:hAnsi="Times New Roman" w:cs="Times New Roman"/>
                <w:sz w:val="18"/>
                <w:szCs w:val="18"/>
              </w:rPr>
            </w:pPr>
            <w:r w:rsidRPr="00EE41C6">
              <w:rPr>
                <w:rFonts w:ascii="Times New Roman" w:hAnsi="Times New Roman" w:cs="Times New Roman"/>
                <w:sz w:val="18"/>
                <w:szCs w:val="18"/>
              </w:rPr>
              <w:t>Gas (Combined Cycle with CCS)</w:t>
            </w:r>
          </w:p>
        </w:tc>
        <w:tc>
          <w:tcPr>
            <w:tcW w:w="960" w:type="dxa"/>
            <w:noWrap/>
            <w:hideMark/>
          </w:tcPr>
          <w:p w14:paraId="6BF4B092"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w:t>
            </w:r>
          </w:p>
        </w:tc>
        <w:tc>
          <w:tcPr>
            <w:tcW w:w="960" w:type="dxa"/>
            <w:noWrap/>
            <w:hideMark/>
          </w:tcPr>
          <w:p w14:paraId="2526BE23"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w:t>
            </w:r>
          </w:p>
        </w:tc>
      </w:tr>
      <w:tr w:rsidR="0068007A" w:rsidRPr="00EE41C6" w14:paraId="29143A1A" w14:textId="77777777" w:rsidTr="00726652">
        <w:trPr>
          <w:trHeight w:val="300"/>
          <w:jc w:val="center"/>
        </w:trPr>
        <w:tc>
          <w:tcPr>
            <w:tcW w:w="1168" w:type="dxa"/>
            <w:noWrap/>
            <w:hideMark/>
          </w:tcPr>
          <w:p w14:paraId="24E82270"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787DDE1A"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Refined liquids</w:t>
            </w:r>
          </w:p>
        </w:tc>
        <w:tc>
          <w:tcPr>
            <w:tcW w:w="2352" w:type="dxa"/>
            <w:noWrap/>
            <w:hideMark/>
          </w:tcPr>
          <w:p w14:paraId="0FBE8D39" w14:textId="2B870EBB"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 xml:space="preserve">Refined liquids </w:t>
            </w:r>
            <w:r w:rsidR="009D154C" w:rsidRPr="00EE41C6">
              <w:rPr>
                <w:rFonts w:ascii="Times New Roman" w:hAnsi="Times New Roman" w:cs="Times New Roman"/>
                <w:sz w:val="18"/>
                <w:szCs w:val="18"/>
              </w:rPr>
              <w:t>(Steam Cycle/Turbine)</w:t>
            </w:r>
          </w:p>
        </w:tc>
        <w:tc>
          <w:tcPr>
            <w:tcW w:w="960" w:type="dxa"/>
            <w:noWrap/>
            <w:hideMark/>
          </w:tcPr>
          <w:p w14:paraId="1C3C8E43"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w:t>
            </w:r>
          </w:p>
        </w:tc>
        <w:tc>
          <w:tcPr>
            <w:tcW w:w="960" w:type="dxa"/>
            <w:noWrap/>
            <w:hideMark/>
          </w:tcPr>
          <w:p w14:paraId="5A2A6FEA"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w:t>
            </w:r>
          </w:p>
        </w:tc>
      </w:tr>
      <w:tr w:rsidR="0068007A" w:rsidRPr="00EE41C6" w14:paraId="24BFBA97" w14:textId="77777777" w:rsidTr="00726652">
        <w:trPr>
          <w:trHeight w:val="300"/>
          <w:jc w:val="center"/>
        </w:trPr>
        <w:tc>
          <w:tcPr>
            <w:tcW w:w="1168" w:type="dxa"/>
            <w:noWrap/>
            <w:hideMark/>
          </w:tcPr>
          <w:p w14:paraId="0805C5F9"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6088A2B8"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Refined liquids</w:t>
            </w:r>
          </w:p>
        </w:tc>
        <w:tc>
          <w:tcPr>
            <w:tcW w:w="2352" w:type="dxa"/>
            <w:noWrap/>
            <w:hideMark/>
          </w:tcPr>
          <w:p w14:paraId="74D74EB2" w14:textId="285D2135"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 xml:space="preserve">Refined liquids </w:t>
            </w:r>
            <w:r w:rsidR="009D154C" w:rsidRPr="00EE41C6">
              <w:rPr>
                <w:rFonts w:ascii="Times New Roman" w:hAnsi="Times New Roman" w:cs="Times New Roman"/>
                <w:sz w:val="18"/>
                <w:szCs w:val="18"/>
              </w:rPr>
              <w:t>(Combined Cycle)</w:t>
            </w:r>
          </w:p>
        </w:tc>
        <w:tc>
          <w:tcPr>
            <w:tcW w:w="960" w:type="dxa"/>
            <w:noWrap/>
            <w:hideMark/>
          </w:tcPr>
          <w:p w14:paraId="02F30B6A"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0.85</w:t>
            </w:r>
          </w:p>
        </w:tc>
        <w:tc>
          <w:tcPr>
            <w:tcW w:w="960" w:type="dxa"/>
            <w:noWrap/>
            <w:hideMark/>
          </w:tcPr>
          <w:p w14:paraId="410981A7"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0.85</w:t>
            </w:r>
          </w:p>
        </w:tc>
      </w:tr>
      <w:tr w:rsidR="0068007A" w:rsidRPr="00EE41C6" w14:paraId="2B892032" w14:textId="77777777" w:rsidTr="00726652">
        <w:trPr>
          <w:trHeight w:val="300"/>
          <w:jc w:val="center"/>
        </w:trPr>
        <w:tc>
          <w:tcPr>
            <w:tcW w:w="1168" w:type="dxa"/>
            <w:noWrap/>
            <w:hideMark/>
          </w:tcPr>
          <w:p w14:paraId="6A65F1F1"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63FFA881"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Refined liquids</w:t>
            </w:r>
          </w:p>
        </w:tc>
        <w:tc>
          <w:tcPr>
            <w:tcW w:w="2352" w:type="dxa"/>
            <w:noWrap/>
            <w:hideMark/>
          </w:tcPr>
          <w:p w14:paraId="61F043AA" w14:textId="2DAD5566"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 xml:space="preserve">Refined liquids </w:t>
            </w:r>
            <w:r w:rsidR="009D154C" w:rsidRPr="00EE41C6">
              <w:rPr>
                <w:rFonts w:ascii="Times New Roman" w:hAnsi="Times New Roman" w:cs="Times New Roman"/>
                <w:sz w:val="18"/>
                <w:szCs w:val="18"/>
              </w:rPr>
              <w:t>(Combined Cycle with CCS)</w:t>
            </w:r>
          </w:p>
        </w:tc>
        <w:tc>
          <w:tcPr>
            <w:tcW w:w="960" w:type="dxa"/>
            <w:noWrap/>
            <w:hideMark/>
          </w:tcPr>
          <w:p w14:paraId="5960B2B0"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w:t>
            </w:r>
          </w:p>
        </w:tc>
        <w:tc>
          <w:tcPr>
            <w:tcW w:w="960" w:type="dxa"/>
            <w:noWrap/>
            <w:hideMark/>
          </w:tcPr>
          <w:p w14:paraId="6DB3F349"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w:t>
            </w:r>
          </w:p>
        </w:tc>
      </w:tr>
      <w:tr w:rsidR="0068007A" w:rsidRPr="00EE41C6" w14:paraId="198F5BCC" w14:textId="77777777" w:rsidTr="00726652">
        <w:trPr>
          <w:trHeight w:val="300"/>
          <w:jc w:val="center"/>
        </w:trPr>
        <w:tc>
          <w:tcPr>
            <w:tcW w:w="1168" w:type="dxa"/>
            <w:noWrap/>
            <w:hideMark/>
          </w:tcPr>
          <w:p w14:paraId="46A4EE90"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4060E055"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Biomass</w:t>
            </w:r>
          </w:p>
        </w:tc>
        <w:tc>
          <w:tcPr>
            <w:tcW w:w="2352" w:type="dxa"/>
            <w:noWrap/>
            <w:hideMark/>
          </w:tcPr>
          <w:p w14:paraId="5F8AE46F" w14:textId="2F874A64"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Biomass (conv</w:t>
            </w:r>
            <w:r w:rsidR="00A45DDF" w:rsidRPr="00EE41C6">
              <w:rPr>
                <w:rFonts w:ascii="Times New Roman" w:hAnsi="Times New Roman" w:cs="Times New Roman"/>
                <w:sz w:val="18"/>
                <w:szCs w:val="18"/>
              </w:rPr>
              <w:t>entional</w:t>
            </w:r>
            <w:r w:rsidRPr="00EE41C6">
              <w:rPr>
                <w:rFonts w:ascii="Times New Roman" w:hAnsi="Times New Roman" w:cs="Times New Roman"/>
                <w:sz w:val="18"/>
                <w:szCs w:val="18"/>
              </w:rPr>
              <w:t>)</w:t>
            </w:r>
          </w:p>
        </w:tc>
        <w:tc>
          <w:tcPr>
            <w:tcW w:w="960" w:type="dxa"/>
            <w:noWrap/>
            <w:hideMark/>
          </w:tcPr>
          <w:p w14:paraId="6E6A6212"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0.85</w:t>
            </w:r>
          </w:p>
        </w:tc>
        <w:tc>
          <w:tcPr>
            <w:tcW w:w="960" w:type="dxa"/>
            <w:noWrap/>
            <w:hideMark/>
          </w:tcPr>
          <w:p w14:paraId="02412E06"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0.85</w:t>
            </w:r>
          </w:p>
        </w:tc>
      </w:tr>
      <w:tr w:rsidR="0068007A" w:rsidRPr="00EE41C6" w14:paraId="33D62EF5" w14:textId="77777777" w:rsidTr="00726652">
        <w:trPr>
          <w:trHeight w:val="300"/>
          <w:jc w:val="center"/>
        </w:trPr>
        <w:tc>
          <w:tcPr>
            <w:tcW w:w="1168" w:type="dxa"/>
            <w:noWrap/>
            <w:hideMark/>
          </w:tcPr>
          <w:p w14:paraId="2BC15CC2"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34103912"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Biomass</w:t>
            </w:r>
          </w:p>
        </w:tc>
        <w:tc>
          <w:tcPr>
            <w:tcW w:w="2352" w:type="dxa"/>
            <w:noWrap/>
            <w:hideMark/>
          </w:tcPr>
          <w:p w14:paraId="6D6A4306" w14:textId="548275CB"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Biomass (conv</w:t>
            </w:r>
            <w:r w:rsidR="00A45DDF" w:rsidRPr="00EE41C6">
              <w:rPr>
                <w:rFonts w:ascii="Times New Roman" w:hAnsi="Times New Roman" w:cs="Times New Roman"/>
                <w:sz w:val="18"/>
                <w:szCs w:val="18"/>
              </w:rPr>
              <w:t>entional with CCS</w:t>
            </w:r>
            <w:r w:rsidRPr="00EE41C6">
              <w:rPr>
                <w:rFonts w:ascii="Times New Roman" w:hAnsi="Times New Roman" w:cs="Times New Roman"/>
                <w:sz w:val="18"/>
                <w:szCs w:val="18"/>
              </w:rPr>
              <w:t>)</w:t>
            </w:r>
          </w:p>
        </w:tc>
        <w:tc>
          <w:tcPr>
            <w:tcW w:w="960" w:type="dxa"/>
            <w:noWrap/>
            <w:hideMark/>
          </w:tcPr>
          <w:p w14:paraId="209A3511"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0.85</w:t>
            </w:r>
          </w:p>
        </w:tc>
        <w:tc>
          <w:tcPr>
            <w:tcW w:w="960" w:type="dxa"/>
            <w:noWrap/>
            <w:hideMark/>
          </w:tcPr>
          <w:p w14:paraId="56F298A1"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0.85</w:t>
            </w:r>
          </w:p>
        </w:tc>
      </w:tr>
      <w:tr w:rsidR="0068007A" w:rsidRPr="00EE41C6" w14:paraId="25E6D564" w14:textId="77777777" w:rsidTr="00726652">
        <w:trPr>
          <w:trHeight w:val="300"/>
          <w:jc w:val="center"/>
        </w:trPr>
        <w:tc>
          <w:tcPr>
            <w:tcW w:w="1168" w:type="dxa"/>
            <w:noWrap/>
            <w:hideMark/>
          </w:tcPr>
          <w:p w14:paraId="3AD43802"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lastRenderedPageBreak/>
              <w:t>Electricity</w:t>
            </w:r>
          </w:p>
        </w:tc>
        <w:tc>
          <w:tcPr>
            <w:tcW w:w="1309" w:type="dxa"/>
            <w:noWrap/>
            <w:hideMark/>
          </w:tcPr>
          <w:p w14:paraId="7A7577BE"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Biomass</w:t>
            </w:r>
          </w:p>
        </w:tc>
        <w:tc>
          <w:tcPr>
            <w:tcW w:w="2352" w:type="dxa"/>
            <w:noWrap/>
            <w:hideMark/>
          </w:tcPr>
          <w:p w14:paraId="077FBE1F" w14:textId="02785A4A"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Biomass (</w:t>
            </w:r>
            <w:r w:rsidR="00A45DDF" w:rsidRPr="00EE41C6">
              <w:rPr>
                <w:rFonts w:ascii="Times New Roman" w:hAnsi="Times New Roman" w:cs="Times New Roman"/>
                <w:sz w:val="18"/>
                <w:szCs w:val="18"/>
              </w:rPr>
              <w:t>(Integrated Gasification Combined Cycle</w:t>
            </w:r>
            <w:r w:rsidRPr="00EE41C6">
              <w:rPr>
                <w:rFonts w:ascii="Times New Roman" w:hAnsi="Times New Roman" w:cs="Times New Roman"/>
                <w:sz w:val="18"/>
                <w:szCs w:val="18"/>
              </w:rPr>
              <w:t>)</w:t>
            </w:r>
          </w:p>
        </w:tc>
        <w:tc>
          <w:tcPr>
            <w:tcW w:w="960" w:type="dxa"/>
            <w:noWrap/>
            <w:hideMark/>
          </w:tcPr>
          <w:p w14:paraId="4AAD55BF"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w:t>
            </w:r>
          </w:p>
        </w:tc>
        <w:tc>
          <w:tcPr>
            <w:tcW w:w="960" w:type="dxa"/>
            <w:noWrap/>
            <w:hideMark/>
          </w:tcPr>
          <w:p w14:paraId="76BF59D9"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w:t>
            </w:r>
          </w:p>
        </w:tc>
      </w:tr>
      <w:tr w:rsidR="0068007A" w:rsidRPr="00EE41C6" w14:paraId="5C925C87" w14:textId="77777777" w:rsidTr="00726652">
        <w:trPr>
          <w:trHeight w:val="300"/>
          <w:jc w:val="center"/>
        </w:trPr>
        <w:tc>
          <w:tcPr>
            <w:tcW w:w="1168" w:type="dxa"/>
            <w:noWrap/>
            <w:hideMark/>
          </w:tcPr>
          <w:p w14:paraId="23952509"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2BBA9D97"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Biomass</w:t>
            </w:r>
          </w:p>
        </w:tc>
        <w:tc>
          <w:tcPr>
            <w:tcW w:w="2352" w:type="dxa"/>
            <w:noWrap/>
            <w:hideMark/>
          </w:tcPr>
          <w:p w14:paraId="313C8319" w14:textId="6F29CAD6"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Biomass (</w:t>
            </w:r>
            <w:r w:rsidR="00A45DDF" w:rsidRPr="00EE41C6">
              <w:rPr>
                <w:rFonts w:ascii="Times New Roman" w:hAnsi="Times New Roman" w:cs="Times New Roman"/>
                <w:sz w:val="18"/>
                <w:szCs w:val="18"/>
              </w:rPr>
              <w:t>(Integrated Gasification Combined Cycle with</w:t>
            </w:r>
            <w:r w:rsidRPr="00EE41C6">
              <w:rPr>
                <w:rFonts w:ascii="Times New Roman" w:hAnsi="Times New Roman" w:cs="Times New Roman"/>
                <w:sz w:val="18"/>
                <w:szCs w:val="18"/>
              </w:rPr>
              <w:t xml:space="preserve"> </w:t>
            </w:r>
            <w:r w:rsidR="00A45DDF" w:rsidRPr="00EE41C6">
              <w:rPr>
                <w:rFonts w:ascii="Times New Roman" w:hAnsi="Times New Roman" w:cs="Times New Roman"/>
                <w:sz w:val="18"/>
                <w:szCs w:val="18"/>
              </w:rPr>
              <w:t>CCS</w:t>
            </w:r>
            <w:r w:rsidRPr="00EE41C6">
              <w:rPr>
                <w:rFonts w:ascii="Times New Roman" w:hAnsi="Times New Roman" w:cs="Times New Roman"/>
                <w:sz w:val="18"/>
                <w:szCs w:val="18"/>
              </w:rPr>
              <w:t>)</w:t>
            </w:r>
          </w:p>
        </w:tc>
        <w:tc>
          <w:tcPr>
            <w:tcW w:w="960" w:type="dxa"/>
            <w:noWrap/>
            <w:hideMark/>
          </w:tcPr>
          <w:p w14:paraId="797E165E"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w:t>
            </w:r>
          </w:p>
        </w:tc>
        <w:tc>
          <w:tcPr>
            <w:tcW w:w="960" w:type="dxa"/>
            <w:noWrap/>
            <w:hideMark/>
          </w:tcPr>
          <w:p w14:paraId="752D0E81"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w:t>
            </w:r>
          </w:p>
        </w:tc>
      </w:tr>
      <w:tr w:rsidR="0068007A" w:rsidRPr="00EE41C6" w14:paraId="5B9F08D9" w14:textId="77777777" w:rsidTr="00726652">
        <w:trPr>
          <w:trHeight w:val="300"/>
          <w:jc w:val="center"/>
        </w:trPr>
        <w:tc>
          <w:tcPr>
            <w:tcW w:w="1168" w:type="dxa"/>
            <w:noWrap/>
            <w:hideMark/>
          </w:tcPr>
          <w:p w14:paraId="75F49602"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432BCB4E"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Nuclear</w:t>
            </w:r>
          </w:p>
        </w:tc>
        <w:tc>
          <w:tcPr>
            <w:tcW w:w="2352" w:type="dxa"/>
            <w:noWrap/>
            <w:hideMark/>
          </w:tcPr>
          <w:p w14:paraId="02233D7E" w14:textId="6B2AB99E" w:rsidR="0068007A"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Generation II Light Water Reactor</w:t>
            </w:r>
          </w:p>
        </w:tc>
        <w:tc>
          <w:tcPr>
            <w:tcW w:w="960" w:type="dxa"/>
            <w:noWrap/>
            <w:hideMark/>
          </w:tcPr>
          <w:p w14:paraId="1CFAA932"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0.9</w:t>
            </w:r>
          </w:p>
        </w:tc>
        <w:tc>
          <w:tcPr>
            <w:tcW w:w="960" w:type="dxa"/>
            <w:noWrap/>
            <w:hideMark/>
          </w:tcPr>
          <w:p w14:paraId="5739B343"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0.9</w:t>
            </w:r>
          </w:p>
        </w:tc>
      </w:tr>
      <w:tr w:rsidR="0068007A" w:rsidRPr="00EE41C6" w14:paraId="7BB8ED2D" w14:textId="77777777" w:rsidTr="00726652">
        <w:trPr>
          <w:trHeight w:val="300"/>
          <w:jc w:val="center"/>
        </w:trPr>
        <w:tc>
          <w:tcPr>
            <w:tcW w:w="1168" w:type="dxa"/>
            <w:noWrap/>
            <w:hideMark/>
          </w:tcPr>
          <w:p w14:paraId="7F23622B"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0B79F6B2"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Nuclear</w:t>
            </w:r>
          </w:p>
        </w:tc>
        <w:tc>
          <w:tcPr>
            <w:tcW w:w="2352" w:type="dxa"/>
            <w:noWrap/>
            <w:hideMark/>
          </w:tcPr>
          <w:p w14:paraId="60F9D3DE" w14:textId="4B3D6EA7" w:rsidR="0068007A"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Generation III</w:t>
            </w:r>
          </w:p>
        </w:tc>
        <w:tc>
          <w:tcPr>
            <w:tcW w:w="960" w:type="dxa"/>
            <w:noWrap/>
            <w:hideMark/>
          </w:tcPr>
          <w:p w14:paraId="6B41D73E"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0.9</w:t>
            </w:r>
          </w:p>
        </w:tc>
        <w:tc>
          <w:tcPr>
            <w:tcW w:w="960" w:type="dxa"/>
            <w:noWrap/>
            <w:hideMark/>
          </w:tcPr>
          <w:p w14:paraId="57EB5F6E"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0.9</w:t>
            </w:r>
          </w:p>
        </w:tc>
      </w:tr>
      <w:tr w:rsidR="0068007A" w:rsidRPr="00EE41C6" w14:paraId="2AF0A608" w14:textId="77777777" w:rsidTr="00726652">
        <w:trPr>
          <w:trHeight w:val="300"/>
          <w:jc w:val="center"/>
        </w:trPr>
        <w:tc>
          <w:tcPr>
            <w:tcW w:w="1168" w:type="dxa"/>
            <w:noWrap/>
            <w:hideMark/>
          </w:tcPr>
          <w:p w14:paraId="006FDEF9"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5EC9A13D"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Wind</w:t>
            </w:r>
          </w:p>
        </w:tc>
        <w:tc>
          <w:tcPr>
            <w:tcW w:w="2352" w:type="dxa"/>
            <w:noWrap/>
            <w:hideMark/>
          </w:tcPr>
          <w:p w14:paraId="783B967F"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Wind</w:t>
            </w:r>
          </w:p>
        </w:tc>
        <w:tc>
          <w:tcPr>
            <w:tcW w:w="960" w:type="dxa"/>
            <w:noWrap/>
            <w:hideMark/>
          </w:tcPr>
          <w:p w14:paraId="21097CAD"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0.37</w:t>
            </w:r>
          </w:p>
        </w:tc>
        <w:tc>
          <w:tcPr>
            <w:tcW w:w="960" w:type="dxa"/>
            <w:noWrap/>
            <w:hideMark/>
          </w:tcPr>
          <w:p w14:paraId="0400BA1D"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0.37</w:t>
            </w:r>
          </w:p>
        </w:tc>
      </w:tr>
      <w:tr w:rsidR="00A45DDF" w:rsidRPr="00EE41C6" w14:paraId="324C4443" w14:textId="77777777" w:rsidTr="00A45DDF">
        <w:tblPrEx>
          <w:jc w:val="left"/>
        </w:tblPrEx>
        <w:trPr>
          <w:trHeight w:val="300"/>
        </w:trPr>
        <w:tc>
          <w:tcPr>
            <w:tcW w:w="1168" w:type="dxa"/>
            <w:noWrap/>
            <w:hideMark/>
          </w:tcPr>
          <w:p w14:paraId="305A5C63"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15970315"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Wind</w:t>
            </w:r>
          </w:p>
        </w:tc>
        <w:tc>
          <w:tcPr>
            <w:tcW w:w="2352" w:type="dxa"/>
            <w:noWrap/>
            <w:hideMark/>
          </w:tcPr>
          <w:p w14:paraId="5D5DEA2F" w14:textId="27A8C7C6"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Wind with storage</w:t>
            </w:r>
          </w:p>
        </w:tc>
        <w:tc>
          <w:tcPr>
            <w:tcW w:w="960" w:type="dxa"/>
            <w:noWrap/>
            <w:hideMark/>
          </w:tcPr>
          <w:p w14:paraId="76EDF7B2"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0.37</w:t>
            </w:r>
          </w:p>
        </w:tc>
        <w:tc>
          <w:tcPr>
            <w:tcW w:w="960" w:type="dxa"/>
            <w:noWrap/>
            <w:hideMark/>
          </w:tcPr>
          <w:p w14:paraId="224453B6"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0.37</w:t>
            </w:r>
          </w:p>
        </w:tc>
      </w:tr>
      <w:tr w:rsidR="00A45DDF" w:rsidRPr="00EE41C6" w14:paraId="594B009C" w14:textId="77777777" w:rsidTr="00A45DDF">
        <w:tblPrEx>
          <w:jc w:val="left"/>
        </w:tblPrEx>
        <w:trPr>
          <w:trHeight w:val="300"/>
        </w:trPr>
        <w:tc>
          <w:tcPr>
            <w:tcW w:w="1168" w:type="dxa"/>
            <w:noWrap/>
            <w:hideMark/>
          </w:tcPr>
          <w:p w14:paraId="32E37B55"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5BFF402C"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Solar</w:t>
            </w:r>
          </w:p>
        </w:tc>
        <w:tc>
          <w:tcPr>
            <w:tcW w:w="2352" w:type="dxa"/>
            <w:noWrap/>
            <w:hideMark/>
          </w:tcPr>
          <w:p w14:paraId="6A4DBF15" w14:textId="32C306EB"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Photovoltaic (PV)</w:t>
            </w:r>
          </w:p>
        </w:tc>
        <w:tc>
          <w:tcPr>
            <w:tcW w:w="960" w:type="dxa"/>
            <w:noWrap/>
            <w:hideMark/>
          </w:tcPr>
          <w:p w14:paraId="43A8866F"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0.2</w:t>
            </w:r>
          </w:p>
        </w:tc>
        <w:tc>
          <w:tcPr>
            <w:tcW w:w="960" w:type="dxa"/>
            <w:noWrap/>
            <w:hideMark/>
          </w:tcPr>
          <w:p w14:paraId="333A2931"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0.2</w:t>
            </w:r>
          </w:p>
        </w:tc>
      </w:tr>
      <w:tr w:rsidR="00A45DDF" w:rsidRPr="00EE41C6" w14:paraId="7FECD0D9" w14:textId="77777777" w:rsidTr="00A45DDF">
        <w:tblPrEx>
          <w:jc w:val="left"/>
        </w:tblPrEx>
        <w:trPr>
          <w:trHeight w:val="300"/>
        </w:trPr>
        <w:tc>
          <w:tcPr>
            <w:tcW w:w="1168" w:type="dxa"/>
            <w:noWrap/>
            <w:hideMark/>
          </w:tcPr>
          <w:p w14:paraId="2D634946"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54FECBC9"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Solar</w:t>
            </w:r>
          </w:p>
        </w:tc>
        <w:tc>
          <w:tcPr>
            <w:tcW w:w="2352" w:type="dxa"/>
            <w:noWrap/>
            <w:hideMark/>
          </w:tcPr>
          <w:p w14:paraId="4DDCB130" w14:textId="1332152B"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PV with storage</w:t>
            </w:r>
          </w:p>
        </w:tc>
        <w:tc>
          <w:tcPr>
            <w:tcW w:w="960" w:type="dxa"/>
            <w:noWrap/>
            <w:hideMark/>
          </w:tcPr>
          <w:p w14:paraId="2686701B"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0.2</w:t>
            </w:r>
          </w:p>
        </w:tc>
        <w:tc>
          <w:tcPr>
            <w:tcW w:w="960" w:type="dxa"/>
            <w:noWrap/>
            <w:hideMark/>
          </w:tcPr>
          <w:p w14:paraId="0E878458"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0.2</w:t>
            </w:r>
          </w:p>
        </w:tc>
      </w:tr>
      <w:tr w:rsidR="00A45DDF" w:rsidRPr="00EE41C6" w14:paraId="1D5A5387" w14:textId="77777777" w:rsidTr="00A45DDF">
        <w:tblPrEx>
          <w:jc w:val="left"/>
        </w:tblPrEx>
        <w:trPr>
          <w:trHeight w:val="300"/>
        </w:trPr>
        <w:tc>
          <w:tcPr>
            <w:tcW w:w="1168" w:type="dxa"/>
            <w:noWrap/>
            <w:hideMark/>
          </w:tcPr>
          <w:p w14:paraId="3B150D78"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31B27928"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Solar</w:t>
            </w:r>
          </w:p>
        </w:tc>
        <w:tc>
          <w:tcPr>
            <w:tcW w:w="2352" w:type="dxa"/>
            <w:noWrap/>
            <w:hideMark/>
          </w:tcPr>
          <w:p w14:paraId="26DEAEBA" w14:textId="4F879740"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Concentrated solar power (CSP)</w:t>
            </w:r>
          </w:p>
        </w:tc>
        <w:tc>
          <w:tcPr>
            <w:tcW w:w="960" w:type="dxa"/>
            <w:noWrap/>
            <w:hideMark/>
          </w:tcPr>
          <w:p w14:paraId="47E1DC14"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0.25</w:t>
            </w:r>
          </w:p>
        </w:tc>
        <w:tc>
          <w:tcPr>
            <w:tcW w:w="960" w:type="dxa"/>
            <w:noWrap/>
            <w:hideMark/>
          </w:tcPr>
          <w:p w14:paraId="3EC4C22F"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0.25</w:t>
            </w:r>
          </w:p>
        </w:tc>
      </w:tr>
      <w:tr w:rsidR="00A45DDF" w:rsidRPr="00EE41C6" w14:paraId="2D76CDEB" w14:textId="77777777" w:rsidTr="00A45DDF">
        <w:tblPrEx>
          <w:jc w:val="left"/>
        </w:tblPrEx>
        <w:trPr>
          <w:trHeight w:val="300"/>
        </w:trPr>
        <w:tc>
          <w:tcPr>
            <w:tcW w:w="1168" w:type="dxa"/>
            <w:noWrap/>
            <w:hideMark/>
          </w:tcPr>
          <w:p w14:paraId="2D431C57"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02A2F539"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Solar</w:t>
            </w:r>
          </w:p>
        </w:tc>
        <w:tc>
          <w:tcPr>
            <w:tcW w:w="2352" w:type="dxa"/>
            <w:noWrap/>
            <w:hideMark/>
          </w:tcPr>
          <w:p w14:paraId="40A6475A" w14:textId="6B13B55A"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CSP with storage</w:t>
            </w:r>
          </w:p>
        </w:tc>
        <w:tc>
          <w:tcPr>
            <w:tcW w:w="960" w:type="dxa"/>
            <w:noWrap/>
            <w:hideMark/>
          </w:tcPr>
          <w:p w14:paraId="460C11A7"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0.5</w:t>
            </w:r>
          </w:p>
        </w:tc>
        <w:tc>
          <w:tcPr>
            <w:tcW w:w="960" w:type="dxa"/>
            <w:noWrap/>
            <w:hideMark/>
          </w:tcPr>
          <w:p w14:paraId="580E08DC"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0.5</w:t>
            </w:r>
          </w:p>
        </w:tc>
      </w:tr>
      <w:tr w:rsidR="00A45DDF" w:rsidRPr="00EE41C6" w14:paraId="3CBCEFBB" w14:textId="77777777" w:rsidTr="00A45DDF">
        <w:tblPrEx>
          <w:jc w:val="left"/>
        </w:tblPrEx>
        <w:trPr>
          <w:trHeight w:val="300"/>
        </w:trPr>
        <w:tc>
          <w:tcPr>
            <w:tcW w:w="1168" w:type="dxa"/>
            <w:noWrap/>
            <w:hideMark/>
          </w:tcPr>
          <w:p w14:paraId="41C67CB9"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76ABA291"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Geothermal</w:t>
            </w:r>
          </w:p>
        </w:tc>
        <w:tc>
          <w:tcPr>
            <w:tcW w:w="2352" w:type="dxa"/>
            <w:noWrap/>
            <w:hideMark/>
          </w:tcPr>
          <w:p w14:paraId="31887AF4"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Geothermal</w:t>
            </w:r>
          </w:p>
        </w:tc>
        <w:tc>
          <w:tcPr>
            <w:tcW w:w="960" w:type="dxa"/>
            <w:noWrap/>
            <w:hideMark/>
          </w:tcPr>
          <w:p w14:paraId="5BE1BA3B"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0.9</w:t>
            </w:r>
          </w:p>
        </w:tc>
        <w:tc>
          <w:tcPr>
            <w:tcW w:w="960" w:type="dxa"/>
            <w:noWrap/>
            <w:hideMark/>
          </w:tcPr>
          <w:p w14:paraId="7DB2503B"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0.9</w:t>
            </w:r>
          </w:p>
        </w:tc>
      </w:tr>
      <w:tr w:rsidR="00A45DDF" w:rsidRPr="00EE41C6" w14:paraId="07506AC1" w14:textId="77777777" w:rsidTr="00A45DDF">
        <w:tblPrEx>
          <w:jc w:val="left"/>
        </w:tblPrEx>
        <w:trPr>
          <w:trHeight w:val="300"/>
        </w:trPr>
        <w:tc>
          <w:tcPr>
            <w:tcW w:w="1168" w:type="dxa"/>
            <w:noWrap/>
            <w:hideMark/>
          </w:tcPr>
          <w:p w14:paraId="37459BFF" w14:textId="2588CC48"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047E4EEC" w14:textId="5E3D0B71"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 xml:space="preserve">Rooftop </w:t>
            </w:r>
            <w:r w:rsidR="000E3327" w:rsidRPr="00EE41C6">
              <w:rPr>
                <w:rFonts w:ascii="Times New Roman" w:hAnsi="Times New Roman" w:cs="Times New Roman"/>
                <w:sz w:val="18"/>
                <w:szCs w:val="18"/>
              </w:rPr>
              <w:t>Photovoltaic (PV)</w:t>
            </w:r>
          </w:p>
        </w:tc>
        <w:tc>
          <w:tcPr>
            <w:tcW w:w="2352" w:type="dxa"/>
            <w:noWrap/>
            <w:hideMark/>
          </w:tcPr>
          <w:p w14:paraId="7CA65992" w14:textId="27AE659E"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 xml:space="preserve">Rooftop </w:t>
            </w:r>
            <w:r w:rsidR="000E3327" w:rsidRPr="00EE41C6">
              <w:rPr>
                <w:rFonts w:ascii="Times New Roman" w:hAnsi="Times New Roman" w:cs="Times New Roman"/>
                <w:sz w:val="18"/>
                <w:szCs w:val="18"/>
              </w:rPr>
              <w:t>Photovoltaic (PV)</w:t>
            </w:r>
          </w:p>
        </w:tc>
        <w:tc>
          <w:tcPr>
            <w:tcW w:w="960" w:type="dxa"/>
            <w:noWrap/>
            <w:hideMark/>
          </w:tcPr>
          <w:p w14:paraId="14C72BD4"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0.17</w:t>
            </w:r>
          </w:p>
        </w:tc>
        <w:tc>
          <w:tcPr>
            <w:tcW w:w="960" w:type="dxa"/>
            <w:noWrap/>
            <w:hideMark/>
          </w:tcPr>
          <w:p w14:paraId="37E92C2C"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0.17</w:t>
            </w:r>
          </w:p>
        </w:tc>
      </w:tr>
    </w:tbl>
    <w:p w14:paraId="41DD8CDB" w14:textId="77777777" w:rsidR="00A11267" w:rsidRPr="00EE41C6" w:rsidRDefault="00A11267" w:rsidP="00A11267">
      <w:bookmarkStart w:id="38" w:name="_Toc167274032"/>
    </w:p>
    <w:p w14:paraId="7D86A42C" w14:textId="77777777" w:rsidR="00A11267" w:rsidRPr="00EE41C6" w:rsidRDefault="00A11267" w:rsidP="00A11267"/>
    <w:p w14:paraId="45E1FB5E" w14:textId="6CDD00FC" w:rsidR="0068007A" w:rsidRPr="00EE41C6" w:rsidRDefault="00DB6449" w:rsidP="00DB6449">
      <w:pPr>
        <w:pStyle w:val="Caption"/>
        <w:jc w:val="center"/>
        <w:rPr>
          <w:rFonts w:ascii="Times New Roman" w:hAnsi="Times New Roman" w:cs="Times New Roman"/>
        </w:rPr>
      </w:pPr>
      <w:r w:rsidRPr="00EE41C6">
        <w:t xml:space="preserve">Supplementary Table </w:t>
      </w:r>
      <w:fldSimple w:instr=" SEQ Supplementary_Table \* ARABIC ">
        <w:r w:rsidR="008628F3" w:rsidRPr="00EE41C6">
          <w:rPr>
            <w:noProof/>
          </w:rPr>
          <w:t>7</w:t>
        </w:r>
      </w:fldSimple>
      <w:r w:rsidRPr="00EE41C6">
        <w:t xml:space="preserve"> </w:t>
      </w:r>
      <w:r w:rsidR="0068007A" w:rsidRPr="00EE41C6">
        <w:rPr>
          <w:rFonts w:ascii="Times New Roman" w:hAnsi="Times New Roman" w:cs="Times New Roman"/>
        </w:rPr>
        <w:t>Electricity technology capture fractions (portion of CO</w:t>
      </w:r>
      <w:r w:rsidR="0068007A" w:rsidRPr="00EE41C6">
        <w:rPr>
          <w:rFonts w:ascii="Times New Roman" w:hAnsi="Times New Roman" w:cs="Times New Roman"/>
          <w:vertAlign w:val="subscript"/>
        </w:rPr>
        <w:t>2</w:t>
      </w:r>
      <w:r w:rsidR="0068007A" w:rsidRPr="00EE41C6">
        <w:rPr>
          <w:rFonts w:ascii="Times New Roman" w:hAnsi="Times New Roman" w:cs="Times New Roman"/>
        </w:rPr>
        <w:t xml:space="preserve"> emissions that are captured)</w:t>
      </w:r>
      <w:bookmarkEnd w:id="38"/>
    </w:p>
    <w:tbl>
      <w:tblPr>
        <w:tblStyle w:val="TableGrid"/>
        <w:tblW w:w="0" w:type="auto"/>
        <w:jc w:val="center"/>
        <w:tblLook w:val="04A0" w:firstRow="1" w:lastRow="0" w:firstColumn="1" w:lastColumn="0" w:noHBand="0" w:noVBand="1"/>
      </w:tblPr>
      <w:tblGrid>
        <w:gridCol w:w="1168"/>
        <w:gridCol w:w="1309"/>
        <w:gridCol w:w="2112"/>
        <w:gridCol w:w="960"/>
        <w:gridCol w:w="960"/>
        <w:gridCol w:w="960"/>
      </w:tblGrid>
      <w:tr w:rsidR="0068007A" w:rsidRPr="00EE41C6" w14:paraId="48E1ECAF" w14:textId="77777777" w:rsidTr="00726652">
        <w:trPr>
          <w:trHeight w:val="300"/>
          <w:jc w:val="center"/>
        </w:trPr>
        <w:tc>
          <w:tcPr>
            <w:tcW w:w="1168" w:type="dxa"/>
            <w:noWrap/>
            <w:hideMark/>
          </w:tcPr>
          <w:p w14:paraId="09751DCB"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Supply sector</w:t>
            </w:r>
          </w:p>
        </w:tc>
        <w:tc>
          <w:tcPr>
            <w:tcW w:w="1309" w:type="dxa"/>
            <w:noWrap/>
            <w:hideMark/>
          </w:tcPr>
          <w:p w14:paraId="6D04A3A6"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Subsector</w:t>
            </w:r>
          </w:p>
        </w:tc>
        <w:tc>
          <w:tcPr>
            <w:tcW w:w="2112" w:type="dxa"/>
            <w:noWrap/>
            <w:hideMark/>
          </w:tcPr>
          <w:p w14:paraId="66070C44"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Technology</w:t>
            </w:r>
          </w:p>
        </w:tc>
        <w:tc>
          <w:tcPr>
            <w:tcW w:w="960" w:type="dxa"/>
            <w:noWrap/>
            <w:hideMark/>
          </w:tcPr>
          <w:p w14:paraId="376E7B60"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1971</w:t>
            </w:r>
          </w:p>
        </w:tc>
        <w:tc>
          <w:tcPr>
            <w:tcW w:w="960" w:type="dxa"/>
            <w:noWrap/>
            <w:hideMark/>
          </w:tcPr>
          <w:p w14:paraId="247FD038"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2020</w:t>
            </w:r>
          </w:p>
        </w:tc>
        <w:tc>
          <w:tcPr>
            <w:tcW w:w="960" w:type="dxa"/>
            <w:noWrap/>
            <w:hideMark/>
          </w:tcPr>
          <w:p w14:paraId="5663AC9D"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2100</w:t>
            </w:r>
          </w:p>
        </w:tc>
      </w:tr>
      <w:tr w:rsidR="0068007A" w:rsidRPr="00EE41C6" w14:paraId="1218DD58" w14:textId="77777777" w:rsidTr="00726652">
        <w:trPr>
          <w:trHeight w:val="300"/>
          <w:jc w:val="center"/>
        </w:trPr>
        <w:tc>
          <w:tcPr>
            <w:tcW w:w="1168" w:type="dxa"/>
            <w:noWrap/>
            <w:hideMark/>
          </w:tcPr>
          <w:p w14:paraId="1E41D3C3"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5E659FAD"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Coal</w:t>
            </w:r>
          </w:p>
        </w:tc>
        <w:tc>
          <w:tcPr>
            <w:tcW w:w="2112" w:type="dxa"/>
            <w:noWrap/>
            <w:hideMark/>
          </w:tcPr>
          <w:p w14:paraId="7BABA6C1" w14:textId="27F1BD48" w:rsidR="0068007A"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Coal (Conventional Pulverized Coal with CCS)</w:t>
            </w:r>
          </w:p>
        </w:tc>
        <w:tc>
          <w:tcPr>
            <w:tcW w:w="960" w:type="dxa"/>
            <w:noWrap/>
            <w:hideMark/>
          </w:tcPr>
          <w:p w14:paraId="0329446F"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0.85</w:t>
            </w:r>
          </w:p>
        </w:tc>
        <w:tc>
          <w:tcPr>
            <w:tcW w:w="960" w:type="dxa"/>
            <w:noWrap/>
            <w:hideMark/>
          </w:tcPr>
          <w:p w14:paraId="613315C9"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0.85</w:t>
            </w:r>
          </w:p>
        </w:tc>
        <w:tc>
          <w:tcPr>
            <w:tcW w:w="960" w:type="dxa"/>
            <w:noWrap/>
            <w:hideMark/>
          </w:tcPr>
          <w:p w14:paraId="7FD7BA73"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0.95</w:t>
            </w:r>
          </w:p>
        </w:tc>
      </w:tr>
      <w:tr w:rsidR="0068007A" w:rsidRPr="00EE41C6" w14:paraId="4999E11A" w14:textId="77777777" w:rsidTr="00726652">
        <w:trPr>
          <w:trHeight w:val="300"/>
          <w:jc w:val="center"/>
        </w:trPr>
        <w:tc>
          <w:tcPr>
            <w:tcW w:w="1168" w:type="dxa"/>
            <w:noWrap/>
            <w:hideMark/>
          </w:tcPr>
          <w:p w14:paraId="5EF02D58"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3F086189"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Coal</w:t>
            </w:r>
          </w:p>
        </w:tc>
        <w:tc>
          <w:tcPr>
            <w:tcW w:w="2112" w:type="dxa"/>
            <w:noWrap/>
            <w:hideMark/>
          </w:tcPr>
          <w:p w14:paraId="3F929312" w14:textId="2246F2A4" w:rsidR="0068007A"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Coal (Integrated Gasification Combined Cycle with CCS)</w:t>
            </w:r>
          </w:p>
        </w:tc>
        <w:tc>
          <w:tcPr>
            <w:tcW w:w="960" w:type="dxa"/>
            <w:noWrap/>
            <w:hideMark/>
          </w:tcPr>
          <w:p w14:paraId="7520EC42"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0.85</w:t>
            </w:r>
          </w:p>
        </w:tc>
        <w:tc>
          <w:tcPr>
            <w:tcW w:w="960" w:type="dxa"/>
            <w:noWrap/>
            <w:hideMark/>
          </w:tcPr>
          <w:p w14:paraId="0B148E33"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0.85</w:t>
            </w:r>
          </w:p>
        </w:tc>
        <w:tc>
          <w:tcPr>
            <w:tcW w:w="960" w:type="dxa"/>
            <w:noWrap/>
            <w:hideMark/>
          </w:tcPr>
          <w:p w14:paraId="2E9FF57F"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0.95</w:t>
            </w:r>
          </w:p>
        </w:tc>
      </w:tr>
      <w:tr w:rsidR="00A45DDF" w:rsidRPr="00EE41C6" w14:paraId="6F9FE29D" w14:textId="77777777" w:rsidTr="00726652">
        <w:trPr>
          <w:trHeight w:val="300"/>
          <w:jc w:val="center"/>
        </w:trPr>
        <w:tc>
          <w:tcPr>
            <w:tcW w:w="1168" w:type="dxa"/>
            <w:noWrap/>
            <w:hideMark/>
          </w:tcPr>
          <w:p w14:paraId="2F5D85BA"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31DFFDE6"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Gas</w:t>
            </w:r>
          </w:p>
        </w:tc>
        <w:tc>
          <w:tcPr>
            <w:tcW w:w="2112" w:type="dxa"/>
            <w:noWrap/>
            <w:hideMark/>
          </w:tcPr>
          <w:p w14:paraId="791C2569" w14:textId="44E09A03"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Gas (Combined Cycle with CCS)</w:t>
            </w:r>
          </w:p>
        </w:tc>
        <w:tc>
          <w:tcPr>
            <w:tcW w:w="960" w:type="dxa"/>
            <w:noWrap/>
            <w:hideMark/>
          </w:tcPr>
          <w:p w14:paraId="47D42A93"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0.85</w:t>
            </w:r>
          </w:p>
        </w:tc>
        <w:tc>
          <w:tcPr>
            <w:tcW w:w="960" w:type="dxa"/>
            <w:noWrap/>
            <w:hideMark/>
          </w:tcPr>
          <w:p w14:paraId="317225F1"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0.85</w:t>
            </w:r>
          </w:p>
        </w:tc>
        <w:tc>
          <w:tcPr>
            <w:tcW w:w="960" w:type="dxa"/>
            <w:noWrap/>
            <w:hideMark/>
          </w:tcPr>
          <w:p w14:paraId="03264E8B"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0.95</w:t>
            </w:r>
          </w:p>
        </w:tc>
      </w:tr>
      <w:tr w:rsidR="00A45DDF" w:rsidRPr="00EE41C6" w14:paraId="7DE19A3F" w14:textId="77777777" w:rsidTr="00726652">
        <w:trPr>
          <w:trHeight w:val="300"/>
          <w:jc w:val="center"/>
        </w:trPr>
        <w:tc>
          <w:tcPr>
            <w:tcW w:w="1168" w:type="dxa"/>
            <w:noWrap/>
            <w:hideMark/>
          </w:tcPr>
          <w:p w14:paraId="63C5A31C"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300F66AE"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Refined liquids</w:t>
            </w:r>
          </w:p>
        </w:tc>
        <w:tc>
          <w:tcPr>
            <w:tcW w:w="2112" w:type="dxa"/>
            <w:noWrap/>
            <w:hideMark/>
          </w:tcPr>
          <w:p w14:paraId="59E2DE34" w14:textId="322BF5FC"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Refined liquids (Combined Cycle with CCS)</w:t>
            </w:r>
          </w:p>
        </w:tc>
        <w:tc>
          <w:tcPr>
            <w:tcW w:w="960" w:type="dxa"/>
            <w:noWrap/>
            <w:hideMark/>
          </w:tcPr>
          <w:p w14:paraId="6F73452F"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0.85</w:t>
            </w:r>
          </w:p>
        </w:tc>
        <w:tc>
          <w:tcPr>
            <w:tcW w:w="960" w:type="dxa"/>
            <w:noWrap/>
            <w:hideMark/>
          </w:tcPr>
          <w:p w14:paraId="3432032D"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0.85</w:t>
            </w:r>
          </w:p>
        </w:tc>
        <w:tc>
          <w:tcPr>
            <w:tcW w:w="960" w:type="dxa"/>
            <w:noWrap/>
            <w:hideMark/>
          </w:tcPr>
          <w:p w14:paraId="7DB0ACC9"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0.95</w:t>
            </w:r>
          </w:p>
        </w:tc>
      </w:tr>
      <w:tr w:rsidR="00A45DDF" w:rsidRPr="00EE41C6" w14:paraId="789C7B5E" w14:textId="77777777" w:rsidTr="00726652">
        <w:trPr>
          <w:trHeight w:val="300"/>
          <w:jc w:val="center"/>
        </w:trPr>
        <w:tc>
          <w:tcPr>
            <w:tcW w:w="1168" w:type="dxa"/>
            <w:noWrap/>
            <w:hideMark/>
          </w:tcPr>
          <w:p w14:paraId="52E74D36"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0E89E0DE"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Biomass</w:t>
            </w:r>
          </w:p>
        </w:tc>
        <w:tc>
          <w:tcPr>
            <w:tcW w:w="2112" w:type="dxa"/>
            <w:noWrap/>
            <w:hideMark/>
          </w:tcPr>
          <w:p w14:paraId="5A846CBA" w14:textId="5A8B7F48"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Biomass (conventional with CCS)</w:t>
            </w:r>
          </w:p>
        </w:tc>
        <w:tc>
          <w:tcPr>
            <w:tcW w:w="960" w:type="dxa"/>
            <w:noWrap/>
            <w:hideMark/>
          </w:tcPr>
          <w:p w14:paraId="254C11BC"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0.85</w:t>
            </w:r>
          </w:p>
        </w:tc>
        <w:tc>
          <w:tcPr>
            <w:tcW w:w="960" w:type="dxa"/>
            <w:noWrap/>
            <w:hideMark/>
          </w:tcPr>
          <w:p w14:paraId="72511DEE"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0.85</w:t>
            </w:r>
          </w:p>
        </w:tc>
        <w:tc>
          <w:tcPr>
            <w:tcW w:w="960" w:type="dxa"/>
            <w:noWrap/>
            <w:hideMark/>
          </w:tcPr>
          <w:p w14:paraId="2CF61BFD"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0.95</w:t>
            </w:r>
          </w:p>
        </w:tc>
      </w:tr>
      <w:tr w:rsidR="00A45DDF" w:rsidRPr="00EE41C6" w14:paraId="3AA24742" w14:textId="77777777" w:rsidTr="00726652">
        <w:trPr>
          <w:trHeight w:val="300"/>
          <w:jc w:val="center"/>
        </w:trPr>
        <w:tc>
          <w:tcPr>
            <w:tcW w:w="1168" w:type="dxa"/>
            <w:noWrap/>
            <w:hideMark/>
          </w:tcPr>
          <w:p w14:paraId="2635C9C6"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1309" w:type="dxa"/>
            <w:noWrap/>
            <w:hideMark/>
          </w:tcPr>
          <w:p w14:paraId="788A77E2"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Biomass</w:t>
            </w:r>
          </w:p>
        </w:tc>
        <w:tc>
          <w:tcPr>
            <w:tcW w:w="2112" w:type="dxa"/>
            <w:noWrap/>
            <w:hideMark/>
          </w:tcPr>
          <w:p w14:paraId="732619D3" w14:textId="27D3D6E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Biomass ((Integrated Gasification Combined Cycle with CCS)</w:t>
            </w:r>
          </w:p>
        </w:tc>
        <w:tc>
          <w:tcPr>
            <w:tcW w:w="960" w:type="dxa"/>
            <w:noWrap/>
            <w:hideMark/>
          </w:tcPr>
          <w:p w14:paraId="17B9B641"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0.85</w:t>
            </w:r>
          </w:p>
        </w:tc>
        <w:tc>
          <w:tcPr>
            <w:tcW w:w="960" w:type="dxa"/>
            <w:noWrap/>
            <w:hideMark/>
          </w:tcPr>
          <w:p w14:paraId="4A91A62B"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0.85</w:t>
            </w:r>
          </w:p>
        </w:tc>
        <w:tc>
          <w:tcPr>
            <w:tcW w:w="960" w:type="dxa"/>
            <w:noWrap/>
            <w:hideMark/>
          </w:tcPr>
          <w:p w14:paraId="50A08F32"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0.95</w:t>
            </w:r>
          </w:p>
        </w:tc>
      </w:tr>
    </w:tbl>
    <w:p w14:paraId="0A1FD379" w14:textId="77777777" w:rsidR="00DD6E09" w:rsidRPr="00EE41C6" w:rsidRDefault="00DD6E09" w:rsidP="0068007A">
      <w:pPr>
        <w:spacing w:line="480" w:lineRule="auto"/>
        <w:rPr>
          <w:rFonts w:ascii="Times New Roman" w:hAnsi="Times New Roman" w:cs="Times New Roman"/>
          <w:sz w:val="18"/>
          <w:szCs w:val="18"/>
        </w:rPr>
      </w:pPr>
    </w:p>
    <w:p w14:paraId="696B1B3A" w14:textId="7A1B2A6C" w:rsidR="0068007A" w:rsidRPr="00EE41C6" w:rsidRDefault="00DB6449" w:rsidP="00DB6449">
      <w:pPr>
        <w:pStyle w:val="Caption"/>
        <w:jc w:val="center"/>
        <w:rPr>
          <w:rFonts w:ascii="Times New Roman" w:hAnsi="Times New Roman" w:cs="Times New Roman"/>
        </w:rPr>
      </w:pPr>
      <w:bookmarkStart w:id="39" w:name="_Toc167274033"/>
      <w:bookmarkStart w:id="40" w:name="_Hlk147207223"/>
      <w:r w:rsidRPr="00EE41C6">
        <w:t xml:space="preserve">Supplementary Table </w:t>
      </w:r>
      <w:fldSimple w:instr=" SEQ Supplementary_Table \* ARABIC ">
        <w:r w:rsidR="008628F3" w:rsidRPr="00EE41C6">
          <w:rPr>
            <w:noProof/>
          </w:rPr>
          <w:t>8</w:t>
        </w:r>
      </w:fldSimple>
      <w:r w:rsidRPr="00EE41C6">
        <w:t xml:space="preserve"> </w:t>
      </w:r>
      <w:r w:rsidR="0068007A" w:rsidRPr="00EE41C6">
        <w:rPr>
          <w:rFonts w:ascii="Times New Roman" w:hAnsi="Times New Roman" w:cs="Times New Roman"/>
        </w:rPr>
        <w:t>Electricity technology retirement parameters</w:t>
      </w:r>
      <w:bookmarkEnd w:id="39"/>
    </w:p>
    <w:tbl>
      <w:tblPr>
        <w:tblStyle w:val="TableGrid"/>
        <w:tblW w:w="0" w:type="auto"/>
        <w:jc w:val="center"/>
        <w:tblLook w:val="04A0" w:firstRow="1" w:lastRow="0" w:firstColumn="1" w:lastColumn="0" w:noHBand="0" w:noVBand="1"/>
      </w:tblPr>
      <w:tblGrid>
        <w:gridCol w:w="1066"/>
        <w:gridCol w:w="1310"/>
        <w:gridCol w:w="1216"/>
        <w:gridCol w:w="836"/>
        <w:gridCol w:w="821"/>
        <w:gridCol w:w="926"/>
      </w:tblGrid>
      <w:tr w:rsidR="0068007A" w:rsidRPr="00EE41C6" w14:paraId="5DE56849" w14:textId="77777777" w:rsidTr="00A45DDF">
        <w:trPr>
          <w:trHeight w:val="300"/>
          <w:jc w:val="center"/>
        </w:trPr>
        <w:tc>
          <w:tcPr>
            <w:tcW w:w="1066" w:type="dxa"/>
            <w:noWrap/>
            <w:hideMark/>
          </w:tcPr>
          <w:bookmarkEnd w:id="40"/>
          <w:p w14:paraId="4D007CFA"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Subsector</w:t>
            </w:r>
          </w:p>
        </w:tc>
        <w:tc>
          <w:tcPr>
            <w:tcW w:w="1310" w:type="dxa"/>
            <w:noWrap/>
            <w:hideMark/>
          </w:tcPr>
          <w:p w14:paraId="26C754CB"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Technology</w:t>
            </w:r>
          </w:p>
        </w:tc>
        <w:tc>
          <w:tcPr>
            <w:tcW w:w="1216" w:type="dxa"/>
            <w:noWrap/>
            <w:hideMark/>
          </w:tcPr>
          <w:p w14:paraId="480CBEA5"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Year</w:t>
            </w:r>
          </w:p>
        </w:tc>
        <w:tc>
          <w:tcPr>
            <w:tcW w:w="836" w:type="dxa"/>
            <w:noWrap/>
            <w:hideMark/>
          </w:tcPr>
          <w:p w14:paraId="2BFAA40C"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Lifetime</w:t>
            </w:r>
          </w:p>
        </w:tc>
        <w:tc>
          <w:tcPr>
            <w:tcW w:w="821" w:type="dxa"/>
            <w:noWrap/>
            <w:hideMark/>
          </w:tcPr>
          <w:p w14:paraId="49742D9C"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Half life</w:t>
            </w:r>
          </w:p>
        </w:tc>
        <w:tc>
          <w:tcPr>
            <w:tcW w:w="926" w:type="dxa"/>
            <w:noWrap/>
            <w:hideMark/>
          </w:tcPr>
          <w:p w14:paraId="09069DEE"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Steepness</w:t>
            </w:r>
          </w:p>
        </w:tc>
      </w:tr>
      <w:tr w:rsidR="0068007A" w:rsidRPr="00EE41C6" w14:paraId="079FD7B7" w14:textId="77777777" w:rsidTr="00A45DDF">
        <w:trPr>
          <w:trHeight w:val="300"/>
          <w:jc w:val="center"/>
        </w:trPr>
        <w:tc>
          <w:tcPr>
            <w:tcW w:w="1066" w:type="dxa"/>
            <w:noWrap/>
            <w:hideMark/>
          </w:tcPr>
          <w:p w14:paraId="44DE9488"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Coal</w:t>
            </w:r>
          </w:p>
        </w:tc>
        <w:tc>
          <w:tcPr>
            <w:tcW w:w="1310" w:type="dxa"/>
            <w:noWrap/>
            <w:hideMark/>
          </w:tcPr>
          <w:p w14:paraId="29F50158" w14:textId="429E190E" w:rsidR="0068007A"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Coal (Conventional Pulverized Coal)</w:t>
            </w:r>
          </w:p>
        </w:tc>
        <w:tc>
          <w:tcPr>
            <w:tcW w:w="1216" w:type="dxa"/>
            <w:noWrap/>
            <w:hideMark/>
          </w:tcPr>
          <w:p w14:paraId="374161F0"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Final-calibration-year</w:t>
            </w:r>
          </w:p>
        </w:tc>
        <w:tc>
          <w:tcPr>
            <w:tcW w:w="836" w:type="dxa"/>
            <w:noWrap/>
            <w:hideMark/>
          </w:tcPr>
          <w:p w14:paraId="62570D47"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60</w:t>
            </w:r>
          </w:p>
        </w:tc>
        <w:tc>
          <w:tcPr>
            <w:tcW w:w="821" w:type="dxa"/>
            <w:noWrap/>
            <w:hideMark/>
          </w:tcPr>
          <w:p w14:paraId="40A53582"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30</w:t>
            </w:r>
          </w:p>
        </w:tc>
        <w:tc>
          <w:tcPr>
            <w:tcW w:w="926" w:type="dxa"/>
            <w:noWrap/>
            <w:hideMark/>
          </w:tcPr>
          <w:p w14:paraId="1D029877"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0.1</w:t>
            </w:r>
          </w:p>
        </w:tc>
      </w:tr>
      <w:tr w:rsidR="00A45DDF" w:rsidRPr="00EE41C6" w14:paraId="21D21685" w14:textId="77777777" w:rsidTr="00A45DDF">
        <w:trPr>
          <w:trHeight w:val="300"/>
          <w:jc w:val="center"/>
        </w:trPr>
        <w:tc>
          <w:tcPr>
            <w:tcW w:w="1066" w:type="dxa"/>
            <w:noWrap/>
            <w:hideMark/>
          </w:tcPr>
          <w:p w14:paraId="1A2329BA"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Gas</w:t>
            </w:r>
          </w:p>
        </w:tc>
        <w:tc>
          <w:tcPr>
            <w:tcW w:w="1310" w:type="dxa"/>
            <w:noWrap/>
            <w:hideMark/>
          </w:tcPr>
          <w:p w14:paraId="5204786B" w14:textId="352A086E"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Gas (Steam Cycle/Turbine)</w:t>
            </w:r>
          </w:p>
        </w:tc>
        <w:tc>
          <w:tcPr>
            <w:tcW w:w="1216" w:type="dxa"/>
            <w:noWrap/>
            <w:hideMark/>
          </w:tcPr>
          <w:p w14:paraId="108C9563"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Final-calibration-year</w:t>
            </w:r>
          </w:p>
        </w:tc>
        <w:tc>
          <w:tcPr>
            <w:tcW w:w="836" w:type="dxa"/>
            <w:noWrap/>
            <w:hideMark/>
          </w:tcPr>
          <w:p w14:paraId="7C4BBBBF"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45</w:t>
            </w:r>
          </w:p>
        </w:tc>
        <w:tc>
          <w:tcPr>
            <w:tcW w:w="821" w:type="dxa"/>
            <w:noWrap/>
            <w:hideMark/>
          </w:tcPr>
          <w:p w14:paraId="006E84DA"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22.5</w:t>
            </w:r>
          </w:p>
        </w:tc>
        <w:tc>
          <w:tcPr>
            <w:tcW w:w="926" w:type="dxa"/>
            <w:noWrap/>
            <w:hideMark/>
          </w:tcPr>
          <w:p w14:paraId="2AEB596B"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0.1</w:t>
            </w:r>
          </w:p>
        </w:tc>
      </w:tr>
      <w:tr w:rsidR="00A45DDF" w:rsidRPr="00EE41C6" w14:paraId="2AD9EC15" w14:textId="77777777" w:rsidTr="00A45DDF">
        <w:trPr>
          <w:trHeight w:val="300"/>
          <w:jc w:val="center"/>
        </w:trPr>
        <w:tc>
          <w:tcPr>
            <w:tcW w:w="1066" w:type="dxa"/>
            <w:noWrap/>
            <w:hideMark/>
          </w:tcPr>
          <w:p w14:paraId="13B6B796"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lastRenderedPageBreak/>
              <w:t>Gas</w:t>
            </w:r>
          </w:p>
        </w:tc>
        <w:tc>
          <w:tcPr>
            <w:tcW w:w="1310" w:type="dxa"/>
            <w:noWrap/>
            <w:hideMark/>
          </w:tcPr>
          <w:p w14:paraId="63ADA75B" w14:textId="3C3F2AB1"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Gas (Combined Cycle)</w:t>
            </w:r>
          </w:p>
        </w:tc>
        <w:tc>
          <w:tcPr>
            <w:tcW w:w="1216" w:type="dxa"/>
            <w:noWrap/>
            <w:hideMark/>
          </w:tcPr>
          <w:p w14:paraId="17FA368D"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Final-calibration-year</w:t>
            </w:r>
          </w:p>
        </w:tc>
        <w:tc>
          <w:tcPr>
            <w:tcW w:w="836" w:type="dxa"/>
            <w:noWrap/>
            <w:hideMark/>
          </w:tcPr>
          <w:p w14:paraId="750B6AFA"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45</w:t>
            </w:r>
          </w:p>
        </w:tc>
        <w:tc>
          <w:tcPr>
            <w:tcW w:w="821" w:type="dxa"/>
            <w:noWrap/>
            <w:hideMark/>
          </w:tcPr>
          <w:p w14:paraId="5213FC05"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22.5</w:t>
            </w:r>
          </w:p>
        </w:tc>
        <w:tc>
          <w:tcPr>
            <w:tcW w:w="926" w:type="dxa"/>
            <w:noWrap/>
            <w:hideMark/>
          </w:tcPr>
          <w:p w14:paraId="63B827C0"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0.1</w:t>
            </w:r>
          </w:p>
        </w:tc>
      </w:tr>
      <w:tr w:rsidR="0068007A" w:rsidRPr="00EE41C6" w14:paraId="217DA5B3" w14:textId="77777777" w:rsidTr="00A45DDF">
        <w:trPr>
          <w:trHeight w:val="300"/>
          <w:jc w:val="center"/>
        </w:trPr>
        <w:tc>
          <w:tcPr>
            <w:tcW w:w="1066" w:type="dxa"/>
            <w:noWrap/>
            <w:hideMark/>
          </w:tcPr>
          <w:p w14:paraId="0542BAB9"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Refined liquids</w:t>
            </w:r>
          </w:p>
        </w:tc>
        <w:tc>
          <w:tcPr>
            <w:tcW w:w="1310" w:type="dxa"/>
            <w:noWrap/>
            <w:hideMark/>
          </w:tcPr>
          <w:p w14:paraId="6C01FD8E" w14:textId="4F68762C"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 xml:space="preserve">Refined liquids </w:t>
            </w:r>
            <w:r w:rsidR="00A45DDF" w:rsidRPr="00EE41C6">
              <w:rPr>
                <w:rFonts w:ascii="Times New Roman" w:hAnsi="Times New Roman" w:cs="Times New Roman"/>
                <w:sz w:val="18"/>
                <w:szCs w:val="18"/>
              </w:rPr>
              <w:t>(Steam Cycle/Turbine)</w:t>
            </w:r>
          </w:p>
        </w:tc>
        <w:tc>
          <w:tcPr>
            <w:tcW w:w="1216" w:type="dxa"/>
            <w:noWrap/>
            <w:hideMark/>
          </w:tcPr>
          <w:p w14:paraId="23693330"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Final-calibration-year</w:t>
            </w:r>
          </w:p>
        </w:tc>
        <w:tc>
          <w:tcPr>
            <w:tcW w:w="836" w:type="dxa"/>
            <w:noWrap/>
            <w:hideMark/>
          </w:tcPr>
          <w:p w14:paraId="15DD82FE"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45</w:t>
            </w:r>
          </w:p>
        </w:tc>
        <w:tc>
          <w:tcPr>
            <w:tcW w:w="821" w:type="dxa"/>
            <w:noWrap/>
            <w:hideMark/>
          </w:tcPr>
          <w:p w14:paraId="6DF719D8"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22.5</w:t>
            </w:r>
          </w:p>
        </w:tc>
        <w:tc>
          <w:tcPr>
            <w:tcW w:w="926" w:type="dxa"/>
            <w:noWrap/>
            <w:hideMark/>
          </w:tcPr>
          <w:p w14:paraId="3BA76FED"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0.1</w:t>
            </w:r>
          </w:p>
        </w:tc>
      </w:tr>
      <w:tr w:rsidR="0068007A" w:rsidRPr="00EE41C6" w14:paraId="14BC426F" w14:textId="77777777" w:rsidTr="00A45DDF">
        <w:trPr>
          <w:trHeight w:val="300"/>
          <w:jc w:val="center"/>
        </w:trPr>
        <w:tc>
          <w:tcPr>
            <w:tcW w:w="1066" w:type="dxa"/>
            <w:noWrap/>
            <w:hideMark/>
          </w:tcPr>
          <w:p w14:paraId="6C4A8C41"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Biomass</w:t>
            </w:r>
          </w:p>
        </w:tc>
        <w:tc>
          <w:tcPr>
            <w:tcW w:w="1310" w:type="dxa"/>
            <w:noWrap/>
            <w:hideMark/>
          </w:tcPr>
          <w:p w14:paraId="02F39DB7" w14:textId="2977E634"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Biomass (conv</w:t>
            </w:r>
            <w:r w:rsidR="00A45DDF" w:rsidRPr="00EE41C6">
              <w:rPr>
                <w:rFonts w:ascii="Times New Roman" w:hAnsi="Times New Roman" w:cs="Times New Roman"/>
                <w:sz w:val="18"/>
                <w:szCs w:val="18"/>
              </w:rPr>
              <w:t>entional</w:t>
            </w:r>
            <w:r w:rsidRPr="00EE41C6">
              <w:rPr>
                <w:rFonts w:ascii="Times New Roman" w:hAnsi="Times New Roman" w:cs="Times New Roman"/>
                <w:sz w:val="18"/>
                <w:szCs w:val="18"/>
              </w:rPr>
              <w:t>)</w:t>
            </w:r>
          </w:p>
        </w:tc>
        <w:tc>
          <w:tcPr>
            <w:tcW w:w="1216" w:type="dxa"/>
            <w:noWrap/>
            <w:hideMark/>
          </w:tcPr>
          <w:p w14:paraId="56F631F2"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Final-calibration-year</w:t>
            </w:r>
          </w:p>
        </w:tc>
        <w:tc>
          <w:tcPr>
            <w:tcW w:w="836" w:type="dxa"/>
            <w:noWrap/>
            <w:hideMark/>
          </w:tcPr>
          <w:p w14:paraId="3DE70129"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60</w:t>
            </w:r>
          </w:p>
        </w:tc>
        <w:tc>
          <w:tcPr>
            <w:tcW w:w="821" w:type="dxa"/>
            <w:noWrap/>
            <w:hideMark/>
          </w:tcPr>
          <w:p w14:paraId="6224501E"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30</w:t>
            </w:r>
          </w:p>
        </w:tc>
        <w:tc>
          <w:tcPr>
            <w:tcW w:w="926" w:type="dxa"/>
            <w:noWrap/>
            <w:hideMark/>
          </w:tcPr>
          <w:p w14:paraId="26228104" w14:textId="77777777" w:rsidR="0068007A" w:rsidRPr="00EE41C6" w:rsidRDefault="0068007A" w:rsidP="00D23622">
            <w:pPr>
              <w:rPr>
                <w:rFonts w:ascii="Times New Roman" w:hAnsi="Times New Roman" w:cs="Times New Roman"/>
                <w:sz w:val="18"/>
                <w:szCs w:val="18"/>
              </w:rPr>
            </w:pPr>
            <w:r w:rsidRPr="00EE41C6">
              <w:rPr>
                <w:rFonts w:ascii="Times New Roman" w:hAnsi="Times New Roman" w:cs="Times New Roman"/>
                <w:sz w:val="18"/>
                <w:szCs w:val="18"/>
              </w:rPr>
              <w:t>0.1</w:t>
            </w:r>
          </w:p>
        </w:tc>
      </w:tr>
      <w:tr w:rsidR="00A45DDF" w:rsidRPr="00EE41C6" w14:paraId="1455F1C9" w14:textId="77777777" w:rsidTr="00A45DDF">
        <w:trPr>
          <w:trHeight w:val="300"/>
          <w:jc w:val="center"/>
        </w:trPr>
        <w:tc>
          <w:tcPr>
            <w:tcW w:w="1066" w:type="dxa"/>
            <w:noWrap/>
            <w:hideMark/>
          </w:tcPr>
          <w:p w14:paraId="154D56D9"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Nuclear</w:t>
            </w:r>
          </w:p>
        </w:tc>
        <w:tc>
          <w:tcPr>
            <w:tcW w:w="1310" w:type="dxa"/>
            <w:noWrap/>
            <w:hideMark/>
          </w:tcPr>
          <w:p w14:paraId="530970FD" w14:textId="485B812B"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Generation II Light Water Reactor</w:t>
            </w:r>
          </w:p>
        </w:tc>
        <w:tc>
          <w:tcPr>
            <w:tcW w:w="1216" w:type="dxa"/>
            <w:noWrap/>
            <w:hideMark/>
          </w:tcPr>
          <w:p w14:paraId="2C406F8E"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Final-historical-year</w:t>
            </w:r>
          </w:p>
        </w:tc>
        <w:tc>
          <w:tcPr>
            <w:tcW w:w="836" w:type="dxa"/>
            <w:noWrap/>
            <w:hideMark/>
          </w:tcPr>
          <w:p w14:paraId="3F0465AA"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60</w:t>
            </w:r>
          </w:p>
        </w:tc>
        <w:tc>
          <w:tcPr>
            <w:tcW w:w="821" w:type="dxa"/>
            <w:noWrap/>
            <w:hideMark/>
          </w:tcPr>
          <w:p w14:paraId="26BD04C0"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30</w:t>
            </w:r>
          </w:p>
        </w:tc>
        <w:tc>
          <w:tcPr>
            <w:tcW w:w="926" w:type="dxa"/>
            <w:noWrap/>
            <w:hideMark/>
          </w:tcPr>
          <w:p w14:paraId="3C6BF2FF" w14:textId="77777777" w:rsidR="00A45DDF" w:rsidRPr="00EE41C6" w:rsidRDefault="00A45DDF" w:rsidP="00D23622">
            <w:pPr>
              <w:rPr>
                <w:rFonts w:ascii="Times New Roman" w:hAnsi="Times New Roman" w:cs="Times New Roman"/>
                <w:sz w:val="18"/>
                <w:szCs w:val="18"/>
              </w:rPr>
            </w:pPr>
            <w:r w:rsidRPr="00EE41C6">
              <w:rPr>
                <w:rFonts w:ascii="Times New Roman" w:hAnsi="Times New Roman" w:cs="Times New Roman"/>
                <w:sz w:val="18"/>
                <w:szCs w:val="18"/>
              </w:rPr>
              <w:t>0.1</w:t>
            </w:r>
          </w:p>
        </w:tc>
      </w:tr>
      <w:tr w:rsidR="00D257D6" w:rsidRPr="00EE41C6" w14:paraId="512F0455" w14:textId="77777777" w:rsidTr="00D257D6">
        <w:trPr>
          <w:trHeight w:val="300"/>
          <w:jc w:val="center"/>
        </w:trPr>
        <w:tc>
          <w:tcPr>
            <w:tcW w:w="1066" w:type="dxa"/>
            <w:noWrap/>
            <w:hideMark/>
          </w:tcPr>
          <w:p w14:paraId="40297AFF"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Wind</w:t>
            </w:r>
          </w:p>
        </w:tc>
        <w:tc>
          <w:tcPr>
            <w:tcW w:w="1310" w:type="dxa"/>
            <w:noWrap/>
            <w:hideMark/>
          </w:tcPr>
          <w:p w14:paraId="12604D59"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Wind</w:t>
            </w:r>
          </w:p>
        </w:tc>
        <w:tc>
          <w:tcPr>
            <w:tcW w:w="1216" w:type="dxa"/>
            <w:noWrap/>
            <w:hideMark/>
          </w:tcPr>
          <w:p w14:paraId="13841877"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Final-calibration-year</w:t>
            </w:r>
          </w:p>
        </w:tc>
        <w:tc>
          <w:tcPr>
            <w:tcW w:w="836" w:type="dxa"/>
            <w:noWrap/>
            <w:hideMark/>
          </w:tcPr>
          <w:p w14:paraId="4DAB4B7F"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30</w:t>
            </w:r>
          </w:p>
        </w:tc>
        <w:tc>
          <w:tcPr>
            <w:tcW w:w="821" w:type="dxa"/>
            <w:noWrap/>
          </w:tcPr>
          <w:p w14:paraId="3F7C1ECE" w14:textId="566EF0DE"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c>
          <w:tcPr>
            <w:tcW w:w="926" w:type="dxa"/>
            <w:noWrap/>
            <w:hideMark/>
          </w:tcPr>
          <w:p w14:paraId="17B68C3F" w14:textId="791B5740"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r>
      <w:tr w:rsidR="00D257D6" w:rsidRPr="00EE41C6" w14:paraId="21A6B4F6" w14:textId="77777777" w:rsidTr="00A45DDF">
        <w:trPr>
          <w:trHeight w:val="300"/>
          <w:jc w:val="center"/>
        </w:trPr>
        <w:tc>
          <w:tcPr>
            <w:tcW w:w="1066" w:type="dxa"/>
            <w:noWrap/>
            <w:hideMark/>
          </w:tcPr>
          <w:p w14:paraId="13C61A9B"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Solar</w:t>
            </w:r>
          </w:p>
        </w:tc>
        <w:tc>
          <w:tcPr>
            <w:tcW w:w="1310" w:type="dxa"/>
            <w:noWrap/>
            <w:hideMark/>
          </w:tcPr>
          <w:p w14:paraId="31F76B1A" w14:textId="54A4DD4B"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P</w:t>
            </w:r>
            <w:r w:rsidR="001D5CF8" w:rsidRPr="00EE41C6">
              <w:rPr>
                <w:rFonts w:ascii="Times New Roman" w:hAnsi="Times New Roman" w:cs="Times New Roman"/>
                <w:sz w:val="18"/>
                <w:szCs w:val="18"/>
              </w:rPr>
              <w:t>hotovoltaic</w:t>
            </w:r>
          </w:p>
        </w:tc>
        <w:tc>
          <w:tcPr>
            <w:tcW w:w="1216" w:type="dxa"/>
            <w:noWrap/>
            <w:hideMark/>
          </w:tcPr>
          <w:p w14:paraId="7BD48029"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Final-calibration-year</w:t>
            </w:r>
          </w:p>
        </w:tc>
        <w:tc>
          <w:tcPr>
            <w:tcW w:w="836" w:type="dxa"/>
            <w:noWrap/>
            <w:hideMark/>
          </w:tcPr>
          <w:p w14:paraId="22459C2F"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30</w:t>
            </w:r>
          </w:p>
        </w:tc>
        <w:tc>
          <w:tcPr>
            <w:tcW w:w="821" w:type="dxa"/>
            <w:noWrap/>
            <w:hideMark/>
          </w:tcPr>
          <w:p w14:paraId="63857124" w14:textId="35DDBFAD"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c>
          <w:tcPr>
            <w:tcW w:w="926" w:type="dxa"/>
            <w:noWrap/>
            <w:hideMark/>
          </w:tcPr>
          <w:p w14:paraId="11526984" w14:textId="587D8612"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r>
      <w:tr w:rsidR="00D257D6" w:rsidRPr="00EE41C6" w14:paraId="26F17EB4" w14:textId="77777777" w:rsidTr="00A45DDF">
        <w:tblPrEx>
          <w:jc w:val="left"/>
        </w:tblPrEx>
        <w:trPr>
          <w:trHeight w:val="300"/>
        </w:trPr>
        <w:tc>
          <w:tcPr>
            <w:tcW w:w="1066" w:type="dxa"/>
            <w:noWrap/>
            <w:hideMark/>
          </w:tcPr>
          <w:p w14:paraId="353BAF54"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Solar</w:t>
            </w:r>
          </w:p>
        </w:tc>
        <w:tc>
          <w:tcPr>
            <w:tcW w:w="1310" w:type="dxa"/>
            <w:noWrap/>
            <w:hideMark/>
          </w:tcPr>
          <w:p w14:paraId="4DC1FBC9" w14:textId="4E17441D"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C</w:t>
            </w:r>
            <w:r w:rsidR="001D5CF8" w:rsidRPr="00EE41C6">
              <w:rPr>
                <w:rFonts w:ascii="Times New Roman" w:hAnsi="Times New Roman" w:cs="Times New Roman"/>
                <w:sz w:val="18"/>
                <w:szCs w:val="18"/>
              </w:rPr>
              <w:t>oncentrated solar power</w:t>
            </w:r>
          </w:p>
        </w:tc>
        <w:tc>
          <w:tcPr>
            <w:tcW w:w="1216" w:type="dxa"/>
            <w:noWrap/>
            <w:hideMark/>
          </w:tcPr>
          <w:p w14:paraId="25E538CB"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Final-calibration-year</w:t>
            </w:r>
          </w:p>
        </w:tc>
        <w:tc>
          <w:tcPr>
            <w:tcW w:w="836" w:type="dxa"/>
            <w:noWrap/>
            <w:hideMark/>
          </w:tcPr>
          <w:p w14:paraId="65C0975D"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30</w:t>
            </w:r>
          </w:p>
        </w:tc>
        <w:tc>
          <w:tcPr>
            <w:tcW w:w="821" w:type="dxa"/>
            <w:noWrap/>
            <w:hideMark/>
          </w:tcPr>
          <w:p w14:paraId="287BBFE6" w14:textId="170F1BFA"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c>
          <w:tcPr>
            <w:tcW w:w="926" w:type="dxa"/>
            <w:noWrap/>
            <w:hideMark/>
          </w:tcPr>
          <w:p w14:paraId="2E7DB0B9" w14:textId="628D36EE"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r>
      <w:tr w:rsidR="00D257D6" w:rsidRPr="00EE41C6" w14:paraId="03A373EE" w14:textId="77777777" w:rsidTr="00A45DDF">
        <w:tblPrEx>
          <w:jc w:val="left"/>
        </w:tblPrEx>
        <w:trPr>
          <w:trHeight w:val="300"/>
        </w:trPr>
        <w:tc>
          <w:tcPr>
            <w:tcW w:w="1066" w:type="dxa"/>
            <w:noWrap/>
            <w:hideMark/>
          </w:tcPr>
          <w:p w14:paraId="19967C89"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Geothermal</w:t>
            </w:r>
          </w:p>
        </w:tc>
        <w:tc>
          <w:tcPr>
            <w:tcW w:w="1310" w:type="dxa"/>
            <w:noWrap/>
            <w:hideMark/>
          </w:tcPr>
          <w:p w14:paraId="3D344FA3"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Geothermal</w:t>
            </w:r>
          </w:p>
        </w:tc>
        <w:tc>
          <w:tcPr>
            <w:tcW w:w="1216" w:type="dxa"/>
            <w:noWrap/>
            <w:hideMark/>
          </w:tcPr>
          <w:p w14:paraId="1ADFFF14"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Final-calibration-year</w:t>
            </w:r>
          </w:p>
        </w:tc>
        <w:tc>
          <w:tcPr>
            <w:tcW w:w="836" w:type="dxa"/>
            <w:noWrap/>
            <w:hideMark/>
          </w:tcPr>
          <w:p w14:paraId="1E495418"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30</w:t>
            </w:r>
          </w:p>
        </w:tc>
        <w:tc>
          <w:tcPr>
            <w:tcW w:w="821" w:type="dxa"/>
            <w:noWrap/>
            <w:hideMark/>
          </w:tcPr>
          <w:p w14:paraId="7E2BEE89" w14:textId="0DB7049E"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c>
          <w:tcPr>
            <w:tcW w:w="926" w:type="dxa"/>
            <w:noWrap/>
            <w:hideMark/>
          </w:tcPr>
          <w:p w14:paraId="766B0B75" w14:textId="733549C6"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r>
      <w:tr w:rsidR="00D257D6" w:rsidRPr="00EE41C6" w14:paraId="663F9F0A" w14:textId="77777777" w:rsidTr="00A45DDF">
        <w:tblPrEx>
          <w:jc w:val="left"/>
        </w:tblPrEx>
        <w:trPr>
          <w:trHeight w:val="300"/>
        </w:trPr>
        <w:tc>
          <w:tcPr>
            <w:tcW w:w="1066" w:type="dxa"/>
            <w:noWrap/>
            <w:hideMark/>
          </w:tcPr>
          <w:p w14:paraId="7D345F11"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Coal</w:t>
            </w:r>
          </w:p>
        </w:tc>
        <w:tc>
          <w:tcPr>
            <w:tcW w:w="1310" w:type="dxa"/>
            <w:noWrap/>
            <w:hideMark/>
          </w:tcPr>
          <w:p w14:paraId="5D301AFE" w14:textId="707CBF94"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Coal (Conventional Pulverized Coal)</w:t>
            </w:r>
          </w:p>
        </w:tc>
        <w:tc>
          <w:tcPr>
            <w:tcW w:w="1216" w:type="dxa"/>
            <w:noWrap/>
            <w:hideMark/>
          </w:tcPr>
          <w:p w14:paraId="19885A04"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Initial-future-year</w:t>
            </w:r>
          </w:p>
        </w:tc>
        <w:tc>
          <w:tcPr>
            <w:tcW w:w="836" w:type="dxa"/>
            <w:noWrap/>
            <w:hideMark/>
          </w:tcPr>
          <w:p w14:paraId="1EF219D5"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60</w:t>
            </w:r>
          </w:p>
        </w:tc>
        <w:tc>
          <w:tcPr>
            <w:tcW w:w="821" w:type="dxa"/>
            <w:noWrap/>
            <w:hideMark/>
          </w:tcPr>
          <w:p w14:paraId="48D5B3B4" w14:textId="4138D3E6"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c>
          <w:tcPr>
            <w:tcW w:w="926" w:type="dxa"/>
            <w:noWrap/>
            <w:hideMark/>
          </w:tcPr>
          <w:p w14:paraId="495BEA7D" w14:textId="5E5C2298"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r>
      <w:tr w:rsidR="00D257D6" w:rsidRPr="00EE41C6" w14:paraId="3B3295A9" w14:textId="77777777" w:rsidTr="00A45DDF">
        <w:tblPrEx>
          <w:jc w:val="left"/>
        </w:tblPrEx>
        <w:trPr>
          <w:trHeight w:val="300"/>
        </w:trPr>
        <w:tc>
          <w:tcPr>
            <w:tcW w:w="1066" w:type="dxa"/>
            <w:noWrap/>
            <w:hideMark/>
          </w:tcPr>
          <w:p w14:paraId="31C53679"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Coal</w:t>
            </w:r>
          </w:p>
        </w:tc>
        <w:tc>
          <w:tcPr>
            <w:tcW w:w="1310" w:type="dxa"/>
            <w:noWrap/>
            <w:hideMark/>
          </w:tcPr>
          <w:p w14:paraId="75C792C0" w14:textId="0FBEAF8A"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Coal (Integrated Gasification Combined Cycle)</w:t>
            </w:r>
          </w:p>
        </w:tc>
        <w:tc>
          <w:tcPr>
            <w:tcW w:w="1216" w:type="dxa"/>
            <w:noWrap/>
            <w:hideMark/>
          </w:tcPr>
          <w:p w14:paraId="0455C4F1"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Initial-future-year</w:t>
            </w:r>
          </w:p>
        </w:tc>
        <w:tc>
          <w:tcPr>
            <w:tcW w:w="836" w:type="dxa"/>
            <w:noWrap/>
            <w:hideMark/>
          </w:tcPr>
          <w:p w14:paraId="69710852"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60</w:t>
            </w:r>
          </w:p>
        </w:tc>
        <w:tc>
          <w:tcPr>
            <w:tcW w:w="821" w:type="dxa"/>
            <w:noWrap/>
            <w:hideMark/>
          </w:tcPr>
          <w:p w14:paraId="30592987" w14:textId="3C2608BB"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c>
          <w:tcPr>
            <w:tcW w:w="926" w:type="dxa"/>
            <w:noWrap/>
            <w:hideMark/>
          </w:tcPr>
          <w:p w14:paraId="679ADD8F" w14:textId="0FA81031"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r>
      <w:tr w:rsidR="00D257D6" w:rsidRPr="00EE41C6" w14:paraId="1DBF4BFB" w14:textId="77777777" w:rsidTr="00A45DDF">
        <w:tblPrEx>
          <w:jc w:val="left"/>
        </w:tblPrEx>
        <w:trPr>
          <w:trHeight w:val="300"/>
        </w:trPr>
        <w:tc>
          <w:tcPr>
            <w:tcW w:w="1066" w:type="dxa"/>
            <w:noWrap/>
            <w:hideMark/>
          </w:tcPr>
          <w:p w14:paraId="1EA43EA7"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Coal</w:t>
            </w:r>
          </w:p>
        </w:tc>
        <w:tc>
          <w:tcPr>
            <w:tcW w:w="1310" w:type="dxa"/>
            <w:noWrap/>
            <w:hideMark/>
          </w:tcPr>
          <w:p w14:paraId="1E04405F" w14:textId="17B30020"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Coal (Integrated Gasification Combined Cycle with Carbon Capture and Storage)</w:t>
            </w:r>
          </w:p>
        </w:tc>
        <w:tc>
          <w:tcPr>
            <w:tcW w:w="1216" w:type="dxa"/>
            <w:noWrap/>
            <w:hideMark/>
          </w:tcPr>
          <w:p w14:paraId="24263CBA"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Initial-future-year</w:t>
            </w:r>
          </w:p>
        </w:tc>
        <w:tc>
          <w:tcPr>
            <w:tcW w:w="836" w:type="dxa"/>
            <w:noWrap/>
            <w:hideMark/>
          </w:tcPr>
          <w:p w14:paraId="69F47898"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60</w:t>
            </w:r>
          </w:p>
        </w:tc>
        <w:tc>
          <w:tcPr>
            <w:tcW w:w="821" w:type="dxa"/>
            <w:noWrap/>
            <w:hideMark/>
          </w:tcPr>
          <w:p w14:paraId="62C354EE" w14:textId="1A29B02C"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c>
          <w:tcPr>
            <w:tcW w:w="926" w:type="dxa"/>
            <w:noWrap/>
            <w:hideMark/>
          </w:tcPr>
          <w:p w14:paraId="7A9E1602" w14:textId="3D81DBA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r>
      <w:tr w:rsidR="00D257D6" w:rsidRPr="00EE41C6" w14:paraId="35F2F20B" w14:textId="77777777" w:rsidTr="00A45DDF">
        <w:tblPrEx>
          <w:jc w:val="left"/>
        </w:tblPrEx>
        <w:trPr>
          <w:trHeight w:val="300"/>
        </w:trPr>
        <w:tc>
          <w:tcPr>
            <w:tcW w:w="1066" w:type="dxa"/>
            <w:noWrap/>
            <w:hideMark/>
          </w:tcPr>
          <w:p w14:paraId="60065E0E"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Gas</w:t>
            </w:r>
          </w:p>
        </w:tc>
        <w:tc>
          <w:tcPr>
            <w:tcW w:w="1310" w:type="dxa"/>
            <w:noWrap/>
            <w:hideMark/>
          </w:tcPr>
          <w:p w14:paraId="6F53389E" w14:textId="6B564939"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Gas (Combined Cycle with Carbon Capture and Storage)</w:t>
            </w:r>
          </w:p>
        </w:tc>
        <w:tc>
          <w:tcPr>
            <w:tcW w:w="1216" w:type="dxa"/>
            <w:noWrap/>
            <w:hideMark/>
          </w:tcPr>
          <w:p w14:paraId="66AFF710"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Initial-future-year</w:t>
            </w:r>
          </w:p>
        </w:tc>
        <w:tc>
          <w:tcPr>
            <w:tcW w:w="836" w:type="dxa"/>
            <w:noWrap/>
            <w:hideMark/>
          </w:tcPr>
          <w:p w14:paraId="07A60FC9"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45</w:t>
            </w:r>
          </w:p>
        </w:tc>
        <w:tc>
          <w:tcPr>
            <w:tcW w:w="821" w:type="dxa"/>
            <w:noWrap/>
            <w:hideMark/>
          </w:tcPr>
          <w:p w14:paraId="08B845E0" w14:textId="4C58515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c>
          <w:tcPr>
            <w:tcW w:w="926" w:type="dxa"/>
            <w:noWrap/>
            <w:hideMark/>
          </w:tcPr>
          <w:p w14:paraId="205D4A2A" w14:textId="39D463D2"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r>
      <w:tr w:rsidR="00D257D6" w:rsidRPr="00EE41C6" w14:paraId="7429DE21" w14:textId="77777777" w:rsidTr="00A45DDF">
        <w:tblPrEx>
          <w:jc w:val="left"/>
        </w:tblPrEx>
        <w:trPr>
          <w:trHeight w:val="300"/>
        </w:trPr>
        <w:tc>
          <w:tcPr>
            <w:tcW w:w="1066" w:type="dxa"/>
            <w:noWrap/>
            <w:hideMark/>
          </w:tcPr>
          <w:p w14:paraId="18E15FB9"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Refined liquids</w:t>
            </w:r>
          </w:p>
        </w:tc>
        <w:tc>
          <w:tcPr>
            <w:tcW w:w="1310" w:type="dxa"/>
            <w:noWrap/>
            <w:hideMark/>
          </w:tcPr>
          <w:p w14:paraId="1921EC63" w14:textId="5EF5E300"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Refined liquids (Combined Cycle)</w:t>
            </w:r>
          </w:p>
        </w:tc>
        <w:tc>
          <w:tcPr>
            <w:tcW w:w="1216" w:type="dxa"/>
            <w:noWrap/>
            <w:hideMark/>
          </w:tcPr>
          <w:p w14:paraId="457663F0"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Initial-future-year</w:t>
            </w:r>
          </w:p>
        </w:tc>
        <w:tc>
          <w:tcPr>
            <w:tcW w:w="836" w:type="dxa"/>
            <w:noWrap/>
            <w:hideMark/>
          </w:tcPr>
          <w:p w14:paraId="69E4BD16"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45</w:t>
            </w:r>
          </w:p>
        </w:tc>
        <w:tc>
          <w:tcPr>
            <w:tcW w:w="821" w:type="dxa"/>
            <w:noWrap/>
            <w:hideMark/>
          </w:tcPr>
          <w:p w14:paraId="0736D91A" w14:textId="67FEA845"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c>
          <w:tcPr>
            <w:tcW w:w="926" w:type="dxa"/>
            <w:noWrap/>
            <w:hideMark/>
          </w:tcPr>
          <w:p w14:paraId="5E336155" w14:textId="28DC1FD4"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r>
      <w:tr w:rsidR="00D257D6" w:rsidRPr="00EE41C6" w14:paraId="279D7AB8" w14:textId="77777777" w:rsidTr="00A45DDF">
        <w:tblPrEx>
          <w:jc w:val="left"/>
        </w:tblPrEx>
        <w:trPr>
          <w:trHeight w:val="300"/>
        </w:trPr>
        <w:tc>
          <w:tcPr>
            <w:tcW w:w="1066" w:type="dxa"/>
            <w:noWrap/>
            <w:hideMark/>
          </w:tcPr>
          <w:p w14:paraId="053B998B"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Refined liquids</w:t>
            </w:r>
          </w:p>
        </w:tc>
        <w:tc>
          <w:tcPr>
            <w:tcW w:w="1310" w:type="dxa"/>
            <w:noWrap/>
            <w:hideMark/>
          </w:tcPr>
          <w:p w14:paraId="5A7E1F38" w14:textId="48F21956"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Refined liquids (Combined Cycle with Carbon Capture and Storage)</w:t>
            </w:r>
          </w:p>
        </w:tc>
        <w:tc>
          <w:tcPr>
            <w:tcW w:w="1216" w:type="dxa"/>
            <w:noWrap/>
            <w:hideMark/>
          </w:tcPr>
          <w:p w14:paraId="33808A40"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Initial-future-year</w:t>
            </w:r>
          </w:p>
        </w:tc>
        <w:tc>
          <w:tcPr>
            <w:tcW w:w="836" w:type="dxa"/>
            <w:noWrap/>
            <w:hideMark/>
          </w:tcPr>
          <w:p w14:paraId="65448A18"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45</w:t>
            </w:r>
          </w:p>
        </w:tc>
        <w:tc>
          <w:tcPr>
            <w:tcW w:w="821" w:type="dxa"/>
            <w:noWrap/>
            <w:hideMark/>
          </w:tcPr>
          <w:p w14:paraId="1172BA8D" w14:textId="2F8A4A11"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c>
          <w:tcPr>
            <w:tcW w:w="926" w:type="dxa"/>
            <w:noWrap/>
            <w:hideMark/>
          </w:tcPr>
          <w:p w14:paraId="796B620D" w14:textId="1FBDDE09"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r>
      <w:tr w:rsidR="00D257D6" w:rsidRPr="00EE41C6" w14:paraId="24079817" w14:textId="77777777" w:rsidTr="00A45DDF">
        <w:tblPrEx>
          <w:jc w:val="left"/>
        </w:tblPrEx>
        <w:trPr>
          <w:trHeight w:val="300"/>
        </w:trPr>
        <w:tc>
          <w:tcPr>
            <w:tcW w:w="1066" w:type="dxa"/>
            <w:noWrap/>
            <w:hideMark/>
          </w:tcPr>
          <w:p w14:paraId="5844FC58"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Biomass</w:t>
            </w:r>
          </w:p>
        </w:tc>
        <w:tc>
          <w:tcPr>
            <w:tcW w:w="1310" w:type="dxa"/>
            <w:noWrap/>
            <w:hideMark/>
          </w:tcPr>
          <w:p w14:paraId="699198A7" w14:textId="23B15D3F"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Biomass (conventional with CCS)</w:t>
            </w:r>
          </w:p>
        </w:tc>
        <w:tc>
          <w:tcPr>
            <w:tcW w:w="1216" w:type="dxa"/>
            <w:noWrap/>
            <w:hideMark/>
          </w:tcPr>
          <w:p w14:paraId="119A32F6"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Initial-future-year</w:t>
            </w:r>
          </w:p>
        </w:tc>
        <w:tc>
          <w:tcPr>
            <w:tcW w:w="836" w:type="dxa"/>
            <w:noWrap/>
            <w:hideMark/>
          </w:tcPr>
          <w:p w14:paraId="63A1B73F"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60</w:t>
            </w:r>
          </w:p>
        </w:tc>
        <w:tc>
          <w:tcPr>
            <w:tcW w:w="821" w:type="dxa"/>
            <w:noWrap/>
            <w:hideMark/>
          </w:tcPr>
          <w:p w14:paraId="4DFFC859" w14:textId="67483056"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c>
          <w:tcPr>
            <w:tcW w:w="926" w:type="dxa"/>
            <w:noWrap/>
            <w:hideMark/>
          </w:tcPr>
          <w:p w14:paraId="68B5DDB7" w14:textId="51FBC6D3"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r>
      <w:tr w:rsidR="00D257D6" w:rsidRPr="00EE41C6" w14:paraId="3CF34523" w14:textId="77777777" w:rsidTr="00A45DDF">
        <w:tblPrEx>
          <w:jc w:val="left"/>
        </w:tblPrEx>
        <w:trPr>
          <w:trHeight w:val="300"/>
        </w:trPr>
        <w:tc>
          <w:tcPr>
            <w:tcW w:w="1066" w:type="dxa"/>
            <w:noWrap/>
            <w:hideMark/>
          </w:tcPr>
          <w:p w14:paraId="52625F54"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lastRenderedPageBreak/>
              <w:t>Biomass</w:t>
            </w:r>
          </w:p>
        </w:tc>
        <w:tc>
          <w:tcPr>
            <w:tcW w:w="1310" w:type="dxa"/>
            <w:noWrap/>
            <w:hideMark/>
          </w:tcPr>
          <w:p w14:paraId="22F00377" w14:textId="42FA9EB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Biomass (Integrated Gasification Combined Cycle)</w:t>
            </w:r>
          </w:p>
        </w:tc>
        <w:tc>
          <w:tcPr>
            <w:tcW w:w="1216" w:type="dxa"/>
            <w:noWrap/>
            <w:hideMark/>
          </w:tcPr>
          <w:p w14:paraId="6CC1BFEC"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Initial-future-year</w:t>
            </w:r>
          </w:p>
        </w:tc>
        <w:tc>
          <w:tcPr>
            <w:tcW w:w="836" w:type="dxa"/>
            <w:noWrap/>
            <w:hideMark/>
          </w:tcPr>
          <w:p w14:paraId="5FECBCD0"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60</w:t>
            </w:r>
          </w:p>
        </w:tc>
        <w:tc>
          <w:tcPr>
            <w:tcW w:w="821" w:type="dxa"/>
            <w:noWrap/>
            <w:hideMark/>
          </w:tcPr>
          <w:p w14:paraId="18146FFA" w14:textId="57733BFE"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c>
          <w:tcPr>
            <w:tcW w:w="926" w:type="dxa"/>
            <w:noWrap/>
            <w:hideMark/>
          </w:tcPr>
          <w:p w14:paraId="63187953" w14:textId="43077866"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r>
      <w:tr w:rsidR="00D257D6" w:rsidRPr="00EE41C6" w14:paraId="10A087D5" w14:textId="77777777" w:rsidTr="00A45DDF">
        <w:tblPrEx>
          <w:jc w:val="left"/>
        </w:tblPrEx>
        <w:trPr>
          <w:trHeight w:val="300"/>
        </w:trPr>
        <w:tc>
          <w:tcPr>
            <w:tcW w:w="1066" w:type="dxa"/>
            <w:noWrap/>
            <w:hideMark/>
          </w:tcPr>
          <w:p w14:paraId="5BB01D57"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Biomass</w:t>
            </w:r>
          </w:p>
        </w:tc>
        <w:tc>
          <w:tcPr>
            <w:tcW w:w="1310" w:type="dxa"/>
            <w:noWrap/>
            <w:hideMark/>
          </w:tcPr>
          <w:p w14:paraId="0E627357" w14:textId="65731A2A"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Biomass (Integrated Gasification Combined Cycle with Carbon Capture and Storage)</w:t>
            </w:r>
          </w:p>
        </w:tc>
        <w:tc>
          <w:tcPr>
            <w:tcW w:w="1216" w:type="dxa"/>
            <w:noWrap/>
            <w:hideMark/>
          </w:tcPr>
          <w:p w14:paraId="71EF972F"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Initial-future-year</w:t>
            </w:r>
          </w:p>
        </w:tc>
        <w:tc>
          <w:tcPr>
            <w:tcW w:w="836" w:type="dxa"/>
            <w:noWrap/>
            <w:hideMark/>
          </w:tcPr>
          <w:p w14:paraId="0F87EA53"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60</w:t>
            </w:r>
          </w:p>
        </w:tc>
        <w:tc>
          <w:tcPr>
            <w:tcW w:w="821" w:type="dxa"/>
            <w:noWrap/>
            <w:hideMark/>
          </w:tcPr>
          <w:p w14:paraId="6C353C8E" w14:textId="7AD15690"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c>
          <w:tcPr>
            <w:tcW w:w="926" w:type="dxa"/>
            <w:noWrap/>
            <w:hideMark/>
          </w:tcPr>
          <w:p w14:paraId="5160FB96" w14:textId="10A2C28A"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r>
      <w:tr w:rsidR="00D257D6" w:rsidRPr="00EE41C6" w14:paraId="256F8D23" w14:textId="77777777" w:rsidTr="00A45DDF">
        <w:tblPrEx>
          <w:jc w:val="left"/>
        </w:tblPrEx>
        <w:trPr>
          <w:trHeight w:val="300"/>
        </w:trPr>
        <w:tc>
          <w:tcPr>
            <w:tcW w:w="1066" w:type="dxa"/>
            <w:noWrap/>
            <w:hideMark/>
          </w:tcPr>
          <w:p w14:paraId="79879DCA"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Nuclear</w:t>
            </w:r>
          </w:p>
        </w:tc>
        <w:tc>
          <w:tcPr>
            <w:tcW w:w="1310" w:type="dxa"/>
            <w:noWrap/>
            <w:hideMark/>
          </w:tcPr>
          <w:p w14:paraId="62BD3D0D" w14:textId="4A2A6C8C"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Generation III</w:t>
            </w:r>
          </w:p>
        </w:tc>
        <w:tc>
          <w:tcPr>
            <w:tcW w:w="1216" w:type="dxa"/>
            <w:noWrap/>
            <w:hideMark/>
          </w:tcPr>
          <w:p w14:paraId="10DC0081"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Initial-nonhistorical-year</w:t>
            </w:r>
          </w:p>
        </w:tc>
        <w:tc>
          <w:tcPr>
            <w:tcW w:w="836" w:type="dxa"/>
            <w:noWrap/>
            <w:hideMark/>
          </w:tcPr>
          <w:p w14:paraId="630C141A"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60</w:t>
            </w:r>
          </w:p>
        </w:tc>
        <w:tc>
          <w:tcPr>
            <w:tcW w:w="821" w:type="dxa"/>
            <w:noWrap/>
            <w:hideMark/>
          </w:tcPr>
          <w:p w14:paraId="616C0EF9" w14:textId="4BF2C39B"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c>
          <w:tcPr>
            <w:tcW w:w="926" w:type="dxa"/>
            <w:noWrap/>
            <w:hideMark/>
          </w:tcPr>
          <w:p w14:paraId="09874505" w14:textId="4F0DE7AC"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r>
      <w:tr w:rsidR="00D257D6" w:rsidRPr="00EE41C6" w14:paraId="198E411B" w14:textId="77777777" w:rsidTr="00A45DDF">
        <w:tblPrEx>
          <w:jc w:val="left"/>
        </w:tblPrEx>
        <w:trPr>
          <w:trHeight w:val="300"/>
        </w:trPr>
        <w:tc>
          <w:tcPr>
            <w:tcW w:w="1066" w:type="dxa"/>
            <w:noWrap/>
            <w:hideMark/>
          </w:tcPr>
          <w:p w14:paraId="5EB12BBC"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Wind</w:t>
            </w:r>
          </w:p>
        </w:tc>
        <w:tc>
          <w:tcPr>
            <w:tcW w:w="1310" w:type="dxa"/>
            <w:noWrap/>
            <w:hideMark/>
          </w:tcPr>
          <w:p w14:paraId="4DE7B565" w14:textId="66644916"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Wind with storage</w:t>
            </w:r>
          </w:p>
        </w:tc>
        <w:tc>
          <w:tcPr>
            <w:tcW w:w="1216" w:type="dxa"/>
            <w:noWrap/>
            <w:hideMark/>
          </w:tcPr>
          <w:p w14:paraId="4D26C553"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Initial-future-year</w:t>
            </w:r>
          </w:p>
        </w:tc>
        <w:tc>
          <w:tcPr>
            <w:tcW w:w="836" w:type="dxa"/>
            <w:noWrap/>
            <w:hideMark/>
          </w:tcPr>
          <w:p w14:paraId="636CCEA0"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30</w:t>
            </w:r>
          </w:p>
        </w:tc>
        <w:tc>
          <w:tcPr>
            <w:tcW w:w="821" w:type="dxa"/>
            <w:noWrap/>
            <w:hideMark/>
          </w:tcPr>
          <w:p w14:paraId="603FC948" w14:textId="3B46DD5D"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c>
          <w:tcPr>
            <w:tcW w:w="926" w:type="dxa"/>
            <w:noWrap/>
            <w:hideMark/>
          </w:tcPr>
          <w:p w14:paraId="0A19C459" w14:textId="637D8C85"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r>
      <w:tr w:rsidR="00D257D6" w:rsidRPr="00EE41C6" w14:paraId="404DA7FE" w14:textId="77777777" w:rsidTr="00A45DDF">
        <w:tblPrEx>
          <w:jc w:val="left"/>
        </w:tblPrEx>
        <w:trPr>
          <w:trHeight w:val="300"/>
        </w:trPr>
        <w:tc>
          <w:tcPr>
            <w:tcW w:w="1066" w:type="dxa"/>
            <w:noWrap/>
            <w:hideMark/>
          </w:tcPr>
          <w:p w14:paraId="04E2C46A"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Solar</w:t>
            </w:r>
          </w:p>
        </w:tc>
        <w:tc>
          <w:tcPr>
            <w:tcW w:w="1310" w:type="dxa"/>
            <w:noWrap/>
            <w:hideMark/>
          </w:tcPr>
          <w:p w14:paraId="0A95C1DB" w14:textId="7B3DE04C"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Photovoltaic with storage</w:t>
            </w:r>
          </w:p>
        </w:tc>
        <w:tc>
          <w:tcPr>
            <w:tcW w:w="1216" w:type="dxa"/>
            <w:noWrap/>
            <w:hideMark/>
          </w:tcPr>
          <w:p w14:paraId="2E3AB841"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Initial-future-year</w:t>
            </w:r>
          </w:p>
        </w:tc>
        <w:tc>
          <w:tcPr>
            <w:tcW w:w="836" w:type="dxa"/>
            <w:noWrap/>
            <w:hideMark/>
          </w:tcPr>
          <w:p w14:paraId="1DBB4E99"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30</w:t>
            </w:r>
          </w:p>
        </w:tc>
        <w:tc>
          <w:tcPr>
            <w:tcW w:w="821" w:type="dxa"/>
            <w:noWrap/>
            <w:hideMark/>
          </w:tcPr>
          <w:p w14:paraId="35C30F86" w14:textId="28A6FA46"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c>
          <w:tcPr>
            <w:tcW w:w="926" w:type="dxa"/>
            <w:noWrap/>
            <w:hideMark/>
          </w:tcPr>
          <w:p w14:paraId="173751E6" w14:textId="6284BEC1"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r>
      <w:tr w:rsidR="00D257D6" w:rsidRPr="00EE41C6" w14:paraId="36DD14E4" w14:textId="77777777" w:rsidTr="00A45DDF">
        <w:tblPrEx>
          <w:jc w:val="left"/>
        </w:tblPrEx>
        <w:trPr>
          <w:trHeight w:val="300"/>
        </w:trPr>
        <w:tc>
          <w:tcPr>
            <w:tcW w:w="1066" w:type="dxa"/>
            <w:noWrap/>
          </w:tcPr>
          <w:p w14:paraId="069EB194"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Solar</w:t>
            </w:r>
          </w:p>
        </w:tc>
        <w:tc>
          <w:tcPr>
            <w:tcW w:w="1310" w:type="dxa"/>
            <w:noWrap/>
          </w:tcPr>
          <w:p w14:paraId="110F3510" w14:textId="113887A1"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Concentrated solar power with storage</w:t>
            </w:r>
          </w:p>
        </w:tc>
        <w:tc>
          <w:tcPr>
            <w:tcW w:w="1216" w:type="dxa"/>
            <w:noWrap/>
          </w:tcPr>
          <w:p w14:paraId="0F73666E"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Initial-future-year</w:t>
            </w:r>
          </w:p>
        </w:tc>
        <w:tc>
          <w:tcPr>
            <w:tcW w:w="836" w:type="dxa"/>
            <w:noWrap/>
          </w:tcPr>
          <w:p w14:paraId="592D459A"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30</w:t>
            </w:r>
          </w:p>
        </w:tc>
        <w:tc>
          <w:tcPr>
            <w:tcW w:w="821" w:type="dxa"/>
          </w:tcPr>
          <w:p w14:paraId="38D41543" w14:textId="66B6070F"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c>
          <w:tcPr>
            <w:tcW w:w="926" w:type="dxa"/>
          </w:tcPr>
          <w:p w14:paraId="3B408FE5" w14:textId="5B2B1941"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r>
      <w:tr w:rsidR="00D257D6" w:rsidRPr="00EE41C6" w14:paraId="6794286A" w14:textId="77777777" w:rsidTr="00A45DDF">
        <w:tblPrEx>
          <w:jc w:val="left"/>
        </w:tblPrEx>
        <w:trPr>
          <w:trHeight w:val="300"/>
        </w:trPr>
        <w:tc>
          <w:tcPr>
            <w:tcW w:w="1066" w:type="dxa"/>
            <w:noWrap/>
          </w:tcPr>
          <w:p w14:paraId="4CF6C3FE"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Wind</w:t>
            </w:r>
          </w:p>
        </w:tc>
        <w:tc>
          <w:tcPr>
            <w:tcW w:w="1310" w:type="dxa"/>
            <w:noWrap/>
          </w:tcPr>
          <w:p w14:paraId="31C9CD7A" w14:textId="7B589681"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Wind offshore</w:t>
            </w:r>
          </w:p>
        </w:tc>
        <w:tc>
          <w:tcPr>
            <w:tcW w:w="1216" w:type="dxa"/>
            <w:noWrap/>
          </w:tcPr>
          <w:p w14:paraId="25DC91DF"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Final-calibration-year</w:t>
            </w:r>
          </w:p>
        </w:tc>
        <w:tc>
          <w:tcPr>
            <w:tcW w:w="836" w:type="dxa"/>
            <w:noWrap/>
          </w:tcPr>
          <w:p w14:paraId="19D4D59B"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25</w:t>
            </w:r>
          </w:p>
        </w:tc>
        <w:tc>
          <w:tcPr>
            <w:tcW w:w="821" w:type="dxa"/>
          </w:tcPr>
          <w:p w14:paraId="15135AA0" w14:textId="7039A842"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c>
          <w:tcPr>
            <w:tcW w:w="926" w:type="dxa"/>
          </w:tcPr>
          <w:p w14:paraId="22887243" w14:textId="1F74BBBD"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r>
      <w:tr w:rsidR="00D257D6" w:rsidRPr="00EE41C6" w14:paraId="4B6417C0" w14:textId="77777777" w:rsidTr="00A45DDF">
        <w:tblPrEx>
          <w:jc w:val="left"/>
        </w:tblPrEx>
        <w:trPr>
          <w:trHeight w:val="300"/>
        </w:trPr>
        <w:tc>
          <w:tcPr>
            <w:tcW w:w="1066" w:type="dxa"/>
            <w:noWrap/>
            <w:hideMark/>
          </w:tcPr>
          <w:p w14:paraId="39DF4D90"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Wind</w:t>
            </w:r>
          </w:p>
        </w:tc>
        <w:tc>
          <w:tcPr>
            <w:tcW w:w="1310" w:type="dxa"/>
            <w:noWrap/>
            <w:hideMark/>
          </w:tcPr>
          <w:p w14:paraId="46AF6C19" w14:textId="6AA6F122"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Wind offshore</w:t>
            </w:r>
          </w:p>
        </w:tc>
        <w:tc>
          <w:tcPr>
            <w:tcW w:w="1216" w:type="dxa"/>
            <w:noWrap/>
            <w:hideMark/>
          </w:tcPr>
          <w:p w14:paraId="52D2CC4E"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Initial-future-year</w:t>
            </w:r>
          </w:p>
        </w:tc>
        <w:tc>
          <w:tcPr>
            <w:tcW w:w="836" w:type="dxa"/>
            <w:noWrap/>
            <w:hideMark/>
          </w:tcPr>
          <w:p w14:paraId="7BF4A246" w14:textId="77777777"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25</w:t>
            </w:r>
          </w:p>
        </w:tc>
        <w:tc>
          <w:tcPr>
            <w:tcW w:w="821" w:type="dxa"/>
          </w:tcPr>
          <w:p w14:paraId="730264BE" w14:textId="6EF8D5B3"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c>
          <w:tcPr>
            <w:tcW w:w="926" w:type="dxa"/>
          </w:tcPr>
          <w:p w14:paraId="3DDFBD0B" w14:textId="5C53156E" w:rsidR="00D257D6" w:rsidRPr="00EE41C6" w:rsidRDefault="00D257D6" w:rsidP="00D257D6">
            <w:pPr>
              <w:rPr>
                <w:rFonts w:ascii="Times New Roman" w:hAnsi="Times New Roman" w:cs="Times New Roman"/>
                <w:sz w:val="18"/>
                <w:szCs w:val="18"/>
              </w:rPr>
            </w:pPr>
            <w:r w:rsidRPr="00EE41C6">
              <w:rPr>
                <w:rFonts w:ascii="Times New Roman" w:hAnsi="Times New Roman" w:cs="Times New Roman"/>
                <w:sz w:val="18"/>
                <w:szCs w:val="18"/>
              </w:rPr>
              <w:t>-</w:t>
            </w:r>
          </w:p>
        </w:tc>
      </w:tr>
    </w:tbl>
    <w:p w14:paraId="67A1DFAB" w14:textId="020089B3" w:rsidR="00720A7B" w:rsidRPr="00EE41C6" w:rsidRDefault="0068007A" w:rsidP="00405DA1">
      <w:pPr>
        <w:spacing w:line="480" w:lineRule="auto"/>
        <w:rPr>
          <w:rFonts w:ascii="Times New Roman" w:hAnsi="Times New Roman" w:cs="Times New Roman"/>
          <w:sz w:val="18"/>
          <w:szCs w:val="18"/>
        </w:rPr>
      </w:pPr>
      <w:r w:rsidRPr="00EE41C6">
        <w:rPr>
          <w:rFonts w:ascii="Times New Roman" w:hAnsi="Times New Roman" w:cs="Times New Roman"/>
          <w:sz w:val="18"/>
          <w:szCs w:val="18"/>
        </w:rPr>
        <w:t xml:space="preserve">Note: lifetime: maximum lifetime of cohort. If no retirement function is used; the entire cohort is retired in this number of years. </w:t>
      </w:r>
      <w:proofErr w:type="spellStart"/>
      <w:r w:rsidRPr="00EE41C6">
        <w:rPr>
          <w:rFonts w:ascii="Times New Roman" w:hAnsi="Times New Roman" w:cs="Times New Roman"/>
          <w:sz w:val="18"/>
          <w:szCs w:val="18"/>
        </w:rPr>
        <w:t>half life</w:t>
      </w:r>
      <w:proofErr w:type="spellEnd"/>
      <w:r w:rsidRPr="00EE41C6">
        <w:rPr>
          <w:rFonts w:ascii="Times New Roman" w:hAnsi="Times New Roman" w:cs="Times New Roman"/>
          <w:sz w:val="18"/>
          <w:szCs w:val="18"/>
        </w:rPr>
        <w:t>: number of years at which 50% of the cohort is retired; using the s-curve-shutdown-decider retirement function. steepness: shape parameter used by the s-curve-shutdown-decider retirement function.</w:t>
      </w:r>
    </w:p>
    <w:p w14:paraId="686B370D" w14:textId="7ABB1746" w:rsidR="0068007A" w:rsidRPr="00EE41C6" w:rsidRDefault="00DB6449" w:rsidP="00DB6449">
      <w:pPr>
        <w:pStyle w:val="Caption"/>
        <w:jc w:val="center"/>
        <w:rPr>
          <w:rFonts w:ascii="Times New Roman" w:hAnsi="Times New Roman" w:cs="Times New Roman"/>
        </w:rPr>
      </w:pPr>
      <w:bookmarkStart w:id="41" w:name="_Toc167274034"/>
      <w:r w:rsidRPr="00EE41C6">
        <w:t xml:space="preserve">Supplementary Table </w:t>
      </w:r>
      <w:fldSimple w:instr=" SEQ Supplementary_Table \* ARABIC ">
        <w:r w:rsidR="008628F3" w:rsidRPr="00EE41C6">
          <w:rPr>
            <w:noProof/>
          </w:rPr>
          <w:t>9</w:t>
        </w:r>
      </w:fldSimple>
      <w:r w:rsidRPr="00EE41C6">
        <w:t xml:space="preserve"> </w:t>
      </w:r>
      <w:r w:rsidR="0068007A" w:rsidRPr="00EE41C6">
        <w:rPr>
          <w:rFonts w:ascii="Times New Roman" w:hAnsi="Times New Roman" w:cs="Times New Roman"/>
        </w:rPr>
        <w:t xml:space="preserve"> Industrial energy use default efficiencies</w:t>
      </w:r>
      <w:bookmarkEnd w:id="41"/>
    </w:p>
    <w:tbl>
      <w:tblPr>
        <w:tblStyle w:val="TableGrid"/>
        <w:tblW w:w="0" w:type="auto"/>
        <w:jc w:val="center"/>
        <w:tblLook w:val="04A0" w:firstRow="1" w:lastRow="0" w:firstColumn="1" w:lastColumn="0" w:noHBand="0" w:noVBand="1"/>
      </w:tblPr>
      <w:tblGrid>
        <w:gridCol w:w="1255"/>
        <w:gridCol w:w="1790"/>
        <w:gridCol w:w="1461"/>
        <w:gridCol w:w="891"/>
        <w:gridCol w:w="676"/>
        <w:gridCol w:w="676"/>
        <w:gridCol w:w="676"/>
        <w:gridCol w:w="676"/>
      </w:tblGrid>
      <w:tr w:rsidR="0068007A" w:rsidRPr="00EE41C6" w14:paraId="39780A14" w14:textId="77777777" w:rsidTr="00726652">
        <w:trPr>
          <w:trHeight w:val="300"/>
          <w:jc w:val="center"/>
        </w:trPr>
        <w:tc>
          <w:tcPr>
            <w:tcW w:w="1255" w:type="dxa"/>
            <w:noWrap/>
            <w:hideMark/>
          </w:tcPr>
          <w:p w14:paraId="742BCF0D"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Technology</w:t>
            </w:r>
          </w:p>
        </w:tc>
        <w:tc>
          <w:tcPr>
            <w:tcW w:w="1790" w:type="dxa"/>
            <w:noWrap/>
            <w:hideMark/>
          </w:tcPr>
          <w:p w14:paraId="4FB3240D"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Energy input</w:t>
            </w:r>
          </w:p>
        </w:tc>
        <w:tc>
          <w:tcPr>
            <w:tcW w:w="1461" w:type="dxa"/>
            <w:noWrap/>
            <w:hideMark/>
          </w:tcPr>
          <w:p w14:paraId="267AEA28"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Secondary output</w:t>
            </w:r>
          </w:p>
        </w:tc>
        <w:tc>
          <w:tcPr>
            <w:tcW w:w="886" w:type="dxa"/>
            <w:noWrap/>
            <w:hideMark/>
          </w:tcPr>
          <w:p w14:paraId="5475B56E"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1971</w:t>
            </w:r>
          </w:p>
        </w:tc>
        <w:tc>
          <w:tcPr>
            <w:tcW w:w="676" w:type="dxa"/>
            <w:noWrap/>
            <w:hideMark/>
          </w:tcPr>
          <w:p w14:paraId="42BE1FF1"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2020</w:t>
            </w:r>
          </w:p>
        </w:tc>
        <w:tc>
          <w:tcPr>
            <w:tcW w:w="676" w:type="dxa"/>
            <w:noWrap/>
            <w:hideMark/>
          </w:tcPr>
          <w:p w14:paraId="12DC385F"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2050</w:t>
            </w:r>
          </w:p>
        </w:tc>
        <w:tc>
          <w:tcPr>
            <w:tcW w:w="676" w:type="dxa"/>
            <w:noWrap/>
            <w:hideMark/>
          </w:tcPr>
          <w:p w14:paraId="256B437E"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2080</w:t>
            </w:r>
          </w:p>
        </w:tc>
        <w:tc>
          <w:tcPr>
            <w:tcW w:w="676" w:type="dxa"/>
            <w:noWrap/>
            <w:hideMark/>
          </w:tcPr>
          <w:p w14:paraId="1F090E58"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2100</w:t>
            </w:r>
          </w:p>
        </w:tc>
      </w:tr>
      <w:tr w:rsidR="0068007A" w:rsidRPr="00EE41C6" w14:paraId="04BBDAEC" w14:textId="77777777" w:rsidTr="00726652">
        <w:trPr>
          <w:trHeight w:val="300"/>
          <w:jc w:val="center"/>
        </w:trPr>
        <w:tc>
          <w:tcPr>
            <w:tcW w:w="1255" w:type="dxa"/>
            <w:noWrap/>
            <w:hideMark/>
          </w:tcPr>
          <w:p w14:paraId="4D277F60"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Biomass</w:t>
            </w:r>
          </w:p>
        </w:tc>
        <w:tc>
          <w:tcPr>
            <w:tcW w:w="3251" w:type="dxa"/>
            <w:gridSpan w:val="2"/>
            <w:noWrap/>
            <w:hideMark/>
          </w:tcPr>
          <w:p w14:paraId="7F4E651B"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Delivered biomass</w:t>
            </w:r>
          </w:p>
        </w:tc>
        <w:tc>
          <w:tcPr>
            <w:tcW w:w="886" w:type="dxa"/>
            <w:noWrap/>
            <w:hideMark/>
          </w:tcPr>
          <w:p w14:paraId="7D89B7D6"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0.746423</w:t>
            </w:r>
          </w:p>
        </w:tc>
        <w:tc>
          <w:tcPr>
            <w:tcW w:w="676" w:type="dxa"/>
            <w:noWrap/>
            <w:hideMark/>
          </w:tcPr>
          <w:p w14:paraId="275E96D6"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0.797</w:t>
            </w:r>
          </w:p>
        </w:tc>
        <w:tc>
          <w:tcPr>
            <w:tcW w:w="676" w:type="dxa"/>
            <w:noWrap/>
            <w:hideMark/>
          </w:tcPr>
          <w:p w14:paraId="72CD6096"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0.81</w:t>
            </w:r>
          </w:p>
        </w:tc>
        <w:tc>
          <w:tcPr>
            <w:tcW w:w="676" w:type="dxa"/>
            <w:noWrap/>
            <w:hideMark/>
          </w:tcPr>
          <w:p w14:paraId="4BFF5A52"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0.823</w:t>
            </w:r>
          </w:p>
        </w:tc>
        <w:tc>
          <w:tcPr>
            <w:tcW w:w="676" w:type="dxa"/>
            <w:noWrap/>
            <w:hideMark/>
          </w:tcPr>
          <w:p w14:paraId="1E38D123"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0.828</w:t>
            </w:r>
          </w:p>
        </w:tc>
      </w:tr>
      <w:tr w:rsidR="0068007A" w:rsidRPr="00EE41C6" w14:paraId="7349E0A6" w14:textId="77777777" w:rsidTr="00726652">
        <w:trPr>
          <w:trHeight w:val="300"/>
          <w:jc w:val="center"/>
        </w:trPr>
        <w:tc>
          <w:tcPr>
            <w:tcW w:w="1255" w:type="dxa"/>
            <w:noWrap/>
            <w:hideMark/>
          </w:tcPr>
          <w:p w14:paraId="35CA53D8" w14:textId="7ADD585F"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Biomass cogen</w:t>
            </w:r>
            <w:r w:rsidR="00720A7B" w:rsidRPr="00EE41C6">
              <w:rPr>
                <w:rFonts w:ascii="Times New Roman" w:hAnsi="Times New Roman" w:cs="Times New Roman"/>
                <w:sz w:val="18"/>
                <w:szCs w:val="18"/>
              </w:rPr>
              <w:t>eration</w:t>
            </w:r>
          </w:p>
        </w:tc>
        <w:tc>
          <w:tcPr>
            <w:tcW w:w="1790" w:type="dxa"/>
            <w:noWrap/>
            <w:hideMark/>
          </w:tcPr>
          <w:p w14:paraId="2DFF6395"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Delivered biomass</w:t>
            </w:r>
          </w:p>
        </w:tc>
        <w:tc>
          <w:tcPr>
            <w:tcW w:w="1461" w:type="dxa"/>
            <w:noWrap/>
            <w:hideMark/>
          </w:tcPr>
          <w:p w14:paraId="399C0400"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886" w:type="dxa"/>
            <w:noWrap/>
            <w:hideMark/>
          </w:tcPr>
          <w:p w14:paraId="315248AC"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0.515677</w:t>
            </w:r>
          </w:p>
        </w:tc>
        <w:tc>
          <w:tcPr>
            <w:tcW w:w="676" w:type="dxa"/>
            <w:noWrap/>
            <w:hideMark/>
          </w:tcPr>
          <w:p w14:paraId="3CBAABB4"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0.56</w:t>
            </w:r>
          </w:p>
        </w:tc>
        <w:tc>
          <w:tcPr>
            <w:tcW w:w="676" w:type="dxa"/>
            <w:noWrap/>
            <w:hideMark/>
          </w:tcPr>
          <w:p w14:paraId="6059DB3A"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0.577</w:t>
            </w:r>
          </w:p>
        </w:tc>
        <w:tc>
          <w:tcPr>
            <w:tcW w:w="676" w:type="dxa"/>
            <w:noWrap/>
            <w:hideMark/>
          </w:tcPr>
          <w:p w14:paraId="723C1ACE"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0.595</w:t>
            </w:r>
          </w:p>
        </w:tc>
        <w:tc>
          <w:tcPr>
            <w:tcW w:w="676" w:type="dxa"/>
            <w:noWrap/>
            <w:hideMark/>
          </w:tcPr>
          <w:p w14:paraId="06DD4FC5"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0.604</w:t>
            </w:r>
          </w:p>
        </w:tc>
      </w:tr>
      <w:tr w:rsidR="0068007A" w:rsidRPr="00EE41C6" w14:paraId="6FCADB95" w14:textId="77777777" w:rsidTr="00726652">
        <w:trPr>
          <w:trHeight w:val="300"/>
          <w:jc w:val="center"/>
        </w:trPr>
        <w:tc>
          <w:tcPr>
            <w:tcW w:w="1255" w:type="dxa"/>
            <w:noWrap/>
            <w:hideMark/>
          </w:tcPr>
          <w:p w14:paraId="743C4753"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Coal</w:t>
            </w:r>
          </w:p>
        </w:tc>
        <w:tc>
          <w:tcPr>
            <w:tcW w:w="3251" w:type="dxa"/>
            <w:gridSpan w:val="2"/>
            <w:noWrap/>
            <w:hideMark/>
          </w:tcPr>
          <w:p w14:paraId="47892148"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Delivered coal</w:t>
            </w:r>
          </w:p>
        </w:tc>
        <w:tc>
          <w:tcPr>
            <w:tcW w:w="886" w:type="dxa"/>
            <w:noWrap/>
            <w:hideMark/>
          </w:tcPr>
          <w:p w14:paraId="72CE90CF"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0.80808</w:t>
            </w:r>
          </w:p>
        </w:tc>
        <w:tc>
          <w:tcPr>
            <w:tcW w:w="676" w:type="dxa"/>
            <w:noWrap/>
            <w:hideMark/>
          </w:tcPr>
          <w:p w14:paraId="7996443D"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0.891</w:t>
            </w:r>
          </w:p>
        </w:tc>
        <w:tc>
          <w:tcPr>
            <w:tcW w:w="676" w:type="dxa"/>
            <w:noWrap/>
            <w:hideMark/>
          </w:tcPr>
          <w:p w14:paraId="14C4DFDC"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0.909</w:t>
            </w:r>
          </w:p>
        </w:tc>
        <w:tc>
          <w:tcPr>
            <w:tcW w:w="676" w:type="dxa"/>
            <w:noWrap/>
            <w:hideMark/>
          </w:tcPr>
          <w:p w14:paraId="5FCCAC99"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0.926</w:t>
            </w:r>
          </w:p>
        </w:tc>
        <w:tc>
          <w:tcPr>
            <w:tcW w:w="676" w:type="dxa"/>
            <w:noWrap/>
            <w:hideMark/>
          </w:tcPr>
          <w:p w14:paraId="4A0653D4"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0.936</w:t>
            </w:r>
          </w:p>
        </w:tc>
      </w:tr>
      <w:tr w:rsidR="0068007A" w:rsidRPr="00EE41C6" w14:paraId="70419A7A" w14:textId="77777777" w:rsidTr="00726652">
        <w:trPr>
          <w:trHeight w:val="300"/>
          <w:jc w:val="center"/>
        </w:trPr>
        <w:tc>
          <w:tcPr>
            <w:tcW w:w="1255" w:type="dxa"/>
            <w:noWrap/>
            <w:hideMark/>
          </w:tcPr>
          <w:p w14:paraId="5456CEBA" w14:textId="0526708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Coal cogen</w:t>
            </w:r>
            <w:r w:rsidR="00720A7B" w:rsidRPr="00EE41C6">
              <w:rPr>
                <w:rFonts w:ascii="Times New Roman" w:hAnsi="Times New Roman" w:cs="Times New Roman"/>
                <w:sz w:val="18"/>
                <w:szCs w:val="18"/>
              </w:rPr>
              <w:t>eration</w:t>
            </w:r>
          </w:p>
        </w:tc>
        <w:tc>
          <w:tcPr>
            <w:tcW w:w="1790" w:type="dxa"/>
            <w:noWrap/>
            <w:hideMark/>
          </w:tcPr>
          <w:p w14:paraId="2145891E"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Delivered coal</w:t>
            </w:r>
          </w:p>
        </w:tc>
        <w:tc>
          <w:tcPr>
            <w:tcW w:w="1461" w:type="dxa"/>
            <w:noWrap/>
            <w:hideMark/>
          </w:tcPr>
          <w:p w14:paraId="03AA0BAF"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886" w:type="dxa"/>
            <w:noWrap/>
            <w:hideMark/>
          </w:tcPr>
          <w:p w14:paraId="2D8EEC80"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0.582005</w:t>
            </w:r>
          </w:p>
        </w:tc>
        <w:tc>
          <w:tcPr>
            <w:tcW w:w="676" w:type="dxa"/>
            <w:noWrap/>
            <w:hideMark/>
          </w:tcPr>
          <w:p w14:paraId="5F13BF9E"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0.629</w:t>
            </w:r>
          </w:p>
        </w:tc>
        <w:tc>
          <w:tcPr>
            <w:tcW w:w="676" w:type="dxa"/>
            <w:noWrap/>
            <w:hideMark/>
          </w:tcPr>
          <w:p w14:paraId="13AAF76E"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0.644</w:t>
            </w:r>
          </w:p>
        </w:tc>
        <w:tc>
          <w:tcPr>
            <w:tcW w:w="676" w:type="dxa"/>
            <w:noWrap/>
            <w:hideMark/>
          </w:tcPr>
          <w:p w14:paraId="20E2E113"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0.661</w:t>
            </w:r>
          </w:p>
        </w:tc>
        <w:tc>
          <w:tcPr>
            <w:tcW w:w="676" w:type="dxa"/>
            <w:noWrap/>
            <w:hideMark/>
          </w:tcPr>
          <w:p w14:paraId="3AE14C87"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0.67</w:t>
            </w:r>
          </w:p>
        </w:tc>
      </w:tr>
      <w:tr w:rsidR="0068007A" w:rsidRPr="00EE41C6" w14:paraId="57C00D29" w14:textId="77777777" w:rsidTr="00726652">
        <w:trPr>
          <w:trHeight w:val="300"/>
          <w:jc w:val="center"/>
        </w:trPr>
        <w:tc>
          <w:tcPr>
            <w:tcW w:w="1255" w:type="dxa"/>
            <w:noWrap/>
            <w:hideMark/>
          </w:tcPr>
          <w:p w14:paraId="1FD02672"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District heat</w:t>
            </w:r>
          </w:p>
        </w:tc>
        <w:tc>
          <w:tcPr>
            <w:tcW w:w="3251" w:type="dxa"/>
            <w:gridSpan w:val="2"/>
            <w:noWrap/>
            <w:hideMark/>
          </w:tcPr>
          <w:p w14:paraId="0F5F9B17"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District heat</w:t>
            </w:r>
          </w:p>
        </w:tc>
        <w:tc>
          <w:tcPr>
            <w:tcW w:w="886" w:type="dxa"/>
            <w:noWrap/>
            <w:hideMark/>
          </w:tcPr>
          <w:p w14:paraId="61CD7342"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w:t>
            </w:r>
          </w:p>
        </w:tc>
        <w:tc>
          <w:tcPr>
            <w:tcW w:w="676" w:type="dxa"/>
            <w:noWrap/>
            <w:hideMark/>
          </w:tcPr>
          <w:p w14:paraId="21CB83C5"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w:t>
            </w:r>
          </w:p>
        </w:tc>
        <w:tc>
          <w:tcPr>
            <w:tcW w:w="676" w:type="dxa"/>
            <w:noWrap/>
            <w:hideMark/>
          </w:tcPr>
          <w:p w14:paraId="178AD969"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w:t>
            </w:r>
          </w:p>
        </w:tc>
        <w:tc>
          <w:tcPr>
            <w:tcW w:w="676" w:type="dxa"/>
            <w:noWrap/>
            <w:hideMark/>
          </w:tcPr>
          <w:p w14:paraId="44C35781"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w:t>
            </w:r>
          </w:p>
        </w:tc>
        <w:tc>
          <w:tcPr>
            <w:tcW w:w="676" w:type="dxa"/>
            <w:noWrap/>
            <w:hideMark/>
          </w:tcPr>
          <w:p w14:paraId="1500B8D9"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w:t>
            </w:r>
          </w:p>
        </w:tc>
      </w:tr>
      <w:tr w:rsidR="0068007A" w:rsidRPr="00EE41C6" w14:paraId="31373D82" w14:textId="77777777" w:rsidTr="00726652">
        <w:trPr>
          <w:trHeight w:val="300"/>
          <w:jc w:val="center"/>
        </w:trPr>
        <w:tc>
          <w:tcPr>
            <w:tcW w:w="1255" w:type="dxa"/>
            <w:noWrap/>
            <w:hideMark/>
          </w:tcPr>
          <w:p w14:paraId="7DC5BDCD"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3251" w:type="dxa"/>
            <w:gridSpan w:val="2"/>
            <w:noWrap/>
            <w:hideMark/>
          </w:tcPr>
          <w:p w14:paraId="260F4E7F" w14:textId="6AEDBCE8" w:rsidR="0068007A" w:rsidRPr="00EE41C6" w:rsidRDefault="00720A7B" w:rsidP="00150F6A">
            <w:pPr>
              <w:rPr>
                <w:rFonts w:ascii="Times New Roman" w:hAnsi="Times New Roman" w:cs="Times New Roman"/>
                <w:sz w:val="18"/>
                <w:szCs w:val="18"/>
              </w:rPr>
            </w:pPr>
            <w:r w:rsidRPr="00EE41C6">
              <w:rPr>
                <w:rFonts w:ascii="Times New Roman" w:hAnsi="Times New Roman" w:cs="Times New Roman"/>
                <w:sz w:val="18"/>
                <w:szCs w:val="18"/>
              </w:rPr>
              <w:t>Electricity (industry)</w:t>
            </w:r>
          </w:p>
        </w:tc>
        <w:tc>
          <w:tcPr>
            <w:tcW w:w="886" w:type="dxa"/>
            <w:noWrap/>
            <w:hideMark/>
          </w:tcPr>
          <w:p w14:paraId="34431CB4"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0.934197</w:t>
            </w:r>
          </w:p>
        </w:tc>
        <w:tc>
          <w:tcPr>
            <w:tcW w:w="676" w:type="dxa"/>
            <w:noWrap/>
            <w:hideMark/>
          </w:tcPr>
          <w:p w14:paraId="0DB0F292"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1.015</w:t>
            </w:r>
          </w:p>
        </w:tc>
        <w:tc>
          <w:tcPr>
            <w:tcW w:w="676" w:type="dxa"/>
            <w:noWrap/>
            <w:hideMark/>
          </w:tcPr>
          <w:p w14:paraId="585681F6"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1.046</w:t>
            </w:r>
          </w:p>
        </w:tc>
        <w:tc>
          <w:tcPr>
            <w:tcW w:w="676" w:type="dxa"/>
            <w:noWrap/>
            <w:hideMark/>
          </w:tcPr>
          <w:p w14:paraId="09C499AE"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1.078</w:t>
            </w:r>
          </w:p>
        </w:tc>
        <w:tc>
          <w:tcPr>
            <w:tcW w:w="676" w:type="dxa"/>
            <w:noWrap/>
            <w:hideMark/>
          </w:tcPr>
          <w:p w14:paraId="56485D7C"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1.094</w:t>
            </w:r>
          </w:p>
        </w:tc>
      </w:tr>
      <w:tr w:rsidR="0068007A" w:rsidRPr="00EE41C6" w14:paraId="070EC507" w14:textId="77777777" w:rsidTr="00726652">
        <w:trPr>
          <w:trHeight w:val="300"/>
          <w:jc w:val="center"/>
        </w:trPr>
        <w:tc>
          <w:tcPr>
            <w:tcW w:w="1255" w:type="dxa"/>
            <w:noWrap/>
            <w:hideMark/>
          </w:tcPr>
          <w:p w14:paraId="2F3F6770"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Gas</w:t>
            </w:r>
          </w:p>
        </w:tc>
        <w:tc>
          <w:tcPr>
            <w:tcW w:w="3251" w:type="dxa"/>
            <w:gridSpan w:val="2"/>
            <w:noWrap/>
            <w:hideMark/>
          </w:tcPr>
          <w:p w14:paraId="2E700AE8"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Wholesale gas</w:t>
            </w:r>
          </w:p>
        </w:tc>
        <w:tc>
          <w:tcPr>
            <w:tcW w:w="886" w:type="dxa"/>
            <w:noWrap/>
            <w:hideMark/>
          </w:tcPr>
          <w:p w14:paraId="1B5F2A3E"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0.82583</w:t>
            </w:r>
          </w:p>
        </w:tc>
        <w:tc>
          <w:tcPr>
            <w:tcW w:w="676" w:type="dxa"/>
            <w:noWrap/>
            <w:hideMark/>
          </w:tcPr>
          <w:p w14:paraId="2CE45CB3"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0.898</w:t>
            </w:r>
          </w:p>
        </w:tc>
        <w:tc>
          <w:tcPr>
            <w:tcW w:w="676" w:type="dxa"/>
            <w:noWrap/>
            <w:hideMark/>
          </w:tcPr>
          <w:p w14:paraId="4FC50024"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0.926</w:t>
            </w:r>
          </w:p>
        </w:tc>
        <w:tc>
          <w:tcPr>
            <w:tcW w:w="676" w:type="dxa"/>
            <w:noWrap/>
            <w:hideMark/>
          </w:tcPr>
          <w:p w14:paraId="53A338FF"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0.955</w:t>
            </w:r>
          </w:p>
        </w:tc>
        <w:tc>
          <w:tcPr>
            <w:tcW w:w="676" w:type="dxa"/>
            <w:noWrap/>
            <w:hideMark/>
          </w:tcPr>
          <w:p w14:paraId="37CE7943"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0.969</w:t>
            </w:r>
          </w:p>
        </w:tc>
      </w:tr>
      <w:tr w:rsidR="0068007A" w:rsidRPr="00EE41C6" w14:paraId="3C222474" w14:textId="77777777" w:rsidTr="00726652">
        <w:trPr>
          <w:trHeight w:val="300"/>
          <w:jc w:val="center"/>
        </w:trPr>
        <w:tc>
          <w:tcPr>
            <w:tcW w:w="1255" w:type="dxa"/>
            <w:noWrap/>
            <w:hideMark/>
          </w:tcPr>
          <w:p w14:paraId="5CA94E2C" w14:textId="05127E7D"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Gas cogen</w:t>
            </w:r>
            <w:r w:rsidR="00720A7B" w:rsidRPr="00EE41C6">
              <w:rPr>
                <w:rFonts w:ascii="Times New Roman" w:hAnsi="Times New Roman" w:cs="Times New Roman"/>
                <w:sz w:val="18"/>
                <w:szCs w:val="18"/>
              </w:rPr>
              <w:t>eration</w:t>
            </w:r>
          </w:p>
        </w:tc>
        <w:tc>
          <w:tcPr>
            <w:tcW w:w="1790" w:type="dxa"/>
            <w:noWrap/>
            <w:hideMark/>
          </w:tcPr>
          <w:p w14:paraId="6628C367"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Wholesale gas</w:t>
            </w:r>
          </w:p>
        </w:tc>
        <w:tc>
          <w:tcPr>
            <w:tcW w:w="1461" w:type="dxa"/>
            <w:noWrap/>
            <w:hideMark/>
          </w:tcPr>
          <w:p w14:paraId="44DD22F4"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886" w:type="dxa"/>
            <w:noWrap/>
            <w:hideMark/>
          </w:tcPr>
          <w:p w14:paraId="7292D0FD"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0.563321</w:t>
            </w:r>
          </w:p>
        </w:tc>
        <w:tc>
          <w:tcPr>
            <w:tcW w:w="676" w:type="dxa"/>
            <w:noWrap/>
            <w:hideMark/>
          </w:tcPr>
          <w:p w14:paraId="05687EC3"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0.612</w:t>
            </w:r>
          </w:p>
        </w:tc>
        <w:tc>
          <w:tcPr>
            <w:tcW w:w="676" w:type="dxa"/>
            <w:noWrap/>
            <w:hideMark/>
          </w:tcPr>
          <w:p w14:paraId="14D3B444"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0.63</w:t>
            </w:r>
          </w:p>
        </w:tc>
        <w:tc>
          <w:tcPr>
            <w:tcW w:w="676" w:type="dxa"/>
            <w:noWrap/>
            <w:hideMark/>
          </w:tcPr>
          <w:p w14:paraId="18B75BBD"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0.649</w:t>
            </w:r>
          </w:p>
        </w:tc>
        <w:tc>
          <w:tcPr>
            <w:tcW w:w="676" w:type="dxa"/>
            <w:noWrap/>
            <w:hideMark/>
          </w:tcPr>
          <w:p w14:paraId="4D471CA1"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0.659</w:t>
            </w:r>
          </w:p>
        </w:tc>
      </w:tr>
      <w:tr w:rsidR="0068007A" w:rsidRPr="00EE41C6" w14:paraId="2DFD4E4F" w14:textId="77777777" w:rsidTr="00726652">
        <w:trPr>
          <w:trHeight w:val="300"/>
          <w:jc w:val="center"/>
        </w:trPr>
        <w:tc>
          <w:tcPr>
            <w:tcW w:w="1255" w:type="dxa"/>
            <w:noWrap/>
            <w:hideMark/>
          </w:tcPr>
          <w:p w14:paraId="04DD596D"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Hydrogen</w:t>
            </w:r>
          </w:p>
        </w:tc>
        <w:tc>
          <w:tcPr>
            <w:tcW w:w="3251" w:type="dxa"/>
            <w:gridSpan w:val="2"/>
            <w:noWrap/>
            <w:hideMark/>
          </w:tcPr>
          <w:p w14:paraId="3ABC5190" w14:textId="6B014B74"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H</w:t>
            </w:r>
            <w:r w:rsidR="00720A7B" w:rsidRPr="00EE41C6">
              <w:rPr>
                <w:rFonts w:ascii="Times New Roman" w:hAnsi="Times New Roman" w:cs="Times New Roman"/>
                <w:sz w:val="18"/>
                <w:szCs w:val="18"/>
              </w:rPr>
              <w:t>ydrogen</w:t>
            </w:r>
            <w:r w:rsidRPr="00EE41C6">
              <w:rPr>
                <w:rFonts w:ascii="Times New Roman" w:hAnsi="Times New Roman" w:cs="Times New Roman"/>
                <w:sz w:val="18"/>
                <w:szCs w:val="18"/>
              </w:rPr>
              <w:t xml:space="preserve"> </w:t>
            </w:r>
            <w:proofErr w:type="spellStart"/>
            <w:r w:rsidRPr="00EE41C6">
              <w:rPr>
                <w:rFonts w:ascii="Times New Roman" w:hAnsi="Times New Roman" w:cs="Times New Roman"/>
                <w:sz w:val="18"/>
                <w:szCs w:val="18"/>
              </w:rPr>
              <w:t>enduse</w:t>
            </w:r>
            <w:proofErr w:type="spellEnd"/>
          </w:p>
        </w:tc>
        <w:tc>
          <w:tcPr>
            <w:tcW w:w="886" w:type="dxa"/>
            <w:noWrap/>
            <w:hideMark/>
          </w:tcPr>
          <w:p w14:paraId="6591C62B"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w:t>
            </w:r>
          </w:p>
        </w:tc>
        <w:tc>
          <w:tcPr>
            <w:tcW w:w="676" w:type="dxa"/>
            <w:noWrap/>
            <w:hideMark/>
          </w:tcPr>
          <w:p w14:paraId="246C5D0E"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w:t>
            </w:r>
          </w:p>
        </w:tc>
        <w:tc>
          <w:tcPr>
            <w:tcW w:w="676" w:type="dxa"/>
            <w:noWrap/>
            <w:hideMark/>
          </w:tcPr>
          <w:p w14:paraId="6C3A981B"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1.03</w:t>
            </w:r>
          </w:p>
        </w:tc>
        <w:tc>
          <w:tcPr>
            <w:tcW w:w="676" w:type="dxa"/>
            <w:noWrap/>
            <w:hideMark/>
          </w:tcPr>
          <w:p w14:paraId="1EEA4297"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1.062</w:t>
            </w:r>
          </w:p>
        </w:tc>
        <w:tc>
          <w:tcPr>
            <w:tcW w:w="676" w:type="dxa"/>
            <w:noWrap/>
            <w:hideMark/>
          </w:tcPr>
          <w:p w14:paraId="1C095B39"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1.078</w:t>
            </w:r>
          </w:p>
        </w:tc>
      </w:tr>
      <w:tr w:rsidR="0068007A" w:rsidRPr="00EE41C6" w14:paraId="162D2AAA" w14:textId="77777777" w:rsidTr="00726652">
        <w:trPr>
          <w:trHeight w:val="300"/>
          <w:jc w:val="center"/>
        </w:trPr>
        <w:tc>
          <w:tcPr>
            <w:tcW w:w="1255" w:type="dxa"/>
            <w:noWrap/>
            <w:hideMark/>
          </w:tcPr>
          <w:p w14:paraId="69B1F3CE" w14:textId="3C21009C"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Hydrogen cogen</w:t>
            </w:r>
            <w:r w:rsidR="00720A7B" w:rsidRPr="00EE41C6">
              <w:rPr>
                <w:rFonts w:ascii="Times New Roman" w:hAnsi="Times New Roman" w:cs="Times New Roman"/>
                <w:sz w:val="18"/>
                <w:szCs w:val="18"/>
              </w:rPr>
              <w:t>eration</w:t>
            </w:r>
          </w:p>
        </w:tc>
        <w:tc>
          <w:tcPr>
            <w:tcW w:w="1790" w:type="dxa"/>
            <w:noWrap/>
            <w:hideMark/>
          </w:tcPr>
          <w:p w14:paraId="6AE30E22" w14:textId="2B9FB58D"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H</w:t>
            </w:r>
            <w:r w:rsidR="00720A7B" w:rsidRPr="00EE41C6">
              <w:rPr>
                <w:rFonts w:ascii="Times New Roman" w:hAnsi="Times New Roman" w:cs="Times New Roman"/>
                <w:sz w:val="18"/>
                <w:szCs w:val="18"/>
              </w:rPr>
              <w:t>ydrogen</w:t>
            </w:r>
            <w:r w:rsidRPr="00EE41C6">
              <w:rPr>
                <w:rFonts w:ascii="Times New Roman" w:hAnsi="Times New Roman" w:cs="Times New Roman"/>
                <w:sz w:val="18"/>
                <w:szCs w:val="18"/>
              </w:rPr>
              <w:t xml:space="preserve"> </w:t>
            </w:r>
            <w:proofErr w:type="spellStart"/>
            <w:r w:rsidRPr="00EE41C6">
              <w:rPr>
                <w:rFonts w:ascii="Times New Roman" w:hAnsi="Times New Roman" w:cs="Times New Roman"/>
                <w:sz w:val="18"/>
                <w:szCs w:val="18"/>
              </w:rPr>
              <w:t>enduse</w:t>
            </w:r>
            <w:proofErr w:type="spellEnd"/>
          </w:p>
        </w:tc>
        <w:tc>
          <w:tcPr>
            <w:tcW w:w="1461" w:type="dxa"/>
            <w:noWrap/>
            <w:hideMark/>
          </w:tcPr>
          <w:p w14:paraId="23A22890"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886" w:type="dxa"/>
            <w:noWrap/>
            <w:hideMark/>
          </w:tcPr>
          <w:p w14:paraId="1EFAD9AE"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0.457</w:t>
            </w:r>
          </w:p>
        </w:tc>
        <w:tc>
          <w:tcPr>
            <w:tcW w:w="676" w:type="dxa"/>
            <w:noWrap/>
            <w:hideMark/>
          </w:tcPr>
          <w:p w14:paraId="187DB8FD"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0.457</w:t>
            </w:r>
          </w:p>
        </w:tc>
        <w:tc>
          <w:tcPr>
            <w:tcW w:w="676" w:type="dxa"/>
            <w:noWrap/>
            <w:hideMark/>
          </w:tcPr>
          <w:p w14:paraId="2A2E6E0B"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0.471</w:t>
            </w:r>
          </w:p>
        </w:tc>
        <w:tc>
          <w:tcPr>
            <w:tcW w:w="676" w:type="dxa"/>
            <w:noWrap/>
            <w:hideMark/>
          </w:tcPr>
          <w:p w14:paraId="5240754F"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0.485</w:t>
            </w:r>
          </w:p>
        </w:tc>
        <w:tc>
          <w:tcPr>
            <w:tcW w:w="676" w:type="dxa"/>
            <w:noWrap/>
            <w:hideMark/>
          </w:tcPr>
          <w:p w14:paraId="0DE14553"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0.492</w:t>
            </w:r>
          </w:p>
        </w:tc>
      </w:tr>
      <w:tr w:rsidR="0068007A" w:rsidRPr="00EE41C6" w14:paraId="15DCBC76" w14:textId="77777777" w:rsidTr="00726652">
        <w:trPr>
          <w:trHeight w:val="300"/>
          <w:jc w:val="center"/>
        </w:trPr>
        <w:tc>
          <w:tcPr>
            <w:tcW w:w="1255" w:type="dxa"/>
            <w:noWrap/>
            <w:hideMark/>
          </w:tcPr>
          <w:p w14:paraId="5DCA875C"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Refined liquids</w:t>
            </w:r>
          </w:p>
        </w:tc>
        <w:tc>
          <w:tcPr>
            <w:tcW w:w="3251" w:type="dxa"/>
            <w:gridSpan w:val="2"/>
            <w:noWrap/>
            <w:hideMark/>
          </w:tcPr>
          <w:p w14:paraId="3DB7B8D4"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Refined liquids industrial</w:t>
            </w:r>
          </w:p>
        </w:tc>
        <w:tc>
          <w:tcPr>
            <w:tcW w:w="886" w:type="dxa"/>
            <w:noWrap/>
            <w:hideMark/>
          </w:tcPr>
          <w:p w14:paraId="4C3A5FC7"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0.917381</w:t>
            </w:r>
          </w:p>
        </w:tc>
        <w:tc>
          <w:tcPr>
            <w:tcW w:w="676" w:type="dxa"/>
            <w:noWrap/>
            <w:hideMark/>
          </w:tcPr>
          <w:p w14:paraId="7679290F"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1.001</w:t>
            </w:r>
          </w:p>
        </w:tc>
        <w:tc>
          <w:tcPr>
            <w:tcW w:w="676" w:type="dxa"/>
            <w:noWrap/>
            <w:hideMark/>
          </w:tcPr>
          <w:p w14:paraId="21292780"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1.033</w:t>
            </w:r>
          </w:p>
        </w:tc>
        <w:tc>
          <w:tcPr>
            <w:tcW w:w="676" w:type="dxa"/>
            <w:noWrap/>
            <w:hideMark/>
          </w:tcPr>
          <w:p w14:paraId="42DD2780"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1.062</w:t>
            </w:r>
          </w:p>
        </w:tc>
        <w:tc>
          <w:tcPr>
            <w:tcW w:w="676" w:type="dxa"/>
            <w:noWrap/>
            <w:hideMark/>
          </w:tcPr>
          <w:p w14:paraId="394136B6"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1.077</w:t>
            </w:r>
          </w:p>
        </w:tc>
      </w:tr>
      <w:tr w:rsidR="0068007A" w:rsidRPr="00EE41C6" w14:paraId="449C1240" w14:textId="77777777" w:rsidTr="00726652">
        <w:trPr>
          <w:trHeight w:val="300"/>
          <w:jc w:val="center"/>
        </w:trPr>
        <w:tc>
          <w:tcPr>
            <w:tcW w:w="1255" w:type="dxa"/>
            <w:noWrap/>
            <w:hideMark/>
          </w:tcPr>
          <w:p w14:paraId="5036B443" w14:textId="2D9ECABE"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Refined liquids cogen</w:t>
            </w:r>
            <w:r w:rsidR="00720A7B" w:rsidRPr="00EE41C6">
              <w:rPr>
                <w:rFonts w:ascii="Times New Roman" w:hAnsi="Times New Roman" w:cs="Times New Roman"/>
                <w:sz w:val="18"/>
                <w:szCs w:val="18"/>
              </w:rPr>
              <w:t>eration</w:t>
            </w:r>
          </w:p>
        </w:tc>
        <w:tc>
          <w:tcPr>
            <w:tcW w:w="1790" w:type="dxa"/>
            <w:noWrap/>
            <w:hideMark/>
          </w:tcPr>
          <w:p w14:paraId="5DAE4D6C"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Refined liquids industrial</w:t>
            </w:r>
          </w:p>
        </w:tc>
        <w:tc>
          <w:tcPr>
            <w:tcW w:w="1461" w:type="dxa"/>
            <w:noWrap/>
            <w:hideMark/>
          </w:tcPr>
          <w:p w14:paraId="02DD1556"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Electricity</w:t>
            </w:r>
          </w:p>
        </w:tc>
        <w:tc>
          <w:tcPr>
            <w:tcW w:w="886" w:type="dxa"/>
            <w:noWrap/>
            <w:hideMark/>
          </w:tcPr>
          <w:p w14:paraId="76882356"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0.565189</w:t>
            </w:r>
          </w:p>
        </w:tc>
        <w:tc>
          <w:tcPr>
            <w:tcW w:w="676" w:type="dxa"/>
            <w:noWrap/>
            <w:hideMark/>
          </w:tcPr>
          <w:p w14:paraId="5FC082B1"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0.614</w:t>
            </w:r>
          </w:p>
        </w:tc>
        <w:tc>
          <w:tcPr>
            <w:tcW w:w="676" w:type="dxa"/>
            <w:noWrap/>
            <w:hideMark/>
          </w:tcPr>
          <w:p w14:paraId="7762B928"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0.632</w:t>
            </w:r>
          </w:p>
        </w:tc>
        <w:tc>
          <w:tcPr>
            <w:tcW w:w="676" w:type="dxa"/>
            <w:noWrap/>
            <w:hideMark/>
          </w:tcPr>
          <w:p w14:paraId="21663336"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0.652</w:t>
            </w:r>
          </w:p>
        </w:tc>
        <w:tc>
          <w:tcPr>
            <w:tcW w:w="676" w:type="dxa"/>
            <w:noWrap/>
            <w:hideMark/>
          </w:tcPr>
          <w:p w14:paraId="68C765DF"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0.662</w:t>
            </w:r>
          </w:p>
        </w:tc>
      </w:tr>
      <w:tr w:rsidR="0068007A" w:rsidRPr="00EE41C6" w14:paraId="1BE287E8" w14:textId="77777777" w:rsidTr="00726652">
        <w:trPr>
          <w:trHeight w:val="300"/>
          <w:jc w:val="center"/>
        </w:trPr>
        <w:tc>
          <w:tcPr>
            <w:tcW w:w="1255" w:type="dxa"/>
            <w:noWrap/>
            <w:hideMark/>
          </w:tcPr>
          <w:p w14:paraId="3274ECDB"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lastRenderedPageBreak/>
              <w:t>Coal</w:t>
            </w:r>
          </w:p>
        </w:tc>
        <w:tc>
          <w:tcPr>
            <w:tcW w:w="3251" w:type="dxa"/>
            <w:gridSpan w:val="2"/>
            <w:noWrap/>
            <w:hideMark/>
          </w:tcPr>
          <w:p w14:paraId="4AAF4B99"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Delivered coal</w:t>
            </w:r>
          </w:p>
        </w:tc>
        <w:tc>
          <w:tcPr>
            <w:tcW w:w="886" w:type="dxa"/>
            <w:noWrap/>
            <w:hideMark/>
          </w:tcPr>
          <w:p w14:paraId="41F415B5"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w:t>
            </w:r>
          </w:p>
        </w:tc>
        <w:tc>
          <w:tcPr>
            <w:tcW w:w="676" w:type="dxa"/>
            <w:noWrap/>
            <w:hideMark/>
          </w:tcPr>
          <w:p w14:paraId="4BF19486"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w:t>
            </w:r>
          </w:p>
        </w:tc>
        <w:tc>
          <w:tcPr>
            <w:tcW w:w="676" w:type="dxa"/>
            <w:noWrap/>
            <w:hideMark/>
          </w:tcPr>
          <w:p w14:paraId="0DDBB55F"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w:t>
            </w:r>
          </w:p>
        </w:tc>
        <w:tc>
          <w:tcPr>
            <w:tcW w:w="676" w:type="dxa"/>
            <w:noWrap/>
            <w:hideMark/>
          </w:tcPr>
          <w:p w14:paraId="40C9A513"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w:t>
            </w:r>
          </w:p>
        </w:tc>
        <w:tc>
          <w:tcPr>
            <w:tcW w:w="676" w:type="dxa"/>
            <w:noWrap/>
            <w:hideMark/>
          </w:tcPr>
          <w:p w14:paraId="12CEA026"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w:t>
            </w:r>
          </w:p>
        </w:tc>
      </w:tr>
      <w:tr w:rsidR="0068007A" w:rsidRPr="00EE41C6" w14:paraId="68F72B85" w14:textId="77777777" w:rsidTr="00726652">
        <w:trPr>
          <w:trHeight w:val="300"/>
          <w:jc w:val="center"/>
        </w:trPr>
        <w:tc>
          <w:tcPr>
            <w:tcW w:w="1255" w:type="dxa"/>
            <w:noWrap/>
            <w:hideMark/>
          </w:tcPr>
          <w:p w14:paraId="5C84884D"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Gas</w:t>
            </w:r>
          </w:p>
        </w:tc>
        <w:tc>
          <w:tcPr>
            <w:tcW w:w="3251" w:type="dxa"/>
            <w:gridSpan w:val="2"/>
            <w:noWrap/>
            <w:hideMark/>
          </w:tcPr>
          <w:p w14:paraId="636DD494"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Wholesale gas</w:t>
            </w:r>
          </w:p>
        </w:tc>
        <w:tc>
          <w:tcPr>
            <w:tcW w:w="886" w:type="dxa"/>
            <w:noWrap/>
            <w:hideMark/>
          </w:tcPr>
          <w:p w14:paraId="07810D1B"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w:t>
            </w:r>
          </w:p>
        </w:tc>
        <w:tc>
          <w:tcPr>
            <w:tcW w:w="676" w:type="dxa"/>
            <w:noWrap/>
            <w:hideMark/>
          </w:tcPr>
          <w:p w14:paraId="7CE08864"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w:t>
            </w:r>
          </w:p>
        </w:tc>
        <w:tc>
          <w:tcPr>
            <w:tcW w:w="676" w:type="dxa"/>
            <w:noWrap/>
            <w:hideMark/>
          </w:tcPr>
          <w:p w14:paraId="4CDD5E63"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w:t>
            </w:r>
          </w:p>
        </w:tc>
        <w:tc>
          <w:tcPr>
            <w:tcW w:w="676" w:type="dxa"/>
            <w:noWrap/>
            <w:hideMark/>
          </w:tcPr>
          <w:p w14:paraId="637AD1C2"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w:t>
            </w:r>
          </w:p>
        </w:tc>
        <w:tc>
          <w:tcPr>
            <w:tcW w:w="676" w:type="dxa"/>
            <w:noWrap/>
            <w:hideMark/>
          </w:tcPr>
          <w:p w14:paraId="79CDD87D"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w:t>
            </w:r>
          </w:p>
        </w:tc>
      </w:tr>
      <w:tr w:rsidR="0068007A" w:rsidRPr="00EE41C6" w14:paraId="032DFD09" w14:textId="77777777" w:rsidTr="00726652">
        <w:trPr>
          <w:trHeight w:val="300"/>
          <w:jc w:val="center"/>
        </w:trPr>
        <w:tc>
          <w:tcPr>
            <w:tcW w:w="1255" w:type="dxa"/>
            <w:noWrap/>
            <w:hideMark/>
          </w:tcPr>
          <w:p w14:paraId="6D4D6DBF"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Refined liquids</w:t>
            </w:r>
          </w:p>
        </w:tc>
        <w:tc>
          <w:tcPr>
            <w:tcW w:w="3251" w:type="dxa"/>
            <w:gridSpan w:val="2"/>
            <w:noWrap/>
            <w:hideMark/>
          </w:tcPr>
          <w:p w14:paraId="4E782FD2"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Refined liquids industrial</w:t>
            </w:r>
          </w:p>
        </w:tc>
        <w:tc>
          <w:tcPr>
            <w:tcW w:w="886" w:type="dxa"/>
            <w:noWrap/>
            <w:hideMark/>
          </w:tcPr>
          <w:p w14:paraId="73CF79CE"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w:t>
            </w:r>
          </w:p>
        </w:tc>
        <w:tc>
          <w:tcPr>
            <w:tcW w:w="676" w:type="dxa"/>
            <w:noWrap/>
            <w:hideMark/>
          </w:tcPr>
          <w:p w14:paraId="7980D0F7"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w:t>
            </w:r>
          </w:p>
        </w:tc>
        <w:tc>
          <w:tcPr>
            <w:tcW w:w="676" w:type="dxa"/>
            <w:noWrap/>
            <w:hideMark/>
          </w:tcPr>
          <w:p w14:paraId="5DDD7AC1"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w:t>
            </w:r>
          </w:p>
        </w:tc>
        <w:tc>
          <w:tcPr>
            <w:tcW w:w="676" w:type="dxa"/>
            <w:noWrap/>
            <w:hideMark/>
          </w:tcPr>
          <w:p w14:paraId="14BB3507"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w:t>
            </w:r>
          </w:p>
        </w:tc>
        <w:tc>
          <w:tcPr>
            <w:tcW w:w="676" w:type="dxa"/>
            <w:noWrap/>
            <w:hideMark/>
          </w:tcPr>
          <w:p w14:paraId="6CEE0B22"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w:t>
            </w:r>
          </w:p>
        </w:tc>
      </w:tr>
    </w:tbl>
    <w:p w14:paraId="5D756F97" w14:textId="77777777" w:rsidR="0068007A" w:rsidRPr="00EE41C6" w:rsidRDefault="0068007A" w:rsidP="0081782D">
      <w:pPr>
        <w:spacing w:line="480" w:lineRule="auto"/>
        <w:rPr>
          <w:rFonts w:ascii="Times New Roman" w:hAnsi="Times New Roman" w:cs="Times New Roman"/>
          <w:sz w:val="18"/>
          <w:szCs w:val="18"/>
        </w:rPr>
      </w:pPr>
    </w:p>
    <w:p w14:paraId="7D46D5B5" w14:textId="1FAAC86B" w:rsidR="0068007A" w:rsidRPr="00EE41C6" w:rsidRDefault="00DB6449" w:rsidP="00DB6449">
      <w:pPr>
        <w:pStyle w:val="Caption"/>
        <w:jc w:val="center"/>
        <w:rPr>
          <w:rFonts w:ascii="Times New Roman" w:hAnsi="Times New Roman" w:cs="Times New Roman"/>
        </w:rPr>
      </w:pPr>
      <w:bookmarkStart w:id="42" w:name="_Toc167274035"/>
      <w:r w:rsidRPr="00EE41C6">
        <w:t xml:space="preserve">Supplementary Table </w:t>
      </w:r>
      <w:fldSimple w:instr=" SEQ Supplementary_Table \* ARABIC ">
        <w:r w:rsidR="008628F3" w:rsidRPr="00EE41C6">
          <w:rPr>
            <w:noProof/>
          </w:rPr>
          <w:t>10</w:t>
        </w:r>
      </w:fldSimple>
      <w:r w:rsidRPr="00EE41C6">
        <w:t xml:space="preserve"> </w:t>
      </w:r>
      <w:r w:rsidR="0068007A" w:rsidRPr="00EE41C6">
        <w:rPr>
          <w:rFonts w:ascii="Times New Roman" w:hAnsi="Times New Roman" w:cs="Times New Roman"/>
        </w:rPr>
        <w:t>Carbon storage resource supply curve points (2005$</w:t>
      </w:r>
      <w:r w:rsidR="00150F6A" w:rsidRPr="00EE41C6">
        <w:rPr>
          <w:rFonts w:ascii="Times New Roman" w:hAnsi="Times New Roman" w:cs="Times New Roman"/>
        </w:rPr>
        <w:t xml:space="preserve"> per </w:t>
      </w:r>
      <w:r w:rsidR="0068007A" w:rsidRPr="00EE41C6">
        <w:rPr>
          <w:rFonts w:ascii="Times New Roman" w:hAnsi="Times New Roman" w:cs="Times New Roman"/>
        </w:rPr>
        <w:t>tCO</w:t>
      </w:r>
      <w:r w:rsidR="0068007A" w:rsidRPr="00EE41C6">
        <w:rPr>
          <w:rFonts w:ascii="Times New Roman" w:hAnsi="Times New Roman" w:cs="Times New Roman"/>
          <w:vertAlign w:val="subscript"/>
        </w:rPr>
        <w:t>2</w:t>
      </w:r>
      <w:r w:rsidR="0068007A" w:rsidRPr="00EE41C6">
        <w:rPr>
          <w:rFonts w:ascii="Times New Roman" w:hAnsi="Times New Roman" w:cs="Times New Roman"/>
        </w:rPr>
        <w:t>)</w:t>
      </w:r>
      <w:bookmarkEnd w:id="42"/>
    </w:p>
    <w:tbl>
      <w:tblPr>
        <w:tblStyle w:val="TableGrid"/>
        <w:tblW w:w="0" w:type="auto"/>
        <w:jc w:val="center"/>
        <w:tblLook w:val="04A0" w:firstRow="1" w:lastRow="0" w:firstColumn="1" w:lastColumn="0" w:noHBand="0" w:noVBand="1"/>
      </w:tblPr>
      <w:tblGrid>
        <w:gridCol w:w="2176"/>
        <w:gridCol w:w="2176"/>
        <w:gridCol w:w="960"/>
        <w:gridCol w:w="960"/>
        <w:gridCol w:w="1781"/>
      </w:tblGrid>
      <w:tr w:rsidR="0068007A" w:rsidRPr="00EE41C6" w14:paraId="1E5CB2BD" w14:textId="77777777" w:rsidTr="00726652">
        <w:trPr>
          <w:trHeight w:val="300"/>
          <w:jc w:val="center"/>
        </w:trPr>
        <w:tc>
          <w:tcPr>
            <w:tcW w:w="2176" w:type="dxa"/>
            <w:noWrap/>
            <w:hideMark/>
          </w:tcPr>
          <w:p w14:paraId="21818980" w14:textId="77777777" w:rsidR="0068007A" w:rsidRPr="00EE41C6" w:rsidRDefault="0068007A" w:rsidP="00726652">
            <w:pPr>
              <w:spacing w:line="480" w:lineRule="auto"/>
              <w:jc w:val="center"/>
              <w:rPr>
                <w:rFonts w:ascii="Times New Roman" w:hAnsi="Times New Roman" w:cs="Times New Roman"/>
                <w:sz w:val="18"/>
                <w:szCs w:val="18"/>
              </w:rPr>
            </w:pPr>
            <w:r w:rsidRPr="00EE41C6">
              <w:rPr>
                <w:rFonts w:ascii="Times New Roman" w:hAnsi="Times New Roman" w:cs="Times New Roman"/>
                <w:sz w:val="18"/>
                <w:szCs w:val="18"/>
              </w:rPr>
              <w:t>Resource</w:t>
            </w:r>
          </w:p>
        </w:tc>
        <w:tc>
          <w:tcPr>
            <w:tcW w:w="2176" w:type="dxa"/>
            <w:noWrap/>
            <w:hideMark/>
          </w:tcPr>
          <w:p w14:paraId="0184BA03" w14:textId="77777777" w:rsidR="0068007A" w:rsidRPr="00EE41C6" w:rsidRDefault="0068007A" w:rsidP="00726652">
            <w:pPr>
              <w:spacing w:line="480" w:lineRule="auto"/>
              <w:jc w:val="center"/>
              <w:rPr>
                <w:rFonts w:ascii="Times New Roman" w:hAnsi="Times New Roman" w:cs="Times New Roman"/>
                <w:sz w:val="18"/>
                <w:szCs w:val="18"/>
              </w:rPr>
            </w:pPr>
            <w:proofErr w:type="spellStart"/>
            <w:r w:rsidRPr="00EE41C6">
              <w:rPr>
                <w:rFonts w:ascii="Times New Roman" w:hAnsi="Times New Roman" w:cs="Times New Roman"/>
                <w:sz w:val="18"/>
                <w:szCs w:val="18"/>
              </w:rPr>
              <w:t>Subresource</w:t>
            </w:r>
            <w:proofErr w:type="spellEnd"/>
          </w:p>
        </w:tc>
        <w:tc>
          <w:tcPr>
            <w:tcW w:w="960" w:type="dxa"/>
            <w:noWrap/>
            <w:hideMark/>
          </w:tcPr>
          <w:p w14:paraId="5BE0B5A4" w14:textId="77777777" w:rsidR="0068007A" w:rsidRPr="00EE41C6" w:rsidRDefault="0068007A" w:rsidP="00726652">
            <w:pPr>
              <w:spacing w:line="480" w:lineRule="auto"/>
              <w:jc w:val="center"/>
              <w:rPr>
                <w:rFonts w:ascii="Times New Roman" w:hAnsi="Times New Roman" w:cs="Times New Roman"/>
                <w:sz w:val="18"/>
                <w:szCs w:val="18"/>
              </w:rPr>
            </w:pPr>
            <w:r w:rsidRPr="00EE41C6">
              <w:rPr>
                <w:rFonts w:ascii="Times New Roman" w:hAnsi="Times New Roman" w:cs="Times New Roman"/>
                <w:sz w:val="18"/>
                <w:szCs w:val="18"/>
              </w:rPr>
              <w:t>Grade</w:t>
            </w:r>
          </w:p>
        </w:tc>
        <w:tc>
          <w:tcPr>
            <w:tcW w:w="960" w:type="dxa"/>
            <w:noWrap/>
            <w:hideMark/>
          </w:tcPr>
          <w:p w14:paraId="56A54964" w14:textId="77777777" w:rsidR="0068007A" w:rsidRPr="00EE41C6" w:rsidRDefault="0068007A" w:rsidP="00726652">
            <w:pPr>
              <w:spacing w:line="480" w:lineRule="auto"/>
              <w:jc w:val="center"/>
              <w:rPr>
                <w:rFonts w:ascii="Times New Roman" w:hAnsi="Times New Roman" w:cs="Times New Roman"/>
                <w:sz w:val="18"/>
                <w:szCs w:val="18"/>
              </w:rPr>
            </w:pPr>
            <w:r w:rsidRPr="00EE41C6">
              <w:rPr>
                <w:rFonts w:ascii="Times New Roman" w:hAnsi="Times New Roman" w:cs="Times New Roman"/>
                <w:sz w:val="18"/>
                <w:szCs w:val="18"/>
              </w:rPr>
              <w:t>Fraction</w:t>
            </w:r>
          </w:p>
        </w:tc>
        <w:tc>
          <w:tcPr>
            <w:tcW w:w="1781" w:type="dxa"/>
            <w:noWrap/>
            <w:hideMark/>
          </w:tcPr>
          <w:p w14:paraId="1DFD6D74" w14:textId="77777777" w:rsidR="0068007A" w:rsidRPr="00EE41C6" w:rsidRDefault="0068007A" w:rsidP="00726652">
            <w:pPr>
              <w:spacing w:line="480" w:lineRule="auto"/>
              <w:jc w:val="center"/>
              <w:rPr>
                <w:rFonts w:ascii="Times New Roman" w:hAnsi="Times New Roman" w:cs="Times New Roman"/>
                <w:sz w:val="18"/>
                <w:szCs w:val="18"/>
              </w:rPr>
            </w:pPr>
            <w:r w:rsidRPr="00EE41C6">
              <w:rPr>
                <w:rFonts w:ascii="Times New Roman" w:hAnsi="Times New Roman" w:cs="Times New Roman"/>
                <w:sz w:val="18"/>
                <w:szCs w:val="18"/>
              </w:rPr>
              <w:t>Cost</w:t>
            </w:r>
          </w:p>
        </w:tc>
      </w:tr>
      <w:tr w:rsidR="0068007A" w:rsidRPr="00EE41C6" w14:paraId="024BBE2D" w14:textId="77777777" w:rsidTr="00726652">
        <w:trPr>
          <w:trHeight w:val="300"/>
          <w:jc w:val="center"/>
        </w:trPr>
        <w:tc>
          <w:tcPr>
            <w:tcW w:w="2176" w:type="dxa"/>
            <w:noWrap/>
            <w:hideMark/>
          </w:tcPr>
          <w:p w14:paraId="6541CDF5"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Onshore carbon-storage</w:t>
            </w:r>
          </w:p>
        </w:tc>
        <w:tc>
          <w:tcPr>
            <w:tcW w:w="2176" w:type="dxa"/>
            <w:noWrap/>
            <w:hideMark/>
          </w:tcPr>
          <w:p w14:paraId="28870CEB"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Onshore carbon-storage</w:t>
            </w:r>
          </w:p>
        </w:tc>
        <w:tc>
          <w:tcPr>
            <w:tcW w:w="960" w:type="dxa"/>
            <w:noWrap/>
            <w:hideMark/>
          </w:tcPr>
          <w:p w14:paraId="60074FD6"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Grade 1</w:t>
            </w:r>
          </w:p>
        </w:tc>
        <w:tc>
          <w:tcPr>
            <w:tcW w:w="960" w:type="dxa"/>
            <w:noWrap/>
            <w:hideMark/>
          </w:tcPr>
          <w:p w14:paraId="138EB4FD"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w:t>
            </w:r>
          </w:p>
        </w:tc>
        <w:tc>
          <w:tcPr>
            <w:tcW w:w="1781" w:type="dxa"/>
            <w:noWrap/>
            <w:hideMark/>
          </w:tcPr>
          <w:p w14:paraId="64C20521"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w:t>
            </w:r>
          </w:p>
        </w:tc>
      </w:tr>
      <w:tr w:rsidR="0068007A" w:rsidRPr="00EE41C6" w14:paraId="265BCBEF" w14:textId="77777777" w:rsidTr="00726652">
        <w:trPr>
          <w:trHeight w:val="300"/>
          <w:jc w:val="center"/>
        </w:trPr>
        <w:tc>
          <w:tcPr>
            <w:tcW w:w="2176" w:type="dxa"/>
            <w:noWrap/>
            <w:hideMark/>
          </w:tcPr>
          <w:p w14:paraId="2ECB6924"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Onshore carbon-storage</w:t>
            </w:r>
          </w:p>
        </w:tc>
        <w:tc>
          <w:tcPr>
            <w:tcW w:w="2176" w:type="dxa"/>
            <w:noWrap/>
            <w:hideMark/>
          </w:tcPr>
          <w:p w14:paraId="4C8D44AD"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Onshore carbon-storage</w:t>
            </w:r>
          </w:p>
        </w:tc>
        <w:tc>
          <w:tcPr>
            <w:tcW w:w="960" w:type="dxa"/>
            <w:noWrap/>
            <w:hideMark/>
          </w:tcPr>
          <w:p w14:paraId="62906CF9"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Grade 2</w:t>
            </w:r>
          </w:p>
        </w:tc>
        <w:tc>
          <w:tcPr>
            <w:tcW w:w="960" w:type="dxa"/>
            <w:noWrap/>
            <w:hideMark/>
          </w:tcPr>
          <w:p w14:paraId="59B17B46"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0.005</w:t>
            </w:r>
          </w:p>
        </w:tc>
        <w:tc>
          <w:tcPr>
            <w:tcW w:w="1781" w:type="dxa"/>
            <w:noWrap/>
            <w:hideMark/>
          </w:tcPr>
          <w:p w14:paraId="08D31F13"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0.1</w:t>
            </w:r>
          </w:p>
        </w:tc>
      </w:tr>
      <w:tr w:rsidR="0068007A" w:rsidRPr="00EE41C6" w14:paraId="6EF3919C" w14:textId="77777777" w:rsidTr="00726652">
        <w:trPr>
          <w:trHeight w:val="300"/>
          <w:jc w:val="center"/>
        </w:trPr>
        <w:tc>
          <w:tcPr>
            <w:tcW w:w="2176" w:type="dxa"/>
            <w:noWrap/>
            <w:hideMark/>
          </w:tcPr>
          <w:p w14:paraId="2AAB53DC"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Onshore carbon-storage</w:t>
            </w:r>
          </w:p>
        </w:tc>
        <w:tc>
          <w:tcPr>
            <w:tcW w:w="2176" w:type="dxa"/>
            <w:noWrap/>
            <w:hideMark/>
          </w:tcPr>
          <w:p w14:paraId="09BCF611"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Onshore carbon-storage</w:t>
            </w:r>
          </w:p>
        </w:tc>
        <w:tc>
          <w:tcPr>
            <w:tcW w:w="960" w:type="dxa"/>
            <w:noWrap/>
            <w:hideMark/>
          </w:tcPr>
          <w:p w14:paraId="3138A72B"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Grade 3</w:t>
            </w:r>
          </w:p>
        </w:tc>
        <w:tc>
          <w:tcPr>
            <w:tcW w:w="960" w:type="dxa"/>
            <w:noWrap/>
            <w:hideMark/>
          </w:tcPr>
          <w:p w14:paraId="6571F0EA"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0.1</w:t>
            </w:r>
          </w:p>
        </w:tc>
        <w:tc>
          <w:tcPr>
            <w:tcW w:w="1781" w:type="dxa"/>
            <w:noWrap/>
            <w:hideMark/>
          </w:tcPr>
          <w:p w14:paraId="5F34281C"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5</w:t>
            </w:r>
          </w:p>
        </w:tc>
      </w:tr>
      <w:tr w:rsidR="0068007A" w:rsidRPr="00EE41C6" w14:paraId="3AA46A1E" w14:textId="77777777" w:rsidTr="00726652">
        <w:trPr>
          <w:trHeight w:val="300"/>
          <w:jc w:val="center"/>
        </w:trPr>
        <w:tc>
          <w:tcPr>
            <w:tcW w:w="2176" w:type="dxa"/>
            <w:noWrap/>
            <w:hideMark/>
          </w:tcPr>
          <w:p w14:paraId="11260CE7"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Onshore carbon-storage</w:t>
            </w:r>
          </w:p>
        </w:tc>
        <w:tc>
          <w:tcPr>
            <w:tcW w:w="2176" w:type="dxa"/>
            <w:noWrap/>
            <w:hideMark/>
          </w:tcPr>
          <w:p w14:paraId="7BC9BDE0"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Onshore carbon-storage</w:t>
            </w:r>
          </w:p>
        </w:tc>
        <w:tc>
          <w:tcPr>
            <w:tcW w:w="960" w:type="dxa"/>
            <w:noWrap/>
            <w:hideMark/>
          </w:tcPr>
          <w:p w14:paraId="058630EA"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Grade 4</w:t>
            </w:r>
          </w:p>
        </w:tc>
        <w:tc>
          <w:tcPr>
            <w:tcW w:w="960" w:type="dxa"/>
            <w:noWrap/>
            <w:hideMark/>
          </w:tcPr>
          <w:p w14:paraId="080F4246"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0.6</w:t>
            </w:r>
          </w:p>
        </w:tc>
        <w:tc>
          <w:tcPr>
            <w:tcW w:w="1781" w:type="dxa"/>
            <w:noWrap/>
            <w:hideMark/>
          </w:tcPr>
          <w:p w14:paraId="4C6E32EC"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10</w:t>
            </w:r>
          </w:p>
        </w:tc>
      </w:tr>
      <w:tr w:rsidR="0068007A" w:rsidRPr="00EE41C6" w14:paraId="19C49136" w14:textId="77777777" w:rsidTr="00726652">
        <w:trPr>
          <w:trHeight w:val="300"/>
          <w:jc w:val="center"/>
        </w:trPr>
        <w:tc>
          <w:tcPr>
            <w:tcW w:w="2176" w:type="dxa"/>
            <w:noWrap/>
            <w:hideMark/>
          </w:tcPr>
          <w:p w14:paraId="5087C755"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Onshore carbon-storage</w:t>
            </w:r>
          </w:p>
        </w:tc>
        <w:tc>
          <w:tcPr>
            <w:tcW w:w="2176" w:type="dxa"/>
            <w:noWrap/>
            <w:hideMark/>
          </w:tcPr>
          <w:p w14:paraId="03F6D7D5"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Onshore carbon-storage</w:t>
            </w:r>
          </w:p>
        </w:tc>
        <w:tc>
          <w:tcPr>
            <w:tcW w:w="960" w:type="dxa"/>
            <w:noWrap/>
            <w:hideMark/>
          </w:tcPr>
          <w:p w14:paraId="2FC2B297"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Grade 5</w:t>
            </w:r>
          </w:p>
        </w:tc>
        <w:tc>
          <w:tcPr>
            <w:tcW w:w="960" w:type="dxa"/>
            <w:noWrap/>
            <w:hideMark/>
          </w:tcPr>
          <w:p w14:paraId="5B4A04C6"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0.295</w:t>
            </w:r>
          </w:p>
        </w:tc>
        <w:tc>
          <w:tcPr>
            <w:tcW w:w="1781" w:type="dxa"/>
            <w:noWrap/>
            <w:hideMark/>
          </w:tcPr>
          <w:p w14:paraId="41A6096E"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75</w:t>
            </w:r>
          </w:p>
        </w:tc>
      </w:tr>
      <w:tr w:rsidR="0068007A" w:rsidRPr="00EE41C6" w14:paraId="2BF08271" w14:textId="77777777" w:rsidTr="00726652">
        <w:trPr>
          <w:trHeight w:val="300"/>
          <w:jc w:val="center"/>
        </w:trPr>
        <w:tc>
          <w:tcPr>
            <w:tcW w:w="2176" w:type="dxa"/>
            <w:noWrap/>
            <w:hideMark/>
          </w:tcPr>
          <w:p w14:paraId="25038CB3"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Onshore carbon-storage</w:t>
            </w:r>
          </w:p>
        </w:tc>
        <w:tc>
          <w:tcPr>
            <w:tcW w:w="2176" w:type="dxa"/>
            <w:noWrap/>
            <w:hideMark/>
          </w:tcPr>
          <w:p w14:paraId="14397ED4"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Onshore carbon-storage</w:t>
            </w:r>
          </w:p>
        </w:tc>
        <w:tc>
          <w:tcPr>
            <w:tcW w:w="960" w:type="dxa"/>
            <w:noWrap/>
            <w:hideMark/>
          </w:tcPr>
          <w:p w14:paraId="7CC34FA6"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Grade 6</w:t>
            </w:r>
          </w:p>
        </w:tc>
        <w:tc>
          <w:tcPr>
            <w:tcW w:w="960" w:type="dxa"/>
            <w:noWrap/>
            <w:hideMark/>
          </w:tcPr>
          <w:p w14:paraId="6BD37BD4"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0</w:t>
            </w:r>
          </w:p>
        </w:tc>
        <w:tc>
          <w:tcPr>
            <w:tcW w:w="1781" w:type="dxa"/>
            <w:noWrap/>
            <w:hideMark/>
          </w:tcPr>
          <w:p w14:paraId="2B425CD8" w14:textId="77777777" w:rsidR="0068007A" w:rsidRPr="00EE41C6" w:rsidRDefault="0068007A" w:rsidP="00150F6A">
            <w:pPr>
              <w:rPr>
                <w:rFonts w:ascii="Times New Roman" w:hAnsi="Times New Roman" w:cs="Times New Roman"/>
                <w:sz w:val="18"/>
                <w:szCs w:val="18"/>
              </w:rPr>
            </w:pPr>
            <w:r w:rsidRPr="00EE41C6">
              <w:rPr>
                <w:rFonts w:ascii="Times New Roman" w:hAnsi="Times New Roman" w:cs="Times New Roman"/>
                <w:sz w:val="18"/>
                <w:szCs w:val="18"/>
              </w:rPr>
              <w:t>3500</w:t>
            </w:r>
          </w:p>
        </w:tc>
      </w:tr>
    </w:tbl>
    <w:p w14:paraId="1759C20A" w14:textId="77777777" w:rsidR="005A4B17" w:rsidRPr="00EE41C6" w:rsidRDefault="005A4B17" w:rsidP="003043B7">
      <w:pPr>
        <w:pStyle w:val="Caption"/>
      </w:pPr>
      <w:bookmarkStart w:id="43" w:name="_Toc167274036"/>
    </w:p>
    <w:p w14:paraId="3708A1DD" w14:textId="28BBEED5" w:rsidR="0068007A" w:rsidRPr="00EE41C6" w:rsidRDefault="00DB6449" w:rsidP="00DB6449">
      <w:pPr>
        <w:pStyle w:val="Caption"/>
        <w:jc w:val="center"/>
        <w:rPr>
          <w:rFonts w:ascii="Times New Roman" w:hAnsi="Times New Roman" w:cs="Times New Roman"/>
        </w:rPr>
      </w:pPr>
      <w:bookmarkStart w:id="44" w:name="_Toc167274037"/>
      <w:bookmarkEnd w:id="43"/>
      <w:r w:rsidRPr="00EE41C6">
        <w:t xml:space="preserve">Supplementary Table </w:t>
      </w:r>
      <w:fldSimple w:instr=" SEQ Supplementary_Table \* ARABIC ">
        <w:r w:rsidR="008628F3" w:rsidRPr="00EE41C6">
          <w:rPr>
            <w:noProof/>
          </w:rPr>
          <w:t>11</w:t>
        </w:r>
      </w:fldSimple>
      <w:r w:rsidRPr="00EE41C6">
        <w:t xml:space="preserve"> </w:t>
      </w:r>
      <w:r w:rsidR="0068007A" w:rsidRPr="00EE41C6">
        <w:rPr>
          <w:rFonts w:ascii="Times New Roman" w:hAnsi="Times New Roman" w:cs="Times New Roman"/>
        </w:rPr>
        <w:t>CO</w:t>
      </w:r>
      <w:r w:rsidR="0068007A" w:rsidRPr="00EE41C6">
        <w:rPr>
          <w:rFonts w:ascii="Times New Roman" w:hAnsi="Times New Roman" w:cs="Times New Roman"/>
          <w:vertAlign w:val="subscript"/>
        </w:rPr>
        <w:t>2</w:t>
      </w:r>
      <w:r w:rsidR="0068007A" w:rsidRPr="00EE41C6">
        <w:rPr>
          <w:rFonts w:ascii="Times New Roman" w:hAnsi="Times New Roman" w:cs="Times New Roman"/>
        </w:rPr>
        <w:t xml:space="preserve"> capture rates for </w:t>
      </w:r>
      <w:r w:rsidR="00150F6A" w:rsidRPr="00EE41C6">
        <w:rPr>
          <w:rFonts w:ascii="Times New Roman" w:hAnsi="Times New Roman" w:cs="Times New Roman"/>
        </w:rPr>
        <w:t>direct air capture (</w:t>
      </w:r>
      <w:r w:rsidR="00D87ACF" w:rsidRPr="00EE41C6">
        <w:rPr>
          <w:rFonts w:ascii="Times New Roman" w:hAnsi="Times New Roman" w:cs="Times New Roman"/>
        </w:rPr>
        <w:t>DAC</w:t>
      </w:r>
      <w:r w:rsidR="00150F6A" w:rsidRPr="00EE41C6">
        <w:rPr>
          <w:rFonts w:ascii="Times New Roman" w:hAnsi="Times New Roman" w:cs="Times New Roman"/>
        </w:rPr>
        <w:t>)</w:t>
      </w:r>
      <w:r w:rsidR="0068007A" w:rsidRPr="00EE41C6">
        <w:rPr>
          <w:rFonts w:ascii="Times New Roman" w:hAnsi="Times New Roman" w:cs="Times New Roman"/>
        </w:rPr>
        <w:t xml:space="preserve"> and process heat </w:t>
      </w:r>
      <w:r w:rsidR="00D87ACF" w:rsidRPr="00EE41C6">
        <w:rPr>
          <w:rFonts w:ascii="Times New Roman" w:hAnsi="Times New Roman" w:cs="Times New Roman"/>
        </w:rPr>
        <w:t>DAC technology</w:t>
      </w:r>
      <w:bookmarkEnd w:id="44"/>
    </w:p>
    <w:tbl>
      <w:tblPr>
        <w:tblStyle w:val="TableGrid"/>
        <w:tblW w:w="0" w:type="auto"/>
        <w:jc w:val="center"/>
        <w:tblLook w:val="04A0" w:firstRow="1" w:lastRow="0" w:firstColumn="1" w:lastColumn="0" w:noHBand="0" w:noVBand="1"/>
      </w:tblPr>
      <w:tblGrid>
        <w:gridCol w:w="1531"/>
        <w:gridCol w:w="960"/>
        <w:gridCol w:w="2235"/>
        <w:gridCol w:w="960"/>
        <w:gridCol w:w="960"/>
      </w:tblGrid>
      <w:tr w:rsidR="0068007A" w:rsidRPr="00EE41C6" w14:paraId="40267119" w14:textId="77777777" w:rsidTr="00726652">
        <w:trPr>
          <w:trHeight w:val="300"/>
          <w:jc w:val="center"/>
        </w:trPr>
        <w:tc>
          <w:tcPr>
            <w:tcW w:w="1531" w:type="dxa"/>
            <w:noWrap/>
            <w:hideMark/>
          </w:tcPr>
          <w:p w14:paraId="6136623E" w14:textId="77777777"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Supply sector</w:t>
            </w:r>
          </w:p>
        </w:tc>
        <w:tc>
          <w:tcPr>
            <w:tcW w:w="960" w:type="dxa"/>
            <w:noWrap/>
            <w:hideMark/>
          </w:tcPr>
          <w:p w14:paraId="7E63BEE2" w14:textId="77777777"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Subsector</w:t>
            </w:r>
          </w:p>
        </w:tc>
        <w:tc>
          <w:tcPr>
            <w:tcW w:w="2235" w:type="dxa"/>
            <w:noWrap/>
            <w:hideMark/>
          </w:tcPr>
          <w:p w14:paraId="539EE68D" w14:textId="77777777"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Technology</w:t>
            </w:r>
          </w:p>
        </w:tc>
        <w:tc>
          <w:tcPr>
            <w:tcW w:w="960" w:type="dxa"/>
            <w:noWrap/>
            <w:hideMark/>
          </w:tcPr>
          <w:p w14:paraId="11FF9235" w14:textId="77777777"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1971</w:t>
            </w:r>
          </w:p>
        </w:tc>
        <w:tc>
          <w:tcPr>
            <w:tcW w:w="960" w:type="dxa"/>
            <w:noWrap/>
            <w:hideMark/>
          </w:tcPr>
          <w:p w14:paraId="1498ACB6" w14:textId="77777777"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2100</w:t>
            </w:r>
          </w:p>
        </w:tc>
      </w:tr>
      <w:tr w:rsidR="0068007A" w:rsidRPr="00EE41C6" w14:paraId="0E3AFAD3" w14:textId="77777777" w:rsidTr="00726652">
        <w:trPr>
          <w:trHeight w:val="300"/>
          <w:jc w:val="center"/>
        </w:trPr>
        <w:tc>
          <w:tcPr>
            <w:tcW w:w="1531" w:type="dxa"/>
            <w:noWrap/>
            <w:hideMark/>
          </w:tcPr>
          <w:p w14:paraId="1DCDA1A7" w14:textId="3224EBD6"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 xml:space="preserve">Process heat </w:t>
            </w:r>
            <w:r w:rsidR="00D87ACF" w:rsidRPr="00EE41C6">
              <w:rPr>
                <w:rFonts w:ascii="Times New Roman" w:hAnsi="Times New Roman" w:cs="Times New Roman"/>
                <w:sz w:val="18"/>
                <w:szCs w:val="18"/>
              </w:rPr>
              <w:t>DAC</w:t>
            </w:r>
          </w:p>
        </w:tc>
        <w:tc>
          <w:tcPr>
            <w:tcW w:w="960" w:type="dxa"/>
            <w:noWrap/>
            <w:hideMark/>
          </w:tcPr>
          <w:p w14:paraId="74BF47C6" w14:textId="77777777"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Gas ccs</w:t>
            </w:r>
          </w:p>
        </w:tc>
        <w:tc>
          <w:tcPr>
            <w:tcW w:w="2235" w:type="dxa"/>
            <w:noWrap/>
            <w:hideMark/>
          </w:tcPr>
          <w:p w14:paraId="69317B67" w14:textId="77777777"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Gas ccs</w:t>
            </w:r>
          </w:p>
        </w:tc>
        <w:tc>
          <w:tcPr>
            <w:tcW w:w="960" w:type="dxa"/>
            <w:noWrap/>
            <w:hideMark/>
          </w:tcPr>
          <w:p w14:paraId="2A57FDA7" w14:textId="77777777"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0.95</w:t>
            </w:r>
          </w:p>
        </w:tc>
        <w:tc>
          <w:tcPr>
            <w:tcW w:w="960" w:type="dxa"/>
            <w:noWrap/>
            <w:hideMark/>
          </w:tcPr>
          <w:p w14:paraId="0CAAC457" w14:textId="77777777"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0.95</w:t>
            </w:r>
          </w:p>
        </w:tc>
      </w:tr>
      <w:tr w:rsidR="0068007A" w:rsidRPr="00EE41C6" w14:paraId="6FE83760" w14:textId="77777777" w:rsidTr="00726652">
        <w:trPr>
          <w:trHeight w:val="300"/>
          <w:jc w:val="center"/>
        </w:trPr>
        <w:tc>
          <w:tcPr>
            <w:tcW w:w="1531" w:type="dxa"/>
            <w:noWrap/>
            <w:hideMark/>
          </w:tcPr>
          <w:p w14:paraId="07B5337E" w14:textId="77777777"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CO</w:t>
            </w:r>
            <w:r w:rsidRPr="00EE41C6">
              <w:rPr>
                <w:rFonts w:ascii="Times New Roman" w:hAnsi="Times New Roman" w:cs="Times New Roman"/>
                <w:sz w:val="18"/>
                <w:szCs w:val="18"/>
                <w:vertAlign w:val="subscript"/>
              </w:rPr>
              <w:t>2</w:t>
            </w:r>
            <w:r w:rsidRPr="00EE41C6">
              <w:rPr>
                <w:rFonts w:ascii="Times New Roman" w:hAnsi="Times New Roman" w:cs="Times New Roman"/>
                <w:sz w:val="18"/>
                <w:szCs w:val="18"/>
              </w:rPr>
              <w:t xml:space="preserve"> removal</w:t>
            </w:r>
          </w:p>
        </w:tc>
        <w:tc>
          <w:tcPr>
            <w:tcW w:w="960" w:type="dxa"/>
            <w:noWrap/>
            <w:hideMark/>
          </w:tcPr>
          <w:p w14:paraId="4D851D26" w14:textId="3AB635B3" w:rsidR="0068007A" w:rsidRPr="00EE41C6" w:rsidRDefault="00D87ACF" w:rsidP="00150F6A">
            <w:pPr>
              <w:jc w:val="center"/>
              <w:rPr>
                <w:rFonts w:ascii="Times New Roman" w:hAnsi="Times New Roman" w:cs="Times New Roman"/>
                <w:sz w:val="18"/>
                <w:szCs w:val="18"/>
              </w:rPr>
            </w:pPr>
            <w:r w:rsidRPr="00EE41C6">
              <w:rPr>
                <w:rFonts w:ascii="Times New Roman" w:hAnsi="Times New Roman" w:cs="Times New Roman"/>
                <w:sz w:val="18"/>
                <w:szCs w:val="18"/>
              </w:rPr>
              <w:t>DAC</w:t>
            </w:r>
          </w:p>
        </w:tc>
        <w:tc>
          <w:tcPr>
            <w:tcW w:w="2235" w:type="dxa"/>
            <w:noWrap/>
            <w:hideMark/>
          </w:tcPr>
          <w:p w14:paraId="06BC1360" w14:textId="64A5574A"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High temp</w:t>
            </w:r>
            <w:r w:rsidR="00D87ACF" w:rsidRPr="00EE41C6">
              <w:rPr>
                <w:rFonts w:ascii="Times New Roman" w:hAnsi="Times New Roman" w:cs="Times New Roman"/>
                <w:sz w:val="18"/>
                <w:szCs w:val="18"/>
              </w:rPr>
              <w:t>erature</w:t>
            </w:r>
            <w:r w:rsidRPr="00EE41C6">
              <w:rPr>
                <w:rFonts w:ascii="Times New Roman" w:hAnsi="Times New Roman" w:cs="Times New Roman"/>
                <w:sz w:val="18"/>
                <w:szCs w:val="18"/>
              </w:rPr>
              <w:t xml:space="preserve"> </w:t>
            </w:r>
            <w:r w:rsidR="00D87ACF" w:rsidRPr="00EE41C6">
              <w:rPr>
                <w:rFonts w:ascii="Times New Roman" w:hAnsi="Times New Roman" w:cs="Times New Roman"/>
                <w:sz w:val="18"/>
                <w:szCs w:val="18"/>
              </w:rPr>
              <w:t>DAC</w:t>
            </w:r>
            <w:r w:rsidRPr="00EE41C6">
              <w:rPr>
                <w:rFonts w:ascii="Times New Roman" w:hAnsi="Times New Roman" w:cs="Times New Roman"/>
                <w:sz w:val="18"/>
                <w:szCs w:val="18"/>
              </w:rPr>
              <w:t xml:space="preserve"> </w:t>
            </w:r>
            <w:r w:rsidR="00D87ACF" w:rsidRPr="00EE41C6">
              <w:rPr>
                <w:rFonts w:ascii="Times New Roman" w:hAnsi="Times New Roman" w:cs="Times New Roman"/>
                <w:sz w:val="18"/>
                <w:szCs w:val="18"/>
              </w:rPr>
              <w:t>(</w:t>
            </w:r>
            <w:r w:rsidRPr="00EE41C6">
              <w:rPr>
                <w:rFonts w:ascii="Times New Roman" w:hAnsi="Times New Roman" w:cs="Times New Roman"/>
                <w:sz w:val="18"/>
                <w:szCs w:val="18"/>
              </w:rPr>
              <w:t>natural gas</w:t>
            </w:r>
            <w:r w:rsidR="00D87ACF" w:rsidRPr="00EE41C6">
              <w:rPr>
                <w:rFonts w:ascii="Times New Roman" w:hAnsi="Times New Roman" w:cs="Times New Roman"/>
                <w:sz w:val="18"/>
                <w:szCs w:val="18"/>
              </w:rPr>
              <w:t>)</w:t>
            </w:r>
          </w:p>
        </w:tc>
        <w:tc>
          <w:tcPr>
            <w:tcW w:w="960" w:type="dxa"/>
            <w:noWrap/>
            <w:hideMark/>
          </w:tcPr>
          <w:p w14:paraId="783FF1CF" w14:textId="77777777"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1</w:t>
            </w:r>
          </w:p>
        </w:tc>
        <w:tc>
          <w:tcPr>
            <w:tcW w:w="960" w:type="dxa"/>
            <w:noWrap/>
            <w:hideMark/>
          </w:tcPr>
          <w:p w14:paraId="482C8B48" w14:textId="77777777"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1</w:t>
            </w:r>
          </w:p>
        </w:tc>
      </w:tr>
      <w:tr w:rsidR="0068007A" w:rsidRPr="00EE41C6" w14:paraId="6BB67BE5" w14:textId="77777777" w:rsidTr="00726652">
        <w:trPr>
          <w:trHeight w:val="300"/>
          <w:jc w:val="center"/>
        </w:trPr>
        <w:tc>
          <w:tcPr>
            <w:tcW w:w="1531" w:type="dxa"/>
            <w:noWrap/>
            <w:hideMark/>
          </w:tcPr>
          <w:p w14:paraId="3AA13F22" w14:textId="77777777"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CO</w:t>
            </w:r>
            <w:r w:rsidRPr="00EE41C6">
              <w:rPr>
                <w:rFonts w:ascii="Times New Roman" w:hAnsi="Times New Roman" w:cs="Times New Roman"/>
                <w:sz w:val="18"/>
                <w:szCs w:val="18"/>
                <w:vertAlign w:val="subscript"/>
              </w:rPr>
              <w:t>2</w:t>
            </w:r>
            <w:r w:rsidRPr="00EE41C6">
              <w:rPr>
                <w:rFonts w:ascii="Times New Roman" w:hAnsi="Times New Roman" w:cs="Times New Roman"/>
                <w:sz w:val="18"/>
                <w:szCs w:val="18"/>
              </w:rPr>
              <w:t xml:space="preserve"> removal</w:t>
            </w:r>
          </w:p>
        </w:tc>
        <w:tc>
          <w:tcPr>
            <w:tcW w:w="960" w:type="dxa"/>
            <w:noWrap/>
            <w:hideMark/>
          </w:tcPr>
          <w:p w14:paraId="56FFCC7F" w14:textId="4DEAE8E9"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D</w:t>
            </w:r>
            <w:r w:rsidR="00D87ACF" w:rsidRPr="00EE41C6">
              <w:rPr>
                <w:rFonts w:ascii="Times New Roman" w:hAnsi="Times New Roman" w:cs="Times New Roman"/>
                <w:sz w:val="18"/>
                <w:szCs w:val="18"/>
              </w:rPr>
              <w:t>AC</w:t>
            </w:r>
          </w:p>
        </w:tc>
        <w:tc>
          <w:tcPr>
            <w:tcW w:w="2235" w:type="dxa"/>
            <w:noWrap/>
            <w:hideMark/>
          </w:tcPr>
          <w:p w14:paraId="2E55197A" w14:textId="4D925FDB"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High temp</w:t>
            </w:r>
            <w:r w:rsidR="00D87ACF" w:rsidRPr="00EE41C6">
              <w:rPr>
                <w:rFonts w:ascii="Times New Roman" w:hAnsi="Times New Roman" w:cs="Times New Roman"/>
                <w:sz w:val="18"/>
                <w:szCs w:val="18"/>
              </w:rPr>
              <w:t>erature</w:t>
            </w:r>
            <w:r w:rsidRPr="00EE41C6">
              <w:rPr>
                <w:rFonts w:ascii="Times New Roman" w:hAnsi="Times New Roman" w:cs="Times New Roman"/>
                <w:sz w:val="18"/>
                <w:szCs w:val="18"/>
              </w:rPr>
              <w:t xml:space="preserve"> </w:t>
            </w:r>
            <w:r w:rsidR="00D87ACF" w:rsidRPr="00EE41C6">
              <w:rPr>
                <w:rFonts w:ascii="Times New Roman" w:hAnsi="Times New Roman" w:cs="Times New Roman"/>
                <w:sz w:val="18"/>
                <w:szCs w:val="18"/>
              </w:rPr>
              <w:t>DAC</w:t>
            </w:r>
            <w:r w:rsidRPr="00EE41C6">
              <w:rPr>
                <w:rFonts w:ascii="Times New Roman" w:hAnsi="Times New Roman" w:cs="Times New Roman"/>
                <w:sz w:val="18"/>
                <w:szCs w:val="18"/>
              </w:rPr>
              <w:t xml:space="preserve"> </w:t>
            </w:r>
            <w:r w:rsidR="00D87ACF" w:rsidRPr="00EE41C6">
              <w:rPr>
                <w:rFonts w:ascii="Times New Roman" w:hAnsi="Times New Roman" w:cs="Times New Roman"/>
                <w:sz w:val="18"/>
                <w:szCs w:val="18"/>
              </w:rPr>
              <w:t>(</w:t>
            </w:r>
            <w:r w:rsidRPr="00EE41C6">
              <w:rPr>
                <w:rFonts w:ascii="Times New Roman" w:hAnsi="Times New Roman" w:cs="Times New Roman"/>
                <w:sz w:val="18"/>
                <w:szCs w:val="18"/>
              </w:rPr>
              <w:t>electricity</w:t>
            </w:r>
            <w:r w:rsidR="00D87ACF" w:rsidRPr="00EE41C6">
              <w:rPr>
                <w:rFonts w:ascii="Times New Roman" w:hAnsi="Times New Roman" w:cs="Times New Roman"/>
                <w:sz w:val="18"/>
                <w:szCs w:val="18"/>
              </w:rPr>
              <w:t>)</w:t>
            </w:r>
          </w:p>
        </w:tc>
        <w:tc>
          <w:tcPr>
            <w:tcW w:w="960" w:type="dxa"/>
            <w:noWrap/>
            <w:hideMark/>
          </w:tcPr>
          <w:p w14:paraId="11BF2208" w14:textId="77777777"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1</w:t>
            </w:r>
          </w:p>
        </w:tc>
        <w:tc>
          <w:tcPr>
            <w:tcW w:w="960" w:type="dxa"/>
            <w:noWrap/>
            <w:hideMark/>
          </w:tcPr>
          <w:p w14:paraId="6C895609" w14:textId="77777777"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1</w:t>
            </w:r>
          </w:p>
        </w:tc>
      </w:tr>
      <w:tr w:rsidR="0068007A" w:rsidRPr="00EE41C6" w14:paraId="0ACA0480" w14:textId="77777777" w:rsidTr="00726652">
        <w:trPr>
          <w:trHeight w:val="300"/>
          <w:jc w:val="center"/>
        </w:trPr>
        <w:tc>
          <w:tcPr>
            <w:tcW w:w="1531" w:type="dxa"/>
            <w:noWrap/>
            <w:hideMark/>
          </w:tcPr>
          <w:p w14:paraId="52BBFE4B" w14:textId="77777777"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CO</w:t>
            </w:r>
            <w:r w:rsidRPr="00EE41C6">
              <w:rPr>
                <w:rFonts w:ascii="Times New Roman" w:hAnsi="Times New Roman" w:cs="Times New Roman"/>
                <w:sz w:val="18"/>
                <w:szCs w:val="18"/>
                <w:vertAlign w:val="subscript"/>
              </w:rPr>
              <w:t>2</w:t>
            </w:r>
            <w:r w:rsidRPr="00EE41C6">
              <w:rPr>
                <w:rFonts w:ascii="Times New Roman" w:hAnsi="Times New Roman" w:cs="Times New Roman"/>
                <w:sz w:val="18"/>
                <w:szCs w:val="18"/>
              </w:rPr>
              <w:t xml:space="preserve"> removal</w:t>
            </w:r>
          </w:p>
        </w:tc>
        <w:tc>
          <w:tcPr>
            <w:tcW w:w="960" w:type="dxa"/>
            <w:noWrap/>
            <w:hideMark/>
          </w:tcPr>
          <w:p w14:paraId="11177810" w14:textId="49363CE6"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D</w:t>
            </w:r>
            <w:r w:rsidR="00D87ACF" w:rsidRPr="00EE41C6">
              <w:rPr>
                <w:rFonts w:ascii="Times New Roman" w:hAnsi="Times New Roman" w:cs="Times New Roman"/>
                <w:sz w:val="18"/>
                <w:szCs w:val="18"/>
              </w:rPr>
              <w:t>AC</w:t>
            </w:r>
          </w:p>
        </w:tc>
        <w:tc>
          <w:tcPr>
            <w:tcW w:w="2235" w:type="dxa"/>
            <w:noWrap/>
            <w:hideMark/>
          </w:tcPr>
          <w:p w14:paraId="4C65B81B" w14:textId="032C6A78"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Low</w:t>
            </w:r>
            <w:r w:rsidR="00D87ACF" w:rsidRPr="00EE41C6">
              <w:rPr>
                <w:rFonts w:ascii="Times New Roman" w:hAnsi="Times New Roman" w:cs="Times New Roman"/>
                <w:sz w:val="18"/>
                <w:szCs w:val="18"/>
              </w:rPr>
              <w:t xml:space="preserve"> </w:t>
            </w:r>
            <w:r w:rsidRPr="00EE41C6">
              <w:rPr>
                <w:rFonts w:ascii="Times New Roman" w:hAnsi="Times New Roman" w:cs="Times New Roman"/>
                <w:sz w:val="18"/>
                <w:szCs w:val="18"/>
              </w:rPr>
              <w:t>temp</w:t>
            </w:r>
            <w:r w:rsidR="00D87ACF" w:rsidRPr="00EE41C6">
              <w:rPr>
                <w:rFonts w:ascii="Times New Roman" w:hAnsi="Times New Roman" w:cs="Times New Roman"/>
                <w:sz w:val="18"/>
                <w:szCs w:val="18"/>
              </w:rPr>
              <w:t>erature</w:t>
            </w:r>
            <w:r w:rsidRPr="00EE41C6">
              <w:rPr>
                <w:rFonts w:ascii="Times New Roman" w:hAnsi="Times New Roman" w:cs="Times New Roman"/>
                <w:sz w:val="18"/>
                <w:szCs w:val="18"/>
              </w:rPr>
              <w:t xml:space="preserve"> </w:t>
            </w:r>
            <w:r w:rsidR="00D87ACF" w:rsidRPr="00EE41C6">
              <w:rPr>
                <w:rFonts w:ascii="Times New Roman" w:hAnsi="Times New Roman" w:cs="Times New Roman"/>
                <w:sz w:val="18"/>
                <w:szCs w:val="18"/>
              </w:rPr>
              <w:t>DAC</w:t>
            </w:r>
            <w:r w:rsidRPr="00EE41C6">
              <w:rPr>
                <w:rFonts w:ascii="Times New Roman" w:hAnsi="Times New Roman" w:cs="Times New Roman"/>
                <w:sz w:val="18"/>
                <w:szCs w:val="18"/>
              </w:rPr>
              <w:t xml:space="preserve"> </w:t>
            </w:r>
            <w:r w:rsidR="00D87ACF" w:rsidRPr="00EE41C6">
              <w:rPr>
                <w:rFonts w:ascii="Times New Roman" w:hAnsi="Times New Roman" w:cs="Times New Roman"/>
                <w:sz w:val="18"/>
                <w:szCs w:val="18"/>
              </w:rPr>
              <w:t>(</w:t>
            </w:r>
            <w:r w:rsidRPr="00EE41C6">
              <w:rPr>
                <w:rFonts w:ascii="Times New Roman" w:hAnsi="Times New Roman" w:cs="Times New Roman"/>
                <w:sz w:val="18"/>
                <w:szCs w:val="18"/>
              </w:rPr>
              <w:t>heat pump</w:t>
            </w:r>
            <w:r w:rsidR="00D87ACF" w:rsidRPr="00EE41C6">
              <w:rPr>
                <w:rFonts w:ascii="Times New Roman" w:hAnsi="Times New Roman" w:cs="Times New Roman"/>
                <w:sz w:val="18"/>
                <w:szCs w:val="18"/>
              </w:rPr>
              <w:t>)</w:t>
            </w:r>
          </w:p>
        </w:tc>
        <w:tc>
          <w:tcPr>
            <w:tcW w:w="960" w:type="dxa"/>
            <w:noWrap/>
            <w:hideMark/>
          </w:tcPr>
          <w:p w14:paraId="7554C9C8" w14:textId="77777777"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1</w:t>
            </w:r>
          </w:p>
        </w:tc>
        <w:tc>
          <w:tcPr>
            <w:tcW w:w="960" w:type="dxa"/>
            <w:noWrap/>
            <w:hideMark/>
          </w:tcPr>
          <w:p w14:paraId="50CE0606" w14:textId="77777777" w:rsidR="0068007A" w:rsidRPr="00EE41C6" w:rsidRDefault="0068007A" w:rsidP="00150F6A">
            <w:pPr>
              <w:jc w:val="center"/>
              <w:rPr>
                <w:rFonts w:ascii="Times New Roman" w:hAnsi="Times New Roman" w:cs="Times New Roman"/>
                <w:sz w:val="18"/>
                <w:szCs w:val="18"/>
              </w:rPr>
            </w:pPr>
            <w:r w:rsidRPr="00EE41C6">
              <w:rPr>
                <w:rFonts w:ascii="Times New Roman" w:hAnsi="Times New Roman" w:cs="Times New Roman"/>
                <w:sz w:val="18"/>
                <w:szCs w:val="18"/>
              </w:rPr>
              <w:t>1</w:t>
            </w:r>
          </w:p>
        </w:tc>
      </w:tr>
    </w:tbl>
    <w:p w14:paraId="71F4F0BD" w14:textId="6975B6FF" w:rsidR="00EF643C" w:rsidRPr="00EE41C6" w:rsidRDefault="001D5CF8" w:rsidP="005A4B17">
      <w:pPr>
        <w:jc w:val="center"/>
        <w:rPr>
          <w:rFonts w:ascii="Times New Roman" w:hAnsi="Times New Roman" w:cs="Times New Roman"/>
          <w:sz w:val="18"/>
          <w:szCs w:val="18"/>
        </w:rPr>
      </w:pPr>
      <w:r w:rsidRPr="00EE41C6">
        <w:rPr>
          <w:rFonts w:ascii="Times New Roman" w:hAnsi="Times New Roman" w:cs="Times New Roman"/>
          <w:sz w:val="18"/>
          <w:szCs w:val="18"/>
        </w:rPr>
        <w:t>DAC: direct air capture; ccs: carbon capture and storage</w:t>
      </w:r>
    </w:p>
    <w:p w14:paraId="1439BD6E" w14:textId="77777777" w:rsidR="005A4B17" w:rsidRPr="00EE41C6" w:rsidRDefault="005A4B17" w:rsidP="005A4B17">
      <w:pPr>
        <w:jc w:val="center"/>
        <w:rPr>
          <w:rFonts w:ascii="Times New Roman" w:hAnsi="Times New Roman" w:cs="Times New Roman"/>
          <w:sz w:val="18"/>
          <w:szCs w:val="18"/>
        </w:rPr>
      </w:pPr>
    </w:p>
    <w:p w14:paraId="725A3F32" w14:textId="7E9079A1" w:rsidR="0068007A" w:rsidRPr="00EE41C6" w:rsidRDefault="00DB6449" w:rsidP="00DB6449">
      <w:pPr>
        <w:pStyle w:val="Caption"/>
        <w:jc w:val="center"/>
        <w:rPr>
          <w:rFonts w:ascii="Times New Roman" w:hAnsi="Times New Roman" w:cs="Times New Roman"/>
        </w:rPr>
      </w:pPr>
      <w:bookmarkStart w:id="45" w:name="_Toc167274038"/>
      <w:r w:rsidRPr="00EE41C6">
        <w:t xml:space="preserve">Supplementary Table </w:t>
      </w:r>
      <w:fldSimple w:instr=" SEQ Supplementary_Table \* ARABIC ">
        <w:r w:rsidR="008628F3" w:rsidRPr="00EE41C6">
          <w:rPr>
            <w:noProof/>
          </w:rPr>
          <w:t>12</w:t>
        </w:r>
      </w:fldSimple>
      <w:r w:rsidRPr="00EE41C6">
        <w:t xml:space="preserve"> </w:t>
      </w:r>
      <w:r w:rsidR="0068007A" w:rsidRPr="00EE41C6">
        <w:rPr>
          <w:rFonts w:ascii="Times New Roman" w:hAnsi="Times New Roman" w:cs="Times New Roman"/>
        </w:rPr>
        <w:t>Parametrizations for DACCS Technologies</w:t>
      </w:r>
      <w:bookmarkEnd w:id="45"/>
      <w:r w:rsidR="00637C4F" w:rsidRPr="00EE41C6">
        <w:rPr>
          <w:rFonts w:ascii="Times New Roman" w:hAnsi="Times New Roman" w:cs="Times New Roman"/>
        </w:rPr>
        <w:t xml:space="preserve"> </w:t>
      </w:r>
      <w:r w:rsidR="00637C4F"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{"citationID":"6e6TDiRg","properties":{"formattedCitation":"\\super 59\\nosupersub{}","plainCitation":"59","noteIndex":0},"citationItems":[{"id":650,"uris":["http://zotero.org/users/local/YcBHrSK0/items/6GDIB2XX"],"itemData":{"id":650,"type":"article-journal","container-title":"Environmental Research Letters","DOI":"10.1088/1748-9326/ac2db0","ISSN":"1748-9326","issue":"11","journalAbbreviation":"Environ. Res. Lett.","note":"number: 11","page":"114012","source":"DOI.org (Crossref)","title":"The role of direct air capture and negative emissions technologies in the shared socioeconomic pathways towards +1.5 °C and +2 °C futures","volume":"16","author":[{"family":"Fuhrman","given":"Jay"},{"family":"Clarens","given":"Andres"},{"family":"Calvin","given":"Katherine"},{"family":"Doney","given":"Scott C"},{"family":"Edmonds","given":"James A"},{"family":"O’Rourke","given":"Patrick"},{"family":"Patel","given":"Pralit"},{"family":"Pradhan","given":"Shreekar"},{"family":"Shobe","given":"William"},{"family":"McJeon","given":"Haewon"}],"issued":{"date-parts":[["2021",11,1]]}}}],"schema":"https://github.com/citation-style-language/schema/raw/master/csl-citation.json"} </w:instrText>
      </w:r>
      <w:r w:rsidR="00637C4F"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59</w:t>
      </w:r>
      <w:r w:rsidR="00637C4F" w:rsidRPr="00EE41C6">
        <w:rPr>
          <w:rFonts w:ascii="Times New Roman" w:hAnsi="Times New Roman" w:cs="Times New Roman"/>
        </w:rPr>
        <w:fldChar w:fldCharType="end"/>
      </w:r>
      <w:r w:rsidR="00637C4F" w:rsidRPr="00EE41C6">
        <w:rPr>
          <w:rFonts w:ascii="Times New Roman" w:hAnsi="Times New Roman" w:cs="Times New Roman"/>
        </w:rPr>
        <w:t xml:space="preserve"> </w:t>
      </w:r>
    </w:p>
    <w:tbl>
      <w:tblPr>
        <w:tblStyle w:val="TableGrid21"/>
        <w:tblW w:w="0" w:type="auto"/>
        <w:tblLook w:val="04A0" w:firstRow="1" w:lastRow="0" w:firstColumn="1" w:lastColumn="0" w:noHBand="0" w:noVBand="1"/>
      </w:tblPr>
      <w:tblGrid>
        <w:gridCol w:w="2054"/>
        <w:gridCol w:w="1662"/>
        <w:gridCol w:w="631"/>
        <w:gridCol w:w="631"/>
        <w:gridCol w:w="624"/>
        <w:gridCol w:w="624"/>
        <w:gridCol w:w="706"/>
        <w:gridCol w:w="706"/>
        <w:gridCol w:w="856"/>
        <w:gridCol w:w="856"/>
      </w:tblGrid>
      <w:tr w:rsidR="00150F6A" w:rsidRPr="00EE41C6" w14:paraId="29BEE717" w14:textId="77777777" w:rsidTr="00726652">
        <w:tc>
          <w:tcPr>
            <w:tcW w:w="0" w:type="auto"/>
            <w:vMerge w:val="restart"/>
          </w:tcPr>
          <w:p w14:paraId="176AED23" w14:textId="77777777" w:rsidR="00405DA1" w:rsidRPr="00EE41C6" w:rsidRDefault="00405DA1" w:rsidP="00150F6A">
            <w:pPr>
              <w:rPr>
                <w:rFonts w:ascii="Times New Roman" w:eastAsia="DengXian" w:hAnsi="Times New Roman" w:cs="Times New Roman"/>
                <w:sz w:val="18"/>
                <w:szCs w:val="18"/>
              </w:rPr>
            </w:pPr>
          </w:p>
          <w:p w14:paraId="7C181514" w14:textId="77777777" w:rsidR="00405DA1" w:rsidRPr="00EE41C6" w:rsidRDefault="00405DA1" w:rsidP="00150F6A">
            <w:pPr>
              <w:rPr>
                <w:rFonts w:ascii="Times New Roman" w:eastAsia="DengXian" w:hAnsi="Times New Roman" w:cs="Times New Roman"/>
                <w:sz w:val="18"/>
                <w:szCs w:val="18"/>
              </w:rPr>
            </w:pPr>
            <w:r w:rsidRPr="00EE41C6">
              <w:rPr>
                <w:rFonts w:ascii="Times New Roman" w:eastAsia="DengXian" w:hAnsi="Times New Roman" w:cs="Times New Roman"/>
                <w:sz w:val="18"/>
                <w:szCs w:val="18"/>
              </w:rPr>
              <w:t>Technology</w:t>
            </w:r>
          </w:p>
        </w:tc>
        <w:tc>
          <w:tcPr>
            <w:tcW w:w="0" w:type="auto"/>
            <w:vMerge w:val="restart"/>
          </w:tcPr>
          <w:p w14:paraId="42ED9767" w14:textId="77777777" w:rsidR="00405DA1" w:rsidRPr="00EE41C6" w:rsidRDefault="00405DA1" w:rsidP="00150F6A">
            <w:pPr>
              <w:rPr>
                <w:rFonts w:ascii="Times New Roman" w:eastAsia="DengXian" w:hAnsi="Times New Roman" w:cs="Times New Roman"/>
                <w:sz w:val="18"/>
                <w:szCs w:val="18"/>
              </w:rPr>
            </w:pPr>
          </w:p>
          <w:p w14:paraId="2FD61D11" w14:textId="77777777" w:rsidR="00405DA1" w:rsidRPr="00EE41C6" w:rsidRDefault="00405DA1" w:rsidP="00150F6A">
            <w:pPr>
              <w:rPr>
                <w:rFonts w:ascii="Times New Roman" w:eastAsia="DengXian" w:hAnsi="Times New Roman" w:cs="Times New Roman"/>
                <w:sz w:val="18"/>
                <w:szCs w:val="18"/>
              </w:rPr>
            </w:pPr>
            <w:r w:rsidRPr="00EE41C6">
              <w:rPr>
                <w:rFonts w:ascii="Times New Roman" w:eastAsia="DengXian" w:hAnsi="Times New Roman" w:cs="Times New Roman"/>
                <w:sz w:val="18"/>
                <w:szCs w:val="18"/>
              </w:rPr>
              <w:t>Scenario</w:t>
            </w:r>
          </w:p>
        </w:tc>
        <w:tc>
          <w:tcPr>
            <w:tcW w:w="0" w:type="auto"/>
            <w:gridSpan w:val="2"/>
          </w:tcPr>
          <w:p w14:paraId="4425D610"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Natural gas (GtCO</w:t>
            </w:r>
            <w:r w:rsidRPr="00EE41C6">
              <w:rPr>
                <w:rFonts w:ascii="Times New Roman" w:eastAsia="DengXian" w:hAnsi="Times New Roman" w:cs="Times New Roman"/>
                <w:sz w:val="18"/>
                <w:szCs w:val="18"/>
                <w:vertAlign w:val="subscript"/>
              </w:rPr>
              <w:t>2</w:t>
            </w:r>
            <w:r w:rsidRPr="00EE41C6">
              <w:rPr>
                <w:rFonts w:ascii="Times New Roman" w:eastAsia="DengXian" w:hAnsi="Times New Roman" w:cs="Times New Roman"/>
                <w:sz w:val="18"/>
                <w:szCs w:val="18"/>
              </w:rPr>
              <w:t>)</w:t>
            </w:r>
          </w:p>
        </w:tc>
        <w:tc>
          <w:tcPr>
            <w:tcW w:w="0" w:type="auto"/>
            <w:gridSpan w:val="2"/>
          </w:tcPr>
          <w:p w14:paraId="7A920930"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Electricity (GtCO</w:t>
            </w:r>
            <w:r w:rsidRPr="00EE41C6">
              <w:rPr>
                <w:rFonts w:ascii="Times New Roman" w:eastAsia="DengXian" w:hAnsi="Times New Roman" w:cs="Times New Roman"/>
                <w:sz w:val="18"/>
                <w:szCs w:val="18"/>
                <w:vertAlign w:val="subscript"/>
              </w:rPr>
              <w:t>2</w:t>
            </w:r>
            <w:r w:rsidRPr="00EE41C6">
              <w:rPr>
                <w:rFonts w:ascii="Times New Roman" w:eastAsia="DengXian" w:hAnsi="Times New Roman" w:cs="Times New Roman"/>
                <w:sz w:val="18"/>
                <w:szCs w:val="18"/>
              </w:rPr>
              <w:t>)</w:t>
            </w:r>
          </w:p>
        </w:tc>
        <w:tc>
          <w:tcPr>
            <w:tcW w:w="0" w:type="auto"/>
            <w:gridSpan w:val="2"/>
          </w:tcPr>
          <w:p w14:paraId="4F776D6C"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Non-energy cost (2015 $tCO</w:t>
            </w:r>
            <w:r w:rsidRPr="00EE41C6">
              <w:rPr>
                <w:rFonts w:ascii="Times New Roman" w:eastAsia="DengXian" w:hAnsi="Times New Roman" w:cs="Times New Roman"/>
                <w:sz w:val="18"/>
                <w:szCs w:val="18"/>
                <w:vertAlign w:val="subscript"/>
              </w:rPr>
              <w:t>2</w:t>
            </w:r>
            <w:r w:rsidRPr="00EE41C6">
              <w:rPr>
                <w:rFonts w:ascii="Times New Roman" w:eastAsia="DengXian" w:hAnsi="Times New Roman" w:cs="Times New Roman"/>
                <w:sz w:val="18"/>
                <w:szCs w:val="18"/>
              </w:rPr>
              <w:t>)</w:t>
            </w:r>
          </w:p>
        </w:tc>
        <w:tc>
          <w:tcPr>
            <w:tcW w:w="0" w:type="auto"/>
            <w:gridSpan w:val="2"/>
          </w:tcPr>
          <w:p w14:paraId="33ADB328" w14:textId="234ABA20"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 xml:space="preserve">Water </w:t>
            </w:r>
            <w:r w:rsidR="00150F6A" w:rsidRPr="00EE41C6">
              <w:rPr>
                <w:rFonts w:ascii="Times New Roman" w:eastAsia="DengXian" w:hAnsi="Times New Roman" w:cs="Times New Roman"/>
                <w:sz w:val="18"/>
                <w:szCs w:val="18"/>
              </w:rPr>
              <w:t xml:space="preserve">cubic </w:t>
            </w:r>
            <w:proofErr w:type="spellStart"/>
            <w:r w:rsidR="00150F6A" w:rsidRPr="00EE41C6">
              <w:rPr>
                <w:rFonts w:ascii="Times New Roman" w:eastAsia="DengXian" w:hAnsi="Times New Roman" w:cs="Times New Roman"/>
                <w:sz w:val="18"/>
                <w:szCs w:val="18"/>
              </w:rPr>
              <w:t>metres</w:t>
            </w:r>
            <w:proofErr w:type="spellEnd"/>
            <w:r w:rsidR="00150F6A" w:rsidRPr="00EE41C6">
              <w:rPr>
                <w:rFonts w:ascii="Times New Roman" w:eastAsia="DengXian" w:hAnsi="Times New Roman" w:cs="Times New Roman"/>
                <w:sz w:val="18"/>
                <w:szCs w:val="18"/>
              </w:rPr>
              <w:t xml:space="preserve"> per tonne of CO</w:t>
            </w:r>
            <w:r w:rsidR="00150F6A" w:rsidRPr="00EE41C6">
              <w:rPr>
                <w:rFonts w:ascii="Times New Roman" w:eastAsia="DengXian" w:hAnsi="Times New Roman" w:cs="Times New Roman"/>
                <w:sz w:val="18"/>
                <w:szCs w:val="18"/>
                <w:vertAlign w:val="subscript"/>
              </w:rPr>
              <w:t>2</w:t>
            </w:r>
            <w:r w:rsidR="00150F6A" w:rsidRPr="00EE41C6">
              <w:rPr>
                <w:rFonts w:ascii="Times New Roman" w:eastAsia="DengXian" w:hAnsi="Times New Roman" w:cs="Times New Roman"/>
                <w:sz w:val="18"/>
                <w:szCs w:val="18"/>
              </w:rPr>
              <w:t xml:space="preserve"> </w:t>
            </w:r>
            <w:r w:rsidRPr="00EE41C6">
              <w:rPr>
                <w:rFonts w:ascii="Times New Roman" w:eastAsia="DengXian" w:hAnsi="Times New Roman" w:cs="Times New Roman"/>
                <w:sz w:val="18"/>
                <w:szCs w:val="18"/>
              </w:rPr>
              <w:t>(m</w:t>
            </w:r>
            <w:r w:rsidRPr="00EE41C6">
              <w:rPr>
                <w:rFonts w:ascii="Times New Roman" w:eastAsia="DengXian" w:hAnsi="Times New Roman" w:cs="Times New Roman"/>
                <w:sz w:val="18"/>
                <w:szCs w:val="18"/>
                <w:vertAlign w:val="superscript"/>
              </w:rPr>
              <w:t>3</w:t>
            </w:r>
            <w:r w:rsidR="00150F6A" w:rsidRPr="00EE41C6">
              <w:rPr>
                <w:rFonts w:ascii="Times New Roman" w:eastAsia="DengXian" w:hAnsi="Times New Roman" w:cs="Times New Roman"/>
                <w:sz w:val="18"/>
                <w:szCs w:val="18"/>
                <w:vertAlign w:val="superscript"/>
              </w:rPr>
              <w:t xml:space="preserve"> </w:t>
            </w:r>
            <w:r w:rsidR="00150F6A" w:rsidRPr="00EE41C6">
              <w:rPr>
                <w:rFonts w:ascii="Times New Roman" w:eastAsia="DengXian" w:hAnsi="Times New Roman" w:cs="Times New Roman"/>
                <w:sz w:val="18"/>
                <w:szCs w:val="18"/>
              </w:rPr>
              <w:t xml:space="preserve">per </w:t>
            </w:r>
            <w:r w:rsidRPr="00EE41C6">
              <w:rPr>
                <w:rFonts w:ascii="Times New Roman" w:eastAsia="DengXian" w:hAnsi="Times New Roman" w:cs="Times New Roman"/>
                <w:sz w:val="18"/>
                <w:szCs w:val="18"/>
              </w:rPr>
              <w:t>tCO</w:t>
            </w:r>
            <w:r w:rsidRPr="00EE41C6">
              <w:rPr>
                <w:rFonts w:ascii="Times New Roman" w:eastAsia="DengXian" w:hAnsi="Times New Roman" w:cs="Times New Roman"/>
                <w:sz w:val="18"/>
                <w:szCs w:val="18"/>
                <w:vertAlign w:val="subscript"/>
              </w:rPr>
              <w:t>2</w:t>
            </w:r>
            <w:r w:rsidRPr="00EE41C6">
              <w:rPr>
                <w:rFonts w:ascii="Times New Roman" w:eastAsia="DengXian" w:hAnsi="Times New Roman" w:cs="Times New Roman"/>
                <w:sz w:val="18"/>
                <w:szCs w:val="18"/>
              </w:rPr>
              <w:t>)</w:t>
            </w:r>
          </w:p>
        </w:tc>
      </w:tr>
      <w:tr w:rsidR="00150F6A" w:rsidRPr="00EE41C6" w14:paraId="4BE2B0C2" w14:textId="77777777" w:rsidTr="00726652">
        <w:tc>
          <w:tcPr>
            <w:tcW w:w="0" w:type="auto"/>
            <w:vMerge/>
          </w:tcPr>
          <w:p w14:paraId="1BB423DE" w14:textId="77777777" w:rsidR="00405DA1" w:rsidRPr="00EE41C6" w:rsidRDefault="00405DA1" w:rsidP="00150F6A">
            <w:pPr>
              <w:jc w:val="center"/>
              <w:rPr>
                <w:rFonts w:ascii="Times New Roman" w:eastAsia="DengXian" w:hAnsi="Times New Roman" w:cs="Times New Roman"/>
                <w:sz w:val="18"/>
                <w:szCs w:val="18"/>
              </w:rPr>
            </w:pPr>
          </w:p>
        </w:tc>
        <w:tc>
          <w:tcPr>
            <w:tcW w:w="0" w:type="auto"/>
            <w:vMerge/>
          </w:tcPr>
          <w:p w14:paraId="68D0AC33" w14:textId="77777777" w:rsidR="00405DA1" w:rsidRPr="00EE41C6" w:rsidRDefault="00405DA1" w:rsidP="00150F6A">
            <w:pPr>
              <w:jc w:val="center"/>
              <w:rPr>
                <w:rFonts w:ascii="Times New Roman" w:eastAsia="DengXian" w:hAnsi="Times New Roman" w:cs="Times New Roman"/>
                <w:sz w:val="18"/>
                <w:szCs w:val="18"/>
              </w:rPr>
            </w:pPr>
          </w:p>
        </w:tc>
        <w:tc>
          <w:tcPr>
            <w:tcW w:w="0" w:type="auto"/>
          </w:tcPr>
          <w:p w14:paraId="286B1558"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2020</w:t>
            </w:r>
          </w:p>
        </w:tc>
        <w:tc>
          <w:tcPr>
            <w:tcW w:w="0" w:type="auto"/>
          </w:tcPr>
          <w:p w14:paraId="2F1E8B44"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2030</w:t>
            </w:r>
          </w:p>
        </w:tc>
        <w:tc>
          <w:tcPr>
            <w:tcW w:w="0" w:type="auto"/>
          </w:tcPr>
          <w:p w14:paraId="41D16F51"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2020</w:t>
            </w:r>
          </w:p>
        </w:tc>
        <w:tc>
          <w:tcPr>
            <w:tcW w:w="0" w:type="auto"/>
          </w:tcPr>
          <w:p w14:paraId="1AA8586F"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2030</w:t>
            </w:r>
          </w:p>
        </w:tc>
        <w:tc>
          <w:tcPr>
            <w:tcW w:w="0" w:type="auto"/>
          </w:tcPr>
          <w:p w14:paraId="47556447"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2020</w:t>
            </w:r>
          </w:p>
        </w:tc>
        <w:tc>
          <w:tcPr>
            <w:tcW w:w="0" w:type="auto"/>
          </w:tcPr>
          <w:p w14:paraId="31F4DC59"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2030</w:t>
            </w:r>
          </w:p>
        </w:tc>
        <w:tc>
          <w:tcPr>
            <w:tcW w:w="0" w:type="auto"/>
          </w:tcPr>
          <w:p w14:paraId="19B61308"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2020</w:t>
            </w:r>
          </w:p>
        </w:tc>
        <w:tc>
          <w:tcPr>
            <w:tcW w:w="0" w:type="auto"/>
          </w:tcPr>
          <w:p w14:paraId="7904E56E"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2030</w:t>
            </w:r>
          </w:p>
        </w:tc>
      </w:tr>
      <w:tr w:rsidR="00150F6A" w:rsidRPr="00EE41C6" w14:paraId="53093FC5" w14:textId="77777777" w:rsidTr="00726652">
        <w:tc>
          <w:tcPr>
            <w:tcW w:w="0" w:type="auto"/>
          </w:tcPr>
          <w:p w14:paraId="52A3EFCC" w14:textId="6A8801A5" w:rsidR="00405DA1" w:rsidRPr="00EE41C6" w:rsidRDefault="00405DA1" w:rsidP="00150F6A">
            <w:pPr>
              <w:rPr>
                <w:rFonts w:ascii="Times New Roman" w:eastAsia="DengXian" w:hAnsi="Times New Roman" w:cs="Times New Roman"/>
                <w:sz w:val="18"/>
                <w:szCs w:val="18"/>
              </w:rPr>
            </w:pPr>
            <w:r w:rsidRPr="00EE41C6">
              <w:rPr>
                <w:rFonts w:ascii="Times New Roman" w:eastAsia="DengXian" w:hAnsi="Times New Roman" w:cs="Times New Roman"/>
                <w:sz w:val="18"/>
                <w:szCs w:val="18"/>
              </w:rPr>
              <w:t xml:space="preserve">High temperature </w:t>
            </w:r>
            <w:r w:rsidR="00150F6A" w:rsidRPr="00EE41C6">
              <w:rPr>
                <w:rFonts w:ascii="Times New Roman" w:eastAsia="DengXian" w:hAnsi="Times New Roman" w:cs="Times New Roman"/>
                <w:sz w:val="18"/>
                <w:szCs w:val="18"/>
              </w:rPr>
              <w:t>direct air capture and carbon storage (</w:t>
            </w:r>
            <w:r w:rsidRPr="00EE41C6">
              <w:rPr>
                <w:rFonts w:ascii="Times New Roman" w:eastAsia="DengXian" w:hAnsi="Times New Roman" w:cs="Times New Roman"/>
                <w:sz w:val="18"/>
                <w:szCs w:val="18"/>
              </w:rPr>
              <w:t>DACCS</w:t>
            </w:r>
            <w:r w:rsidR="00150F6A" w:rsidRPr="00EE41C6">
              <w:rPr>
                <w:rFonts w:ascii="Times New Roman" w:eastAsia="DengXian" w:hAnsi="Times New Roman" w:cs="Times New Roman"/>
                <w:sz w:val="18"/>
                <w:szCs w:val="18"/>
              </w:rPr>
              <w:t>)</w:t>
            </w:r>
            <w:r w:rsidRPr="00EE41C6">
              <w:rPr>
                <w:rFonts w:ascii="Times New Roman" w:eastAsia="DengXian" w:hAnsi="Times New Roman" w:cs="Times New Roman"/>
                <w:sz w:val="18"/>
                <w:szCs w:val="18"/>
              </w:rPr>
              <w:t xml:space="preserve"> (natural gas)</w:t>
            </w:r>
          </w:p>
        </w:tc>
        <w:tc>
          <w:tcPr>
            <w:tcW w:w="0" w:type="auto"/>
          </w:tcPr>
          <w:p w14:paraId="76333F78" w14:textId="3F2AF61B" w:rsidR="00405DA1" w:rsidRPr="00EE41C6" w:rsidRDefault="00150F6A" w:rsidP="00150F6A">
            <w:pPr>
              <w:rPr>
                <w:rFonts w:ascii="Times New Roman" w:eastAsia="DengXian" w:hAnsi="Times New Roman" w:cs="Times New Roman"/>
                <w:sz w:val="18"/>
                <w:szCs w:val="18"/>
              </w:rPr>
            </w:pPr>
            <w:r w:rsidRPr="00EE41C6">
              <w:rPr>
                <w:rFonts w:ascii="Times New Roman" w:eastAsia="DengXian" w:hAnsi="Times New Roman" w:cs="Times New Roman"/>
                <w:sz w:val="18"/>
                <w:szCs w:val="18"/>
              </w:rPr>
              <w:t>Shared Socio-economic pathway (</w:t>
            </w:r>
            <w:r w:rsidR="00405DA1" w:rsidRPr="00EE41C6">
              <w:rPr>
                <w:rFonts w:ascii="Times New Roman" w:eastAsia="DengXian" w:hAnsi="Times New Roman" w:cs="Times New Roman"/>
                <w:sz w:val="18"/>
                <w:szCs w:val="18"/>
              </w:rPr>
              <w:t>SSP</w:t>
            </w:r>
            <w:r w:rsidRPr="00EE41C6">
              <w:rPr>
                <w:rFonts w:ascii="Times New Roman" w:eastAsia="DengXian" w:hAnsi="Times New Roman" w:cs="Times New Roman"/>
                <w:sz w:val="18"/>
                <w:szCs w:val="18"/>
              </w:rPr>
              <w:t xml:space="preserve">) </w:t>
            </w:r>
            <w:r w:rsidR="00405DA1" w:rsidRPr="00EE41C6">
              <w:rPr>
                <w:rFonts w:ascii="Times New Roman" w:eastAsia="DengXian" w:hAnsi="Times New Roman" w:cs="Times New Roman"/>
                <w:sz w:val="18"/>
                <w:szCs w:val="18"/>
              </w:rPr>
              <w:t>2-middle of the road</w:t>
            </w:r>
          </w:p>
        </w:tc>
        <w:tc>
          <w:tcPr>
            <w:tcW w:w="0" w:type="auto"/>
          </w:tcPr>
          <w:p w14:paraId="2716E10C" w14:textId="77777777" w:rsidR="00405DA1" w:rsidRPr="00EE41C6" w:rsidRDefault="00405DA1" w:rsidP="00150F6A">
            <w:pPr>
              <w:jc w:val="center"/>
              <w:rPr>
                <w:rFonts w:ascii="Times New Roman" w:eastAsia="DengXian" w:hAnsi="Times New Roman" w:cs="Times New Roman"/>
                <w:sz w:val="18"/>
                <w:szCs w:val="18"/>
              </w:rPr>
            </w:pPr>
          </w:p>
        </w:tc>
        <w:tc>
          <w:tcPr>
            <w:tcW w:w="0" w:type="auto"/>
          </w:tcPr>
          <w:p w14:paraId="33C445FA"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5.3</w:t>
            </w:r>
          </w:p>
        </w:tc>
        <w:tc>
          <w:tcPr>
            <w:tcW w:w="0" w:type="auto"/>
          </w:tcPr>
          <w:p w14:paraId="0BBD5FA4" w14:textId="77777777" w:rsidR="00405DA1" w:rsidRPr="00EE41C6" w:rsidRDefault="00405DA1" w:rsidP="00150F6A">
            <w:pPr>
              <w:jc w:val="center"/>
              <w:rPr>
                <w:rFonts w:ascii="Times New Roman" w:eastAsia="DengXian" w:hAnsi="Times New Roman" w:cs="Times New Roman"/>
                <w:sz w:val="18"/>
                <w:szCs w:val="18"/>
              </w:rPr>
            </w:pPr>
          </w:p>
        </w:tc>
        <w:tc>
          <w:tcPr>
            <w:tcW w:w="0" w:type="auto"/>
          </w:tcPr>
          <w:p w14:paraId="7B0AC58E"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1.3</w:t>
            </w:r>
          </w:p>
        </w:tc>
        <w:tc>
          <w:tcPr>
            <w:tcW w:w="0" w:type="auto"/>
          </w:tcPr>
          <w:p w14:paraId="6749D484" w14:textId="77777777" w:rsidR="00405DA1" w:rsidRPr="00EE41C6" w:rsidRDefault="00405DA1" w:rsidP="00150F6A">
            <w:pPr>
              <w:jc w:val="center"/>
              <w:rPr>
                <w:rFonts w:ascii="Times New Roman" w:eastAsia="DengXian" w:hAnsi="Times New Roman" w:cs="Times New Roman"/>
                <w:sz w:val="18"/>
                <w:szCs w:val="18"/>
              </w:rPr>
            </w:pPr>
          </w:p>
        </w:tc>
        <w:tc>
          <w:tcPr>
            <w:tcW w:w="0" w:type="auto"/>
          </w:tcPr>
          <w:p w14:paraId="166AB694"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185</w:t>
            </w:r>
          </w:p>
        </w:tc>
        <w:tc>
          <w:tcPr>
            <w:tcW w:w="0" w:type="auto"/>
            <w:gridSpan w:val="2"/>
          </w:tcPr>
          <w:p w14:paraId="16EB1174"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4.7</w:t>
            </w:r>
          </w:p>
        </w:tc>
      </w:tr>
      <w:tr w:rsidR="00150F6A" w:rsidRPr="00EE41C6" w14:paraId="67DB51D5" w14:textId="77777777" w:rsidTr="00726652">
        <w:tc>
          <w:tcPr>
            <w:tcW w:w="0" w:type="auto"/>
          </w:tcPr>
          <w:p w14:paraId="24E03DFD" w14:textId="77777777" w:rsidR="00405DA1" w:rsidRPr="00EE41C6" w:rsidRDefault="00405DA1" w:rsidP="00150F6A">
            <w:pPr>
              <w:rPr>
                <w:rFonts w:ascii="Times New Roman" w:eastAsia="DengXian" w:hAnsi="Times New Roman" w:cs="Times New Roman"/>
                <w:sz w:val="18"/>
                <w:szCs w:val="18"/>
              </w:rPr>
            </w:pPr>
            <w:r w:rsidRPr="00EE41C6">
              <w:rPr>
                <w:rFonts w:ascii="Times New Roman" w:eastAsia="DengXian" w:hAnsi="Times New Roman" w:cs="Times New Roman"/>
                <w:sz w:val="18"/>
                <w:szCs w:val="18"/>
              </w:rPr>
              <w:t>High temperature DACCS (fully electric)</w:t>
            </w:r>
          </w:p>
        </w:tc>
        <w:tc>
          <w:tcPr>
            <w:tcW w:w="0" w:type="auto"/>
          </w:tcPr>
          <w:p w14:paraId="49B6C915" w14:textId="77777777" w:rsidR="00405DA1" w:rsidRPr="00EE41C6" w:rsidRDefault="00405DA1" w:rsidP="00150F6A">
            <w:pPr>
              <w:rPr>
                <w:rFonts w:ascii="Times New Roman" w:eastAsia="DengXian" w:hAnsi="Times New Roman" w:cs="Times New Roman"/>
                <w:sz w:val="18"/>
                <w:szCs w:val="18"/>
              </w:rPr>
            </w:pPr>
            <w:r w:rsidRPr="00EE41C6">
              <w:rPr>
                <w:rFonts w:ascii="Times New Roman" w:eastAsia="DengXian" w:hAnsi="Times New Roman" w:cs="Times New Roman"/>
                <w:sz w:val="18"/>
                <w:szCs w:val="18"/>
              </w:rPr>
              <w:t>SSP2-middle of the road</w:t>
            </w:r>
          </w:p>
        </w:tc>
        <w:tc>
          <w:tcPr>
            <w:tcW w:w="0" w:type="auto"/>
            <w:gridSpan w:val="2"/>
          </w:tcPr>
          <w:p w14:paraId="044D10FC"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_</w:t>
            </w:r>
          </w:p>
        </w:tc>
        <w:tc>
          <w:tcPr>
            <w:tcW w:w="0" w:type="auto"/>
          </w:tcPr>
          <w:p w14:paraId="1B914BAC" w14:textId="77777777" w:rsidR="00405DA1" w:rsidRPr="00EE41C6" w:rsidRDefault="00405DA1" w:rsidP="00150F6A">
            <w:pPr>
              <w:jc w:val="center"/>
              <w:rPr>
                <w:rFonts w:ascii="Times New Roman" w:eastAsia="DengXian" w:hAnsi="Times New Roman" w:cs="Times New Roman"/>
                <w:sz w:val="18"/>
                <w:szCs w:val="18"/>
              </w:rPr>
            </w:pPr>
          </w:p>
        </w:tc>
        <w:tc>
          <w:tcPr>
            <w:tcW w:w="0" w:type="auto"/>
          </w:tcPr>
          <w:p w14:paraId="3010BAD6"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5</w:t>
            </w:r>
          </w:p>
        </w:tc>
        <w:tc>
          <w:tcPr>
            <w:tcW w:w="0" w:type="auto"/>
          </w:tcPr>
          <w:p w14:paraId="0CDC63CF" w14:textId="77777777" w:rsidR="00405DA1" w:rsidRPr="00EE41C6" w:rsidRDefault="00405DA1" w:rsidP="00150F6A">
            <w:pPr>
              <w:jc w:val="center"/>
              <w:rPr>
                <w:rFonts w:ascii="Times New Roman" w:eastAsia="DengXian" w:hAnsi="Times New Roman" w:cs="Times New Roman"/>
                <w:sz w:val="18"/>
                <w:szCs w:val="18"/>
              </w:rPr>
            </w:pPr>
          </w:p>
        </w:tc>
        <w:tc>
          <w:tcPr>
            <w:tcW w:w="0" w:type="auto"/>
          </w:tcPr>
          <w:p w14:paraId="7DEDBB49"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186</w:t>
            </w:r>
          </w:p>
        </w:tc>
        <w:tc>
          <w:tcPr>
            <w:tcW w:w="0" w:type="auto"/>
            <w:gridSpan w:val="2"/>
          </w:tcPr>
          <w:p w14:paraId="2436DD7A"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4.7</w:t>
            </w:r>
          </w:p>
        </w:tc>
      </w:tr>
      <w:tr w:rsidR="00150F6A" w:rsidRPr="00EE41C6" w14:paraId="6E36C6BF" w14:textId="77777777" w:rsidTr="00726652">
        <w:tc>
          <w:tcPr>
            <w:tcW w:w="0" w:type="auto"/>
          </w:tcPr>
          <w:p w14:paraId="63DF4147" w14:textId="77777777" w:rsidR="00405DA1" w:rsidRPr="00EE41C6" w:rsidRDefault="00405DA1" w:rsidP="00150F6A">
            <w:pPr>
              <w:rPr>
                <w:rFonts w:ascii="Times New Roman" w:eastAsia="DengXian" w:hAnsi="Times New Roman" w:cs="Times New Roman"/>
                <w:sz w:val="18"/>
                <w:szCs w:val="18"/>
              </w:rPr>
            </w:pPr>
            <w:r w:rsidRPr="00EE41C6">
              <w:rPr>
                <w:rFonts w:ascii="Times New Roman" w:eastAsia="DengXian" w:hAnsi="Times New Roman" w:cs="Times New Roman"/>
                <w:sz w:val="18"/>
                <w:szCs w:val="18"/>
              </w:rPr>
              <w:t>Low temperature DACCS (electric heat pump)</w:t>
            </w:r>
          </w:p>
        </w:tc>
        <w:tc>
          <w:tcPr>
            <w:tcW w:w="0" w:type="auto"/>
          </w:tcPr>
          <w:p w14:paraId="06D82606" w14:textId="77777777" w:rsidR="00405DA1" w:rsidRPr="00EE41C6" w:rsidRDefault="00405DA1" w:rsidP="00150F6A">
            <w:pPr>
              <w:rPr>
                <w:rFonts w:ascii="Times New Roman" w:eastAsia="DengXian" w:hAnsi="Times New Roman" w:cs="Times New Roman"/>
                <w:sz w:val="18"/>
                <w:szCs w:val="18"/>
              </w:rPr>
            </w:pPr>
            <w:r w:rsidRPr="00EE41C6">
              <w:rPr>
                <w:rFonts w:ascii="Times New Roman" w:eastAsia="DengXian" w:hAnsi="Times New Roman" w:cs="Times New Roman"/>
                <w:sz w:val="18"/>
                <w:szCs w:val="18"/>
              </w:rPr>
              <w:t>SSP2-middle of the road</w:t>
            </w:r>
          </w:p>
        </w:tc>
        <w:tc>
          <w:tcPr>
            <w:tcW w:w="0" w:type="auto"/>
            <w:gridSpan w:val="2"/>
          </w:tcPr>
          <w:p w14:paraId="2D3776DE"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_</w:t>
            </w:r>
          </w:p>
        </w:tc>
        <w:tc>
          <w:tcPr>
            <w:tcW w:w="0" w:type="auto"/>
          </w:tcPr>
          <w:p w14:paraId="43D7EF73" w14:textId="77777777" w:rsidR="00405DA1" w:rsidRPr="00EE41C6" w:rsidRDefault="00405DA1" w:rsidP="00150F6A">
            <w:pPr>
              <w:jc w:val="center"/>
              <w:rPr>
                <w:rFonts w:ascii="Times New Roman" w:eastAsia="DengXian" w:hAnsi="Times New Roman" w:cs="Times New Roman"/>
                <w:sz w:val="18"/>
                <w:szCs w:val="18"/>
              </w:rPr>
            </w:pPr>
          </w:p>
        </w:tc>
        <w:tc>
          <w:tcPr>
            <w:tcW w:w="0" w:type="auto"/>
          </w:tcPr>
          <w:p w14:paraId="4E09EF96"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2.5</w:t>
            </w:r>
          </w:p>
        </w:tc>
        <w:tc>
          <w:tcPr>
            <w:tcW w:w="0" w:type="auto"/>
          </w:tcPr>
          <w:p w14:paraId="6E391B0A" w14:textId="77777777" w:rsidR="00405DA1" w:rsidRPr="00EE41C6" w:rsidRDefault="00405DA1" w:rsidP="00150F6A">
            <w:pPr>
              <w:jc w:val="center"/>
              <w:rPr>
                <w:rFonts w:ascii="Times New Roman" w:eastAsia="DengXian" w:hAnsi="Times New Roman" w:cs="Times New Roman"/>
                <w:sz w:val="18"/>
                <w:szCs w:val="18"/>
              </w:rPr>
            </w:pPr>
          </w:p>
        </w:tc>
        <w:tc>
          <w:tcPr>
            <w:tcW w:w="0" w:type="auto"/>
          </w:tcPr>
          <w:p w14:paraId="1FCF4EC3"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235</w:t>
            </w:r>
          </w:p>
        </w:tc>
        <w:tc>
          <w:tcPr>
            <w:tcW w:w="0" w:type="auto"/>
            <w:gridSpan w:val="2"/>
          </w:tcPr>
          <w:p w14:paraId="6F0D59B1" w14:textId="77777777" w:rsidR="00405DA1" w:rsidRPr="00EE41C6" w:rsidRDefault="00405DA1" w:rsidP="00150F6A">
            <w:pPr>
              <w:jc w:val="center"/>
              <w:rPr>
                <w:rFonts w:ascii="Times New Roman" w:eastAsia="DengXian" w:hAnsi="Times New Roman" w:cs="Times New Roman"/>
                <w:sz w:val="18"/>
                <w:szCs w:val="18"/>
              </w:rPr>
            </w:pPr>
            <w:r w:rsidRPr="00EE41C6">
              <w:rPr>
                <w:rFonts w:ascii="Times New Roman" w:eastAsia="DengXian" w:hAnsi="Times New Roman" w:cs="Times New Roman"/>
                <w:sz w:val="18"/>
                <w:szCs w:val="18"/>
              </w:rPr>
              <w:t>_</w:t>
            </w:r>
          </w:p>
        </w:tc>
      </w:tr>
    </w:tbl>
    <w:p w14:paraId="089C140F" w14:textId="2FE7EF50" w:rsidR="004F4BD6" w:rsidRPr="00EE41C6" w:rsidRDefault="0081782D" w:rsidP="003043B7">
      <w:pPr>
        <w:rPr>
          <w:rFonts w:ascii="Times New Roman" w:hAnsi="Times New Roman" w:cs="Times New Roman"/>
          <w:sz w:val="18"/>
          <w:szCs w:val="18"/>
        </w:rPr>
      </w:pPr>
      <w:r w:rsidRPr="00EE41C6">
        <w:rPr>
          <w:rFonts w:ascii="Times New Roman" w:hAnsi="Times New Roman" w:cs="Times New Roman"/>
          <w:sz w:val="18"/>
          <w:szCs w:val="18"/>
        </w:rPr>
        <w:t xml:space="preserve">Values are assumed to remain constant after 2030 </w:t>
      </w:r>
    </w:p>
    <w:p w14:paraId="1AE988E0" w14:textId="77777777" w:rsidR="0068007A" w:rsidRPr="00EE41C6" w:rsidRDefault="0068007A" w:rsidP="004F4BD6">
      <w:pPr>
        <w:spacing w:after="0" w:line="240" w:lineRule="auto"/>
      </w:pPr>
    </w:p>
    <w:p w14:paraId="489CDFA6" w14:textId="77777777" w:rsidR="00611BEE" w:rsidRPr="00EE41C6" w:rsidRDefault="00611BEE" w:rsidP="004F4BD6">
      <w:pPr>
        <w:spacing w:after="0" w:line="240" w:lineRule="auto"/>
      </w:pPr>
    </w:p>
    <w:p w14:paraId="46704345" w14:textId="77777777" w:rsidR="00611BEE" w:rsidRPr="00EE41C6" w:rsidRDefault="00611BEE" w:rsidP="004F4BD6">
      <w:pPr>
        <w:spacing w:after="0" w:line="240" w:lineRule="auto"/>
      </w:pPr>
    </w:p>
    <w:p w14:paraId="1C711442" w14:textId="77777777" w:rsidR="00611BEE" w:rsidRPr="00EE41C6" w:rsidRDefault="00611BEE" w:rsidP="004F4BD6">
      <w:pPr>
        <w:spacing w:after="0" w:line="240" w:lineRule="auto"/>
      </w:pPr>
    </w:p>
    <w:p w14:paraId="743E15AD" w14:textId="77777777" w:rsidR="00611BEE" w:rsidRPr="00EE41C6" w:rsidRDefault="00611BEE" w:rsidP="004F4BD6">
      <w:pPr>
        <w:spacing w:after="0" w:line="240" w:lineRule="auto"/>
      </w:pPr>
    </w:p>
    <w:p w14:paraId="0C34B206" w14:textId="209735FF" w:rsidR="0068007A" w:rsidRPr="00EE41C6" w:rsidRDefault="00DB6449" w:rsidP="00DB6449">
      <w:pPr>
        <w:pStyle w:val="Caption"/>
        <w:jc w:val="center"/>
        <w:rPr>
          <w:rFonts w:ascii="Times New Roman" w:hAnsi="Times New Roman" w:cs="Times New Roman"/>
        </w:rPr>
      </w:pPr>
      <w:bookmarkStart w:id="46" w:name="_Toc167274039"/>
      <w:r w:rsidRPr="00EE41C6">
        <w:lastRenderedPageBreak/>
        <w:t xml:space="preserve">Supplementary Table </w:t>
      </w:r>
      <w:fldSimple w:instr=" SEQ Supplementary_Table \* ARABIC ">
        <w:r w:rsidR="008628F3" w:rsidRPr="00EE41C6">
          <w:rPr>
            <w:noProof/>
          </w:rPr>
          <w:t>13</w:t>
        </w:r>
      </w:fldSimple>
      <w:r w:rsidRPr="00EE41C6">
        <w:t xml:space="preserve"> </w:t>
      </w:r>
      <w:r w:rsidR="0068007A" w:rsidRPr="00EE41C6">
        <w:rPr>
          <w:rFonts w:ascii="Times New Roman" w:hAnsi="Times New Roman" w:cs="Times New Roman"/>
        </w:rPr>
        <w:t>Enhanced Weathering Cost Adder</w:t>
      </w:r>
      <w:bookmarkEnd w:id="46"/>
      <w:r w:rsidR="00637C4F" w:rsidRPr="00EE41C6">
        <w:rPr>
          <w:rFonts w:ascii="Times New Roman" w:hAnsi="Times New Roman" w:cs="Times New Roman"/>
        </w:rPr>
        <w:t xml:space="preserve">  </w:t>
      </w:r>
      <w:r w:rsidR="00637C4F"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{"citationID":"Rn9i6CBp","properties":{"formattedCitation":"\\super 15,32\\nosupersub{}","plainCitation":"15,32","noteIndex":0},"citationItems":[{"id":684,"uris":["http://zotero.org/users/local/YcBHrSK0/items/5JS8F3ST"],"itemData":{"id":684,"type":"article-journal","container-title":"Nature Climate Change","DOI":"10.1038/s41558-023-01604-9","ISSN":"1758-678X, 1758-6798","journalAbbreviation":"Nat. Clim. Chang.","language":"en","source":"DOI.org (Crossref)","title":"Diverse carbon dioxide removal approaches could reduce impacts on the energy–water–land system","URL":"https://www.nature.com/articles/s41558-023-01604-9","author":[{"family":"Fuhrman","given":"Jay"},{"family":"Bergero","given":"Candelaria"},{"family":"Weber","given":"Maridee"},{"family":"Monteith","given":"Seth"},{"family":"Wang","given":"Frances M."},{"family":"Clarens","given":"Andres F."},{"family":"Doney","given":"Scott C."},{"family":"Shobe","given":"William"},{"family":"McJeon","given":"Haewon"}],"accessed":{"date-parts":[["2023",3,20]]},"issued":{"date-parts":[["2023",3,9]]}}},{"id":1316,"uris":["http://zotero.org/users/local/YcBHrSK0/items/V58U5DWX"],"itemData":{"id":1316,"type":"article-journal","container-title":"Environmental Research Letters","DOI":"10.1088/1748-9326/aaa9c4","ISSN":"1748-9326","issue":"3","journalAbbreviation":"Environ. Res. Lett.","page":"034010","source":"DOI.org (Crossref)","title":"Potential and costs of carbon dioxide removal by enhanced weathering of rocks","volume":"13","author":[{"family":"Strefler","given":"Jessica"},{"family":"Amann","given":"Thorben"},{"family":"Bauer","given":"Nico"},{"family":"Kriegler","given":"Elmar"},{"family":"Hartmann","given":"Jens"}],"issued":{"date-parts":[["2018",3,1]]}}}],"schema":"https://github.com/citation-style-language/schema/raw/master/csl-citation.json"} </w:instrText>
      </w:r>
      <w:r w:rsidR="00637C4F"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15,32</w:t>
      </w:r>
      <w:r w:rsidR="00637C4F" w:rsidRPr="00EE41C6">
        <w:rPr>
          <w:rFonts w:ascii="Times New Roman" w:hAnsi="Times New Roman" w:cs="Times New Roman"/>
        </w:rPr>
        <w:fldChar w:fldCharType="end"/>
      </w:r>
    </w:p>
    <w:tbl>
      <w:tblPr>
        <w:tblStyle w:val="TableGrid"/>
        <w:tblW w:w="0" w:type="auto"/>
        <w:tblLook w:val="04A0" w:firstRow="1" w:lastRow="0" w:firstColumn="1" w:lastColumn="0" w:noHBand="0" w:noVBand="1"/>
      </w:tblPr>
      <w:tblGrid>
        <w:gridCol w:w="6352"/>
        <w:gridCol w:w="1014"/>
        <w:gridCol w:w="1072"/>
        <w:gridCol w:w="912"/>
      </w:tblGrid>
      <w:tr w:rsidR="0068007A" w:rsidRPr="00EE41C6" w14:paraId="32CC1B5F" w14:textId="77777777" w:rsidTr="00726652">
        <w:tc>
          <w:tcPr>
            <w:tcW w:w="0" w:type="auto"/>
          </w:tcPr>
          <w:p w14:paraId="5C9E4FF1" w14:textId="3EE057DC" w:rsidR="0068007A" w:rsidRPr="00EE41C6" w:rsidRDefault="00D257D6" w:rsidP="00150F6A">
            <w:pPr>
              <w:jc w:val="center"/>
              <w:rPr>
                <w:rFonts w:asciiTheme="majorBidi" w:hAnsiTheme="majorBidi" w:cstheme="majorBidi"/>
                <w:sz w:val="18"/>
                <w:szCs w:val="18"/>
              </w:rPr>
            </w:pPr>
            <w:r w:rsidRPr="00EE41C6">
              <w:rPr>
                <w:rFonts w:asciiTheme="majorBidi" w:hAnsiTheme="majorBidi" w:cstheme="majorBidi"/>
                <w:sz w:val="18"/>
                <w:szCs w:val="18"/>
              </w:rPr>
              <w:t>Cost type</w:t>
            </w:r>
          </w:p>
        </w:tc>
        <w:tc>
          <w:tcPr>
            <w:tcW w:w="0" w:type="auto"/>
          </w:tcPr>
          <w:p w14:paraId="406DC07E" w14:textId="77777777" w:rsidR="0068007A" w:rsidRPr="00EE41C6" w:rsidRDefault="0068007A" w:rsidP="00150F6A">
            <w:pPr>
              <w:jc w:val="center"/>
              <w:rPr>
                <w:rFonts w:asciiTheme="majorBidi" w:hAnsiTheme="majorBidi" w:cstheme="majorBidi"/>
                <w:sz w:val="18"/>
                <w:szCs w:val="18"/>
              </w:rPr>
            </w:pPr>
            <w:r w:rsidRPr="00EE41C6">
              <w:rPr>
                <w:rFonts w:asciiTheme="majorBidi" w:hAnsiTheme="majorBidi" w:cstheme="majorBidi"/>
                <w:sz w:val="18"/>
                <w:szCs w:val="18"/>
              </w:rPr>
              <w:t>Upper bound</w:t>
            </w:r>
          </w:p>
        </w:tc>
        <w:tc>
          <w:tcPr>
            <w:tcW w:w="0" w:type="auto"/>
          </w:tcPr>
          <w:p w14:paraId="4D7E89D9" w14:textId="77777777" w:rsidR="0068007A" w:rsidRPr="00EE41C6" w:rsidRDefault="0068007A" w:rsidP="00150F6A">
            <w:pPr>
              <w:jc w:val="center"/>
              <w:rPr>
                <w:rFonts w:asciiTheme="majorBidi" w:hAnsiTheme="majorBidi" w:cstheme="majorBidi"/>
                <w:sz w:val="18"/>
                <w:szCs w:val="18"/>
              </w:rPr>
            </w:pPr>
            <w:r w:rsidRPr="00EE41C6">
              <w:rPr>
                <w:rFonts w:asciiTheme="majorBidi" w:hAnsiTheme="majorBidi" w:cstheme="majorBidi"/>
                <w:sz w:val="18"/>
                <w:szCs w:val="18"/>
              </w:rPr>
              <w:t>Best estimate</w:t>
            </w:r>
          </w:p>
        </w:tc>
        <w:tc>
          <w:tcPr>
            <w:tcW w:w="0" w:type="auto"/>
          </w:tcPr>
          <w:p w14:paraId="0A7B2F24" w14:textId="77777777" w:rsidR="0068007A" w:rsidRPr="00EE41C6" w:rsidRDefault="0068007A" w:rsidP="00150F6A">
            <w:pPr>
              <w:jc w:val="center"/>
              <w:rPr>
                <w:rFonts w:asciiTheme="majorBidi" w:hAnsiTheme="majorBidi" w:cstheme="majorBidi"/>
                <w:sz w:val="18"/>
                <w:szCs w:val="18"/>
              </w:rPr>
            </w:pPr>
            <w:r w:rsidRPr="00EE41C6">
              <w:rPr>
                <w:rFonts w:asciiTheme="majorBidi" w:hAnsiTheme="majorBidi" w:cstheme="majorBidi"/>
                <w:sz w:val="18"/>
                <w:szCs w:val="18"/>
              </w:rPr>
              <w:t xml:space="preserve">Units </w:t>
            </w:r>
          </w:p>
        </w:tc>
      </w:tr>
      <w:tr w:rsidR="0068007A" w:rsidRPr="00EE41C6" w14:paraId="66981BAC" w14:textId="77777777" w:rsidTr="00726652">
        <w:tc>
          <w:tcPr>
            <w:tcW w:w="0" w:type="auto"/>
          </w:tcPr>
          <w:p w14:paraId="5B42D431" w14:textId="77777777" w:rsidR="0068007A" w:rsidRPr="00EE41C6" w:rsidRDefault="0068007A" w:rsidP="00150F6A">
            <w:pPr>
              <w:rPr>
                <w:rFonts w:asciiTheme="majorBidi" w:hAnsiTheme="majorBidi" w:cstheme="majorBidi"/>
                <w:sz w:val="18"/>
                <w:szCs w:val="18"/>
              </w:rPr>
            </w:pPr>
            <w:r w:rsidRPr="00EE41C6">
              <w:rPr>
                <w:rFonts w:asciiTheme="majorBidi" w:hAnsiTheme="majorBidi" w:cstheme="majorBidi"/>
                <w:sz w:val="18"/>
                <w:szCs w:val="18"/>
              </w:rPr>
              <w:t>Investment</w:t>
            </w:r>
          </w:p>
        </w:tc>
        <w:tc>
          <w:tcPr>
            <w:tcW w:w="0" w:type="auto"/>
          </w:tcPr>
          <w:p w14:paraId="2DD33CFC" w14:textId="77777777" w:rsidR="0068007A" w:rsidRPr="00EE41C6" w:rsidRDefault="0068007A" w:rsidP="00150F6A">
            <w:pPr>
              <w:jc w:val="center"/>
              <w:rPr>
                <w:rFonts w:asciiTheme="majorBidi" w:hAnsiTheme="majorBidi" w:cstheme="majorBidi"/>
                <w:sz w:val="18"/>
                <w:szCs w:val="18"/>
              </w:rPr>
            </w:pPr>
            <w:r w:rsidRPr="00EE41C6">
              <w:rPr>
                <w:rFonts w:asciiTheme="majorBidi" w:hAnsiTheme="majorBidi" w:cstheme="majorBidi"/>
                <w:sz w:val="18"/>
                <w:szCs w:val="18"/>
              </w:rPr>
              <w:t>$14</w:t>
            </w:r>
          </w:p>
        </w:tc>
        <w:tc>
          <w:tcPr>
            <w:tcW w:w="0" w:type="auto"/>
          </w:tcPr>
          <w:p w14:paraId="1BD75994" w14:textId="77777777" w:rsidR="0068007A" w:rsidRPr="00EE41C6" w:rsidRDefault="0068007A" w:rsidP="00150F6A">
            <w:pPr>
              <w:jc w:val="center"/>
              <w:rPr>
                <w:rFonts w:asciiTheme="majorBidi" w:hAnsiTheme="majorBidi" w:cstheme="majorBidi"/>
                <w:sz w:val="18"/>
                <w:szCs w:val="18"/>
              </w:rPr>
            </w:pPr>
            <w:r w:rsidRPr="00EE41C6">
              <w:rPr>
                <w:rFonts w:asciiTheme="majorBidi" w:hAnsiTheme="majorBidi" w:cstheme="majorBidi"/>
                <w:sz w:val="18"/>
                <w:szCs w:val="18"/>
              </w:rPr>
              <w:t>$6</w:t>
            </w:r>
          </w:p>
        </w:tc>
        <w:tc>
          <w:tcPr>
            <w:tcW w:w="0" w:type="auto"/>
          </w:tcPr>
          <w:p w14:paraId="2F9447ED" w14:textId="4D23A30F" w:rsidR="0068007A" w:rsidRPr="00EE41C6" w:rsidRDefault="0068007A" w:rsidP="00150F6A">
            <w:pPr>
              <w:jc w:val="center"/>
              <w:rPr>
                <w:rFonts w:asciiTheme="majorBidi" w:hAnsiTheme="majorBidi" w:cstheme="majorBidi"/>
                <w:sz w:val="18"/>
                <w:szCs w:val="18"/>
              </w:rPr>
            </w:pPr>
            <w:r w:rsidRPr="00EE41C6">
              <w:rPr>
                <w:rFonts w:asciiTheme="majorBidi" w:hAnsiTheme="majorBidi" w:cstheme="majorBidi"/>
                <w:sz w:val="18"/>
                <w:szCs w:val="18"/>
              </w:rPr>
              <w:t>$</w:t>
            </w:r>
            <w:r w:rsidR="00150F6A" w:rsidRPr="00EE41C6">
              <w:rPr>
                <w:rFonts w:asciiTheme="majorBidi" w:hAnsiTheme="majorBidi" w:cstheme="majorBidi"/>
                <w:sz w:val="18"/>
                <w:szCs w:val="18"/>
              </w:rPr>
              <w:t xml:space="preserve"> per </w:t>
            </w:r>
            <w:r w:rsidRPr="00EE41C6">
              <w:rPr>
                <w:rFonts w:asciiTheme="majorBidi" w:hAnsiTheme="majorBidi" w:cstheme="majorBidi"/>
                <w:sz w:val="18"/>
                <w:szCs w:val="18"/>
              </w:rPr>
              <w:t>t rock</w:t>
            </w:r>
          </w:p>
        </w:tc>
      </w:tr>
      <w:tr w:rsidR="00150F6A" w:rsidRPr="00EE41C6" w14:paraId="4AB5D8E7" w14:textId="77777777" w:rsidTr="00726652">
        <w:tc>
          <w:tcPr>
            <w:tcW w:w="0" w:type="auto"/>
          </w:tcPr>
          <w:p w14:paraId="746A87BF" w14:textId="7A5674B5" w:rsidR="00150F6A" w:rsidRPr="00EE41C6" w:rsidRDefault="00150F6A" w:rsidP="00150F6A">
            <w:pPr>
              <w:rPr>
                <w:rFonts w:asciiTheme="majorBidi" w:hAnsiTheme="majorBidi" w:cstheme="majorBidi"/>
                <w:sz w:val="18"/>
                <w:szCs w:val="18"/>
              </w:rPr>
            </w:pPr>
            <w:r w:rsidRPr="00EE41C6">
              <w:rPr>
                <w:rFonts w:asciiTheme="majorBidi" w:hAnsiTheme="majorBidi" w:cstheme="majorBidi"/>
                <w:sz w:val="18"/>
                <w:szCs w:val="18"/>
              </w:rPr>
              <w:t>Operating and maintenance (O&amp;M)</w:t>
            </w:r>
          </w:p>
        </w:tc>
        <w:tc>
          <w:tcPr>
            <w:tcW w:w="0" w:type="auto"/>
          </w:tcPr>
          <w:p w14:paraId="35E6AAAA" w14:textId="77777777" w:rsidR="00150F6A" w:rsidRPr="00EE41C6" w:rsidRDefault="00150F6A" w:rsidP="00150F6A">
            <w:pPr>
              <w:jc w:val="center"/>
              <w:rPr>
                <w:rFonts w:asciiTheme="majorBidi" w:hAnsiTheme="majorBidi" w:cstheme="majorBidi"/>
                <w:sz w:val="18"/>
                <w:szCs w:val="18"/>
              </w:rPr>
            </w:pPr>
            <w:r w:rsidRPr="00EE41C6">
              <w:rPr>
                <w:rFonts w:asciiTheme="majorBidi" w:hAnsiTheme="majorBidi" w:cstheme="majorBidi"/>
                <w:sz w:val="18"/>
                <w:szCs w:val="18"/>
              </w:rPr>
              <w:t>$59</w:t>
            </w:r>
          </w:p>
        </w:tc>
        <w:tc>
          <w:tcPr>
            <w:tcW w:w="0" w:type="auto"/>
          </w:tcPr>
          <w:p w14:paraId="6D2E1465" w14:textId="77777777" w:rsidR="00150F6A" w:rsidRPr="00EE41C6" w:rsidRDefault="00150F6A" w:rsidP="00150F6A">
            <w:pPr>
              <w:jc w:val="center"/>
              <w:rPr>
                <w:rFonts w:asciiTheme="majorBidi" w:hAnsiTheme="majorBidi" w:cstheme="majorBidi"/>
                <w:sz w:val="18"/>
                <w:szCs w:val="18"/>
              </w:rPr>
            </w:pPr>
            <w:r w:rsidRPr="00EE41C6">
              <w:rPr>
                <w:rFonts w:asciiTheme="majorBidi" w:hAnsiTheme="majorBidi" w:cstheme="majorBidi"/>
                <w:sz w:val="18"/>
                <w:szCs w:val="18"/>
              </w:rPr>
              <w:t>$26</w:t>
            </w:r>
          </w:p>
        </w:tc>
        <w:tc>
          <w:tcPr>
            <w:tcW w:w="0" w:type="auto"/>
          </w:tcPr>
          <w:p w14:paraId="1BD16253" w14:textId="083B4ABE" w:rsidR="00150F6A" w:rsidRPr="00EE41C6" w:rsidRDefault="00150F6A" w:rsidP="00150F6A">
            <w:pPr>
              <w:jc w:val="center"/>
              <w:rPr>
                <w:rFonts w:asciiTheme="majorBidi" w:hAnsiTheme="majorBidi" w:cstheme="majorBidi"/>
                <w:sz w:val="18"/>
                <w:szCs w:val="18"/>
              </w:rPr>
            </w:pPr>
            <w:r w:rsidRPr="00EE41C6">
              <w:rPr>
                <w:rFonts w:asciiTheme="majorBidi" w:hAnsiTheme="majorBidi" w:cstheme="majorBidi"/>
                <w:sz w:val="18"/>
                <w:szCs w:val="18"/>
              </w:rPr>
              <w:t>$ per t rock</w:t>
            </w:r>
          </w:p>
        </w:tc>
      </w:tr>
      <w:tr w:rsidR="00150F6A" w:rsidRPr="00EE41C6" w14:paraId="73CB9530" w14:textId="77777777" w:rsidTr="00726652">
        <w:tc>
          <w:tcPr>
            <w:tcW w:w="0" w:type="auto"/>
            <w:vMerge w:val="restart"/>
          </w:tcPr>
          <w:p w14:paraId="3D4EEC16" w14:textId="77777777" w:rsidR="00150F6A" w:rsidRPr="00EE41C6" w:rsidRDefault="00150F6A" w:rsidP="00150F6A">
            <w:pPr>
              <w:rPr>
                <w:rFonts w:asciiTheme="majorBidi" w:hAnsiTheme="majorBidi" w:cstheme="majorBidi"/>
                <w:sz w:val="18"/>
                <w:szCs w:val="18"/>
              </w:rPr>
            </w:pPr>
          </w:p>
          <w:p w14:paraId="17C3DD7D" w14:textId="77777777" w:rsidR="00150F6A" w:rsidRPr="00EE41C6" w:rsidRDefault="00150F6A" w:rsidP="00150F6A">
            <w:pPr>
              <w:rPr>
                <w:rFonts w:asciiTheme="majorBidi" w:hAnsiTheme="majorBidi" w:cstheme="majorBidi"/>
                <w:sz w:val="18"/>
                <w:szCs w:val="18"/>
              </w:rPr>
            </w:pPr>
            <w:r w:rsidRPr="00EE41C6">
              <w:rPr>
                <w:rFonts w:asciiTheme="majorBidi" w:hAnsiTheme="majorBidi" w:cstheme="majorBidi"/>
                <w:sz w:val="18"/>
                <w:szCs w:val="18"/>
              </w:rPr>
              <w:t>Total non-cost fuel</w:t>
            </w:r>
          </w:p>
        </w:tc>
        <w:tc>
          <w:tcPr>
            <w:tcW w:w="0" w:type="auto"/>
          </w:tcPr>
          <w:p w14:paraId="5014C18D" w14:textId="77777777" w:rsidR="00150F6A" w:rsidRPr="00EE41C6" w:rsidRDefault="00150F6A" w:rsidP="00150F6A">
            <w:pPr>
              <w:jc w:val="center"/>
              <w:rPr>
                <w:rFonts w:asciiTheme="majorBidi" w:hAnsiTheme="majorBidi" w:cstheme="majorBidi"/>
                <w:sz w:val="18"/>
                <w:szCs w:val="18"/>
              </w:rPr>
            </w:pPr>
            <w:r w:rsidRPr="00EE41C6">
              <w:rPr>
                <w:rFonts w:asciiTheme="majorBidi" w:hAnsiTheme="majorBidi" w:cstheme="majorBidi"/>
                <w:sz w:val="18"/>
                <w:szCs w:val="18"/>
              </w:rPr>
              <w:t>$73</w:t>
            </w:r>
          </w:p>
        </w:tc>
        <w:tc>
          <w:tcPr>
            <w:tcW w:w="0" w:type="auto"/>
          </w:tcPr>
          <w:p w14:paraId="47522074" w14:textId="77777777" w:rsidR="00150F6A" w:rsidRPr="00EE41C6" w:rsidRDefault="00150F6A" w:rsidP="00150F6A">
            <w:pPr>
              <w:jc w:val="center"/>
              <w:rPr>
                <w:rFonts w:asciiTheme="majorBidi" w:hAnsiTheme="majorBidi" w:cstheme="majorBidi"/>
                <w:sz w:val="18"/>
                <w:szCs w:val="18"/>
              </w:rPr>
            </w:pPr>
            <w:r w:rsidRPr="00EE41C6">
              <w:rPr>
                <w:rFonts w:asciiTheme="majorBidi" w:hAnsiTheme="majorBidi" w:cstheme="majorBidi"/>
                <w:sz w:val="18"/>
                <w:szCs w:val="18"/>
              </w:rPr>
              <w:t>$31</w:t>
            </w:r>
          </w:p>
        </w:tc>
        <w:tc>
          <w:tcPr>
            <w:tcW w:w="0" w:type="auto"/>
          </w:tcPr>
          <w:p w14:paraId="34B3E100" w14:textId="052E544F" w:rsidR="00150F6A" w:rsidRPr="00EE41C6" w:rsidRDefault="00150F6A" w:rsidP="00150F6A">
            <w:pPr>
              <w:jc w:val="center"/>
              <w:rPr>
                <w:rFonts w:asciiTheme="majorBidi" w:hAnsiTheme="majorBidi" w:cstheme="majorBidi"/>
                <w:sz w:val="18"/>
                <w:szCs w:val="18"/>
              </w:rPr>
            </w:pPr>
            <w:r w:rsidRPr="00EE41C6">
              <w:rPr>
                <w:rFonts w:asciiTheme="majorBidi" w:hAnsiTheme="majorBidi" w:cstheme="majorBidi"/>
                <w:sz w:val="18"/>
                <w:szCs w:val="18"/>
              </w:rPr>
              <w:t>$ per t rock</w:t>
            </w:r>
          </w:p>
        </w:tc>
      </w:tr>
      <w:tr w:rsidR="0068007A" w:rsidRPr="00EE41C6" w14:paraId="77F4BE1A" w14:textId="77777777" w:rsidTr="00726652">
        <w:tc>
          <w:tcPr>
            <w:tcW w:w="0" w:type="auto"/>
            <w:vMerge/>
          </w:tcPr>
          <w:p w14:paraId="64274A9F" w14:textId="77777777" w:rsidR="0068007A" w:rsidRPr="00EE41C6" w:rsidRDefault="0068007A" w:rsidP="00150F6A">
            <w:pPr>
              <w:rPr>
                <w:rFonts w:asciiTheme="majorBidi" w:hAnsiTheme="majorBidi" w:cstheme="majorBidi"/>
                <w:sz w:val="18"/>
                <w:szCs w:val="18"/>
              </w:rPr>
            </w:pPr>
          </w:p>
        </w:tc>
        <w:tc>
          <w:tcPr>
            <w:tcW w:w="0" w:type="auto"/>
          </w:tcPr>
          <w:p w14:paraId="52669D16" w14:textId="77777777" w:rsidR="0068007A" w:rsidRPr="00EE41C6" w:rsidRDefault="0068007A" w:rsidP="00150F6A">
            <w:pPr>
              <w:jc w:val="center"/>
              <w:rPr>
                <w:rFonts w:asciiTheme="majorBidi" w:hAnsiTheme="majorBidi" w:cstheme="majorBidi"/>
                <w:sz w:val="18"/>
                <w:szCs w:val="18"/>
              </w:rPr>
            </w:pPr>
            <w:r w:rsidRPr="00EE41C6">
              <w:rPr>
                <w:rFonts w:asciiTheme="majorBidi" w:hAnsiTheme="majorBidi" w:cstheme="majorBidi"/>
                <w:sz w:val="18"/>
                <w:szCs w:val="18"/>
              </w:rPr>
              <w:t>$242</w:t>
            </w:r>
          </w:p>
        </w:tc>
        <w:tc>
          <w:tcPr>
            <w:tcW w:w="0" w:type="auto"/>
          </w:tcPr>
          <w:p w14:paraId="45A54157" w14:textId="77777777" w:rsidR="0068007A" w:rsidRPr="00EE41C6" w:rsidRDefault="0068007A" w:rsidP="00150F6A">
            <w:pPr>
              <w:jc w:val="center"/>
              <w:rPr>
                <w:rFonts w:asciiTheme="majorBidi" w:hAnsiTheme="majorBidi" w:cstheme="majorBidi"/>
                <w:sz w:val="18"/>
                <w:szCs w:val="18"/>
              </w:rPr>
            </w:pPr>
            <w:r w:rsidRPr="00EE41C6">
              <w:rPr>
                <w:rFonts w:asciiTheme="majorBidi" w:hAnsiTheme="majorBidi" w:cstheme="majorBidi"/>
                <w:sz w:val="18"/>
                <w:szCs w:val="18"/>
              </w:rPr>
              <w:t>$104</w:t>
            </w:r>
          </w:p>
        </w:tc>
        <w:tc>
          <w:tcPr>
            <w:tcW w:w="0" w:type="auto"/>
          </w:tcPr>
          <w:p w14:paraId="6FC8731B" w14:textId="3EA0D2EA" w:rsidR="0068007A" w:rsidRPr="00EE41C6" w:rsidRDefault="0068007A" w:rsidP="00150F6A">
            <w:pPr>
              <w:jc w:val="center"/>
              <w:rPr>
                <w:rFonts w:asciiTheme="majorBidi" w:hAnsiTheme="majorBidi" w:cstheme="majorBidi"/>
                <w:sz w:val="18"/>
                <w:szCs w:val="18"/>
              </w:rPr>
            </w:pPr>
            <w:r w:rsidRPr="00EE41C6">
              <w:rPr>
                <w:rFonts w:asciiTheme="majorBidi" w:hAnsiTheme="majorBidi" w:cstheme="majorBidi"/>
                <w:sz w:val="18"/>
                <w:szCs w:val="18"/>
              </w:rPr>
              <w:t>$</w:t>
            </w:r>
            <w:r w:rsidR="00150F6A" w:rsidRPr="00EE41C6">
              <w:rPr>
                <w:rFonts w:asciiTheme="majorBidi" w:hAnsiTheme="majorBidi" w:cstheme="majorBidi"/>
                <w:sz w:val="18"/>
                <w:szCs w:val="18"/>
              </w:rPr>
              <w:t xml:space="preserve"> per </w:t>
            </w:r>
            <w:r w:rsidRPr="00EE41C6">
              <w:rPr>
                <w:rFonts w:asciiTheme="majorBidi" w:hAnsiTheme="majorBidi" w:cstheme="majorBidi"/>
                <w:sz w:val="18"/>
                <w:szCs w:val="18"/>
              </w:rPr>
              <w:t>t CO</w:t>
            </w:r>
            <w:r w:rsidRPr="00EE41C6">
              <w:rPr>
                <w:rFonts w:asciiTheme="majorBidi" w:hAnsiTheme="majorBidi" w:cstheme="majorBidi"/>
                <w:sz w:val="18"/>
                <w:szCs w:val="18"/>
                <w:vertAlign w:val="subscript"/>
              </w:rPr>
              <w:t>2</w:t>
            </w:r>
          </w:p>
        </w:tc>
      </w:tr>
      <w:tr w:rsidR="0068007A" w:rsidRPr="00EE41C6" w14:paraId="6EF69217" w14:textId="77777777" w:rsidTr="00726652">
        <w:tc>
          <w:tcPr>
            <w:tcW w:w="0" w:type="auto"/>
          </w:tcPr>
          <w:p w14:paraId="032DEFD9" w14:textId="77777777" w:rsidR="0068007A" w:rsidRPr="00EE41C6" w:rsidRDefault="0068007A" w:rsidP="00150F6A">
            <w:pPr>
              <w:rPr>
                <w:rFonts w:asciiTheme="majorBidi" w:hAnsiTheme="majorBidi" w:cstheme="majorBidi"/>
                <w:sz w:val="18"/>
                <w:szCs w:val="18"/>
              </w:rPr>
            </w:pPr>
            <w:r w:rsidRPr="00EE41C6">
              <w:rPr>
                <w:rFonts w:asciiTheme="majorBidi" w:hAnsiTheme="majorBidi" w:cstheme="majorBidi"/>
                <w:sz w:val="18"/>
                <w:szCs w:val="18"/>
              </w:rPr>
              <w:t>Difference between upper bound + best estimate (2020 cost adder for GCAM assumption; declines to zero by 2050)</w:t>
            </w:r>
          </w:p>
        </w:tc>
        <w:tc>
          <w:tcPr>
            <w:tcW w:w="0" w:type="auto"/>
            <w:gridSpan w:val="2"/>
          </w:tcPr>
          <w:p w14:paraId="145709D0" w14:textId="77777777" w:rsidR="0068007A" w:rsidRPr="00EE41C6" w:rsidRDefault="0068007A" w:rsidP="00150F6A">
            <w:pPr>
              <w:jc w:val="center"/>
              <w:rPr>
                <w:rFonts w:asciiTheme="majorBidi" w:hAnsiTheme="majorBidi" w:cstheme="majorBidi"/>
                <w:sz w:val="18"/>
                <w:szCs w:val="18"/>
              </w:rPr>
            </w:pPr>
            <w:r w:rsidRPr="00EE41C6">
              <w:rPr>
                <w:rFonts w:asciiTheme="majorBidi" w:hAnsiTheme="majorBidi" w:cstheme="majorBidi"/>
                <w:sz w:val="18"/>
                <w:szCs w:val="18"/>
              </w:rPr>
              <w:t>$138</w:t>
            </w:r>
          </w:p>
        </w:tc>
        <w:tc>
          <w:tcPr>
            <w:tcW w:w="0" w:type="auto"/>
          </w:tcPr>
          <w:p w14:paraId="6A2029F5" w14:textId="50E655B1" w:rsidR="0068007A" w:rsidRPr="00EE41C6" w:rsidRDefault="0068007A" w:rsidP="00150F6A">
            <w:pPr>
              <w:jc w:val="center"/>
              <w:rPr>
                <w:rFonts w:asciiTheme="majorBidi" w:hAnsiTheme="majorBidi" w:cstheme="majorBidi"/>
                <w:sz w:val="18"/>
                <w:szCs w:val="18"/>
              </w:rPr>
            </w:pPr>
            <w:r w:rsidRPr="00EE41C6">
              <w:rPr>
                <w:rFonts w:asciiTheme="majorBidi" w:hAnsiTheme="majorBidi" w:cstheme="majorBidi"/>
                <w:sz w:val="18"/>
                <w:szCs w:val="18"/>
              </w:rPr>
              <w:t>$</w:t>
            </w:r>
            <w:r w:rsidR="00150F6A" w:rsidRPr="00EE41C6">
              <w:rPr>
                <w:rFonts w:asciiTheme="majorBidi" w:hAnsiTheme="majorBidi" w:cstheme="majorBidi"/>
                <w:sz w:val="18"/>
                <w:szCs w:val="18"/>
              </w:rPr>
              <w:t xml:space="preserve"> per </w:t>
            </w:r>
            <w:r w:rsidRPr="00EE41C6">
              <w:rPr>
                <w:rFonts w:asciiTheme="majorBidi" w:hAnsiTheme="majorBidi" w:cstheme="majorBidi"/>
                <w:sz w:val="18"/>
                <w:szCs w:val="18"/>
              </w:rPr>
              <w:t>t CO</w:t>
            </w:r>
            <w:r w:rsidRPr="00EE41C6">
              <w:rPr>
                <w:rFonts w:asciiTheme="majorBidi" w:hAnsiTheme="majorBidi" w:cstheme="majorBidi"/>
                <w:sz w:val="18"/>
                <w:szCs w:val="18"/>
                <w:vertAlign w:val="subscript"/>
              </w:rPr>
              <w:t>2</w:t>
            </w:r>
          </w:p>
        </w:tc>
      </w:tr>
    </w:tbl>
    <w:p w14:paraId="044F6064" w14:textId="77777777" w:rsidR="0068007A" w:rsidRPr="00EE41C6" w:rsidRDefault="0068007A" w:rsidP="004F6526">
      <w:pPr>
        <w:spacing w:after="0" w:line="240" w:lineRule="auto"/>
      </w:pPr>
    </w:p>
    <w:p w14:paraId="4CB12833" w14:textId="77777777" w:rsidR="004F6526" w:rsidRPr="00EE41C6" w:rsidRDefault="004F6526" w:rsidP="00DB6449">
      <w:pPr>
        <w:spacing w:after="0" w:line="240" w:lineRule="auto"/>
      </w:pPr>
    </w:p>
    <w:p w14:paraId="14B87AC4" w14:textId="77777777" w:rsidR="004F6526" w:rsidRPr="00EE41C6" w:rsidRDefault="004F6526" w:rsidP="00DB6449">
      <w:pPr>
        <w:spacing w:after="0" w:line="240" w:lineRule="auto"/>
      </w:pPr>
    </w:p>
    <w:p w14:paraId="79180031" w14:textId="53030EB0" w:rsidR="0068007A" w:rsidRPr="00EE41C6" w:rsidRDefault="00DB6449" w:rsidP="00DB6449">
      <w:pPr>
        <w:pStyle w:val="Caption"/>
        <w:jc w:val="center"/>
        <w:rPr>
          <w:rFonts w:ascii="Times New Roman" w:hAnsi="Times New Roman" w:cs="Times New Roman"/>
        </w:rPr>
      </w:pPr>
      <w:bookmarkStart w:id="47" w:name="_Toc167274040"/>
      <w:r w:rsidRPr="00EE41C6">
        <w:t xml:space="preserve">Supplementary Table </w:t>
      </w:r>
      <w:fldSimple w:instr=" SEQ Supplementary_Table \* ARABIC ">
        <w:r w:rsidR="008628F3" w:rsidRPr="00EE41C6">
          <w:rPr>
            <w:noProof/>
          </w:rPr>
          <w:t>14</w:t>
        </w:r>
      </w:fldSimple>
      <w:r w:rsidRPr="00EE41C6">
        <w:t xml:space="preserve"> </w:t>
      </w:r>
      <w:r w:rsidR="0068007A" w:rsidRPr="00EE41C6">
        <w:rPr>
          <w:rFonts w:ascii="Times New Roman" w:hAnsi="Times New Roman" w:cs="Times New Roman"/>
        </w:rPr>
        <w:t>Electrical energy inputs for enhanced weathering</w:t>
      </w:r>
      <w:bookmarkEnd w:id="47"/>
      <w:r w:rsidR="00637C4F" w:rsidRPr="00EE41C6">
        <w:rPr>
          <w:rFonts w:ascii="Times New Roman" w:hAnsi="Times New Roman" w:cs="Times New Roman"/>
        </w:rPr>
        <w:t xml:space="preserve">  </w:t>
      </w:r>
      <w:r w:rsidR="00637C4F" w:rsidRPr="00EE41C6">
        <w:rPr>
          <w:rFonts w:ascii="Times New Roman" w:hAnsi="Times New Roman" w:cs="Times New Roman"/>
        </w:rPr>
        <w:fldChar w:fldCharType="begin"/>
      </w:r>
      <w:r w:rsidR="00005AF3" w:rsidRPr="00EE41C6">
        <w:rPr>
          <w:rFonts w:ascii="Times New Roman" w:hAnsi="Times New Roman" w:cs="Times New Roman"/>
        </w:rPr>
        <w:instrText xml:space="preserve"> ADDIN ZOTERO_ITEM CSL_CITATION {"citationID":"rOsXBvZd","properties":{"formattedCitation":"\\super 15,32\\nosupersub{}","plainCitation":"15,32","noteIndex":0},"citationItems":[{"id":684,"uris":["http://zotero.org/users/local/YcBHrSK0/items/5JS8F3ST"],"itemData":{"id":684,"type":"article-journal","container-title":"Nature Climate Change","DOI":"10.1038/s41558-023-01604-9","ISSN":"1758-678X, 1758-6798","journalAbbreviation":"Nat. Clim. Chang.","language":"en","source":"DOI.org (Crossref)","title":"Diverse carbon dioxide removal approaches could reduce impacts on the energy–water–land system","URL":"https://www.nature.com/articles/s41558-023-01604-9","author":[{"family":"Fuhrman","given":"Jay"},{"family":"Bergero","given":"Candelaria"},{"family":"Weber","given":"Maridee"},{"family":"Monteith","given":"Seth"},{"family":"Wang","given":"Frances M."},{"family":"Clarens","given":"Andres F."},{"family":"Doney","given":"Scott C."},{"family":"Shobe","given":"William"},{"family":"McJeon","given":"Haewon"}],"accessed":{"date-parts":[["2023",3,20]]},"issued":{"date-parts":[["2023",3,9]]}}},{"id":1316,"uris":["http://zotero.org/users/local/YcBHrSK0/items/V58U5DWX"],"itemData":{"id":1316,"type":"article-journal","container-title":"Environmental Research Letters","DOI":"10.1088/1748-9326/aaa9c4","ISSN":"1748-9326","issue":"3","journalAbbreviation":"Environ. Res. Lett.","page":"034010","source":"DOI.org (Crossref)","title":"Potential and costs of carbon dioxide removal by enhanced weathering of rocks","volume":"13","author":[{"family":"Strefler","given":"Jessica"},{"family":"Amann","given":"Thorben"},{"family":"Bauer","given":"Nico"},{"family":"Kriegler","given":"Elmar"},{"family":"Hartmann","given":"Jens"}],"issued":{"date-parts":[["2018",3,1]]}}}],"schema":"https://github.com/citation-style-language/schema/raw/master/csl-citation.json"} </w:instrText>
      </w:r>
      <w:r w:rsidR="00637C4F" w:rsidRPr="00EE41C6">
        <w:rPr>
          <w:rFonts w:ascii="Times New Roman" w:hAnsi="Times New Roman" w:cs="Times New Roman"/>
        </w:rPr>
        <w:fldChar w:fldCharType="separate"/>
      </w:r>
      <w:r w:rsidR="00005AF3" w:rsidRPr="00EE41C6">
        <w:rPr>
          <w:rFonts w:ascii="Times New Roman" w:hAnsi="Times New Roman" w:cs="Times New Roman"/>
          <w:kern w:val="0"/>
          <w:szCs w:val="24"/>
          <w:vertAlign w:val="superscript"/>
        </w:rPr>
        <w:t>15,32</w:t>
      </w:r>
      <w:r w:rsidR="00637C4F" w:rsidRPr="00EE41C6">
        <w:rPr>
          <w:rFonts w:ascii="Times New Roman" w:hAnsi="Times New Roman" w:cs="Times New Roman"/>
        </w:rPr>
        <w:fldChar w:fldCharType="end"/>
      </w:r>
    </w:p>
    <w:tbl>
      <w:tblPr>
        <w:tblStyle w:val="TableGrid"/>
        <w:tblW w:w="0" w:type="auto"/>
        <w:jc w:val="center"/>
        <w:tblLook w:val="04A0" w:firstRow="1" w:lastRow="0" w:firstColumn="1" w:lastColumn="0" w:noHBand="0" w:noVBand="1"/>
      </w:tblPr>
      <w:tblGrid>
        <w:gridCol w:w="1181"/>
        <w:gridCol w:w="531"/>
        <w:gridCol w:w="1971"/>
      </w:tblGrid>
      <w:tr w:rsidR="0068007A" w:rsidRPr="00EE41C6" w14:paraId="1042CDBA" w14:textId="77777777" w:rsidTr="00726652">
        <w:trPr>
          <w:jc w:val="center"/>
        </w:trPr>
        <w:tc>
          <w:tcPr>
            <w:tcW w:w="0" w:type="auto"/>
          </w:tcPr>
          <w:p w14:paraId="28CC45A6" w14:textId="77777777" w:rsidR="0068007A" w:rsidRPr="00EE41C6" w:rsidRDefault="0068007A" w:rsidP="00726652">
            <w:pPr>
              <w:spacing w:line="480" w:lineRule="auto"/>
              <w:jc w:val="center"/>
              <w:rPr>
                <w:rFonts w:asciiTheme="majorBidi" w:hAnsiTheme="majorBidi" w:cstheme="majorBidi"/>
                <w:sz w:val="18"/>
                <w:szCs w:val="18"/>
              </w:rPr>
            </w:pPr>
            <w:r w:rsidRPr="00EE41C6">
              <w:rPr>
                <w:rFonts w:asciiTheme="majorBidi" w:hAnsiTheme="majorBidi" w:cstheme="majorBidi"/>
                <w:sz w:val="18"/>
                <w:szCs w:val="18"/>
              </w:rPr>
              <w:t>Best estimate</w:t>
            </w:r>
          </w:p>
        </w:tc>
        <w:tc>
          <w:tcPr>
            <w:tcW w:w="0" w:type="auto"/>
          </w:tcPr>
          <w:p w14:paraId="3F98AFDF" w14:textId="77777777" w:rsidR="0068007A" w:rsidRPr="00EE41C6" w:rsidRDefault="0068007A" w:rsidP="00726652">
            <w:pPr>
              <w:spacing w:line="480" w:lineRule="auto"/>
              <w:jc w:val="center"/>
              <w:rPr>
                <w:rFonts w:asciiTheme="majorBidi" w:hAnsiTheme="majorBidi" w:cstheme="majorBidi"/>
                <w:sz w:val="18"/>
                <w:szCs w:val="18"/>
              </w:rPr>
            </w:pPr>
            <w:r w:rsidRPr="00EE41C6">
              <w:rPr>
                <w:rFonts w:asciiTheme="majorBidi" w:hAnsiTheme="majorBidi" w:cstheme="majorBidi"/>
                <w:sz w:val="18"/>
                <w:szCs w:val="18"/>
              </w:rPr>
              <w:t>0.66</w:t>
            </w:r>
          </w:p>
        </w:tc>
        <w:tc>
          <w:tcPr>
            <w:tcW w:w="0" w:type="auto"/>
          </w:tcPr>
          <w:p w14:paraId="5F9FCB30" w14:textId="5E843B4B" w:rsidR="0068007A" w:rsidRPr="00EE41C6" w:rsidRDefault="00150F6A" w:rsidP="00726652">
            <w:pPr>
              <w:spacing w:line="480" w:lineRule="auto"/>
              <w:jc w:val="center"/>
              <w:rPr>
                <w:rFonts w:asciiTheme="majorBidi" w:hAnsiTheme="majorBidi" w:cstheme="majorBidi"/>
                <w:sz w:val="18"/>
                <w:szCs w:val="18"/>
              </w:rPr>
            </w:pPr>
            <w:r w:rsidRPr="00EE41C6">
              <w:rPr>
                <w:rFonts w:asciiTheme="majorBidi" w:hAnsiTheme="majorBidi" w:cstheme="majorBidi"/>
                <w:sz w:val="18"/>
                <w:szCs w:val="18"/>
              </w:rPr>
              <w:t>Gigajoule (</w:t>
            </w:r>
            <w:r w:rsidR="0068007A" w:rsidRPr="00EE41C6">
              <w:rPr>
                <w:rFonts w:asciiTheme="majorBidi" w:hAnsiTheme="majorBidi" w:cstheme="majorBidi"/>
                <w:sz w:val="18"/>
                <w:szCs w:val="18"/>
              </w:rPr>
              <w:t>GJ</w:t>
            </w:r>
            <w:r w:rsidRPr="00EE41C6">
              <w:rPr>
                <w:rFonts w:asciiTheme="majorBidi" w:hAnsiTheme="majorBidi" w:cstheme="majorBidi"/>
                <w:sz w:val="18"/>
                <w:szCs w:val="18"/>
              </w:rPr>
              <w:t xml:space="preserve">) per </w:t>
            </w:r>
            <w:r w:rsidR="0068007A" w:rsidRPr="00EE41C6">
              <w:rPr>
                <w:rFonts w:asciiTheme="majorBidi" w:hAnsiTheme="majorBidi" w:cstheme="majorBidi"/>
                <w:sz w:val="18"/>
                <w:szCs w:val="18"/>
              </w:rPr>
              <w:t>tCO</w:t>
            </w:r>
            <w:r w:rsidR="0068007A" w:rsidRPr="00EE41C6">
              <w:rPr>
                <w:rFonts w:asciiTheme="majorBidi" w:hAnsiTheme="majorBidi" w:cstheme="majorBidi"/>
                <w:sz w:val="18"/>
                <w:szCs w:val="18"/>
                <w:vertAlign w:val="subscript"/>
              </w:rPr>
              <w:t>2</w:t>
            </w:r>
          </w:p>
        </w:tc>
      </w:tr>
      <w:tr w:rsidR="0068007A" w:rsidRPr="00EE41C6" w14:paraId="0B879683" w14:textId="77777777" w:rsidTr="00726652">
        <w:trPr>
          <w:jc w:val="center"/>
        </w:trPr>
        <w:tc>
          <w:tcPr>
            <w:tcW w:w="0" w:type="auto"/>
          </w:tcPr>
          <w:p w14:paraId="6DDB1183" w14:textId="77777777" w:rsidR="0068007A" w:rsidRPr="00EE41C6" w:rsidRDefault="0068007A" w:rsidP="00726652">
            <w:pPr>
              <w:spacing w:line="480" w:lineRule="auto"/>
              <w:jc w:val="center"/>
              <w:rPr>
                <w:rFonts w:asciiTheme="majorBidi" w:hAnsiTheme="majorBidi" w:cstheme="majorBidi"/>
                <w:sz w:val="18"/>
                <w:szCs w:val="18"/>
              </w:rPr>
            </w:pPr>
            <w:r w:rsidRPr="00EE41C6">
              <w:rPr>
                <w:rFonts w:asciiTheme="majorBidi" w:hAnsiTheme="majorBidi" w:cstheme="majorBidi"/>
                <w:sz w:val="18"/>
                <w:szCs w:val="18"/>
              </w:rPr>
              <w:t>Lower bound</w:t>
            </w:r>
          </w:p>
        </w:tc>
        <w:tc>
          <w:tcPr>
            <w:tcW w:w="0" w:type="auto"/>
          </w:tcPr>
          <w:p w14:paraId="083BD098" w14:textId="77777777" w:rsidR="0068007A" w:rsidRPr="00EE41C6" w:rsidRDefault="0068007A" w:rsidP="00726652">
            <w:pPr>
              <w:spacing w:line="480" w:lineRule="auto"/>
              <w:jc w:val="center"/>
              <w:rPr>
                <w:rFonts w:asciiTheme="majorBidi" w:hAnsiTheme="majorBidi" w:cstheme="majorBidi"/>
                <w:sz w:val="18"/>
                <w:szCs w:val="18"/>
              </w:rPr>
            </w:pPr>
            <w:r w:rsidRPr="00EE41C6">
              <w:rPr>
                <w:rFonts w:asciiTheme="majorBidi" w:hAnsiTheme="majorBidi" w:cstheme="majorBidi"/>
                <w:sz w:val="18"/>
                <w:szCs w:val="18"/>
              </w:rPr>
              <w:t>0.23</w:t>
            </w:r>
          </w:p>
        </w:tc>
        <w:tc>
          <w:tcPr>
            <w:tcW w:w="0" w:type="auto"/>
          </w:tcPr>
          <w:p w14:paraId="79BE1063" w14:textId="2DD26151" w:rsidR="0068007A" w:rsidRPr="00EE41C6" w:rsidRDefault="0068007A" w:rsidP="00726652">
            <w:pPr>
              <w:spacing w:line="480" w:lineRule="auto"/>
              <w:jc w:val="center"/>
              <w:rPr>
                <w:rFonts w:asciiTheme="majorBidi" w:hAnsiTheme="majorBidi" w:cstheme="majorBidi"/>
                <w:sz w:val="18"/>
                <w:szCs w:val="18"/>
              </w:rPr>
            </w:pPr>
            <w:r w:rsidRPr="00EE41C6">
              <w:rPr>
                <w:rFonts w:asciiTheme="majorBidi" w:hAnsiTheme="majorBidi" w:cstheme="majorBidi"/>
                <w:sz w:val="18"/>
                <w:szCs w:val="18"/>
              </w:rPr>
              <w:t>GJ</w:t>
            </w:r>
            <w:r w:rsidR="00150F6A" w:rsidRPr="00EE41C6">
              <w:rPr>
                <w:rFonts w:asciiTheme="majorBidi" w:hAnsiTheme="majorBidi" w:cstheme="majorBidi"/>
                <w:sz w:val="18"/>
                <w:szCs w:val="18"/>
              </w:rPr>
              <w:t xml:space="preserve"> per </w:t>
            </w:r>
            <w:r w:rsidRPr="00EE41C6">
              <w:rPr>
                <w:rFonts w:asciiTheme="majorBidi" w:hAnsiTheme="majorBidi" w:cstheme="majorBidi"/>
                <w:sz w:val="18"/>
                <w:szCs w:val="18"/>
              </w:rPr>
              <w:t>tCO</w:t>
            </w:r>
            <w:r w:rsidRPr="00EE41C6">
              <w:rPr>
                <w:rFonts w:asciiTheme="majorBidi" w:hAnsiTheme="majorBidi" w:cstheme="majorBidi"/>
                <w:sz w:val="18"/>
                <w:szCs w:val="18"/>
                <w:vertAlign w:val="subscript"/>
              </w:rPr>
              <w:t>2</w:t>
            </w:r>
          </w:p>
        </w:tc>
      </w:tr>
      <w:tr w:rsidR="0068007A" w:rsidRPr="00EE41C6" w14:paraId="1E1CD0D5" w14:textId="77777777" w:rsidTr="00726652">
        <w:trPr>
          <w:jc w:val="center"/>
        </w:trPr>
        <w:tc>
          <w:tcPr>
            <w:tcW w:w="0" w:type="auto"/>
          </w:tcPr>
          <w:p w14:paraId="6BA5CC78" w14:textId="77777777" w:rsidR="0068007A" w:rsidRPr="00EE41C6" w:rsidRDefault="0068007A" w:rsidP="00726652">
            <w:pPr>
              <w:spacing w:line="480" w:lineRule="auto"/>
              <w:jc w:val="center"/>
              <w:rPr>
                <w:rFonts w:asciiTheme="majorBidi" w:hAnsiTheme="majorBidi" w:cstheme="majorBidi"/>
                <w:sz w:val="18"/>
                <w:szCs w:val="18"/>
              </w:rPr>
            </w:pPr>
            <w:r w:rsidRPr="00EE41C6">
              <w:rPr>
                <w:rFonts w:asciiTheme="majorBidi" w:hAnsiTheme="majorBidi" w:cstheme="majorBidi"/>
                <w:sz w:val="18"/>
                <w:szCs w:val="18"/>
              </w:rPr>
              <w:t>Upper bound</w:t>
            </w:r>
          </w:p>
        </w:tc>
        <w:tc>
          <w:tcPr>
            <w:tcW w:w="0" w:type="auto"/>
          </w:tcPr>
          <w:p w14:paraId="52A2103A" w14:textId="77777777" w:rsidR="0068007A" w:rsidRPr="00EE41C6" w:rsidRDefault="0068007A" w:rsidP="00726652">
            <w:pPr>
              <w:spacing w:line="480" w:lineRule="auto"/>
              <w:jc w:val="center"/>
              <w:rPr>
                <w:rFonts w:asciiTheme="majorBidi" w:hAnsiTheme="majorBidi" w:cstheme="majorBidi"/>
                <w:sz w:val="18"/>
                <w:szCs w:val="18"/>
              </w:rPr>
            </w:pPr>
            <w:r w:rsidRPr="00EE41C6">
              <w:rPr>
                <w:rFonts w:asciiTheme="majorBidi" w:hAnsiTheme="majorBidi" w:cstheme="majorBidi"/>
                <w:sz w:val="18"/>
                <w:szCs w:val="18"/>
              </w:rPr>
              <w:t>2.03</w:t>
            </w:r>
          </w:p>
        </w:tc>
        <w:tc>
          <w:tcPr>
            <w:tcW w:w="0" w:type="auto"/>
          </w:tcPr>
          <w:p w14:paraId="2E556BFF" w14:textId="4A461604" w:rsidR="0068007A" w:rsidRPr="00EE41C6" w:rsidRDefault="0068007A" w:rsidP="00726652">
            <w:pPr>
              <w:spacing w:line="480" w:lineRule="auto"/>
              <w:jc w:val="center"/>
              <w:rPr>
                <w:rFonts w:asciiTheme="majorBidi" w:hAnsiTheme="majorBidi" w:cstheme="majorBidi"/>
                <w:sz w:val="18"/>
                <w:szCs w:val="18"/>
              </w:rPr>
            </w:pPr>
            <w:r w:rsidRPr="00EE41C6">
              <w:rPr>
                <w:rFonts w:asciiTheme="majorBidi" w:hAnsiTheme="majorBidi" w:cstheme="majorBidi"/>
                <w:sz w:val="18"/>
                <w:szCs w:val="18"/>
              </w:rPr>
              <w:t>GJ</w:t>
            </w:r>
            <w:r w:rsidR="00150F6A" w:rsidRPr="00EE41C6">
              <w:rPr>
                <w:rFonts w:asciiTheme="majorBidi" w:hAnsiTheme="majorBidi" w:cstheme="majorBidi"/>
                <w:sz w:val="18"/>
                <w:szCs w:val="18"/>
              </w:rPr>
              <w:t xml:space="preserve"> per </w:t>
            </w:r>
            <w:r w:rsidRPr="00EE41C6">
              <w:rPr>
                <w:rFonts w:asciiTheme="majorBidi" w:hAnsiTheme="majorBidi" w:cstheme="majorBidi"/>
                <w:sz w:val="18"/>
                <w:szCs w:val="18"/>
              </w:rPr>
              <w:t>tCO</w:t>
            </w:r>
            <w:r w:rsidRPr="00EE41C6">
              <w:rPr>
                <w:rFonts w:asciiTheme="majorBidi" w:hAnsiTheme="majorBidi" w:cstheme="majorBidi"/>
                <w:sz w:val="18"/>
                <w:szCs w:val="18"/>
                <w:vertAlign w:val="subscript"/>
              </w:rPr>
              <w:t>2</w:t>
            </w:r>
          </w:p>
        </w:tc>
      </w:tr>
    </w:tbl>
    <w:p w14:paraId="7318ED7A" w14:textId="77777777" w:rsidR="0068007A" w:rsidRPr="00EE41C6" w:rsidRDefault="0068007A" w:rsidP="008628F3">
      <w:pPr>
        <w:spacing w:after="0" w:line="240" w:lineRule="auto"/>
        <w:rPr>
          <w:rFonts w:ascii="Times New Roman" w:hAnsi="Times New Roman" w:cs="Times New Roman"/>
          <w:sz w:val="24"/>
          <w:szCs w:val="24"/>
        </w:rPr>
      </w:pPr>
    </w:p>
    <w:p w14:paraId="1A0E31B0" w14:textId="606C77E7" w:rsidR="00880973" w:rsidRPr="00EE41C6" w:rsidRDefault="008628F3" w:rsidP="008628F3">
      <w:pPr>
        <w:pStyle w:val="Caption"/>
        <w:jc w:val="center"/>
        <w:rPr>
          <w:rFonts w:ascii="Calibri" w:eastAsia="SimSun" w:hAnsi="Calibri" w:cs="Arial"/>
          <w:i w:val="0"/>
          <w:iCs w:val="0"/>
          <w:color w:val="1F497D"/>
          <w:kern w:val="0"/>
          <w14:ligatures w14:val="none"/>
        </w:rPr>
      </w:pPr>
      <w:bookmarkStart w:id="48" w:name="_Toc153613562"/>
      <w:bookmarkStart w:id="49" w:name="_Toc167274046"/>
      <w:r w:rsidRPr="00EE41C6">
        <w:t xml:space="preserve">Supplementary Table </w:t>
      </w:r>
      <w:fldSimple w:instr=" SEQ Supplementary_Table \* ARABIC ">
        <w:r w:rsidRPr="00EE41C6">
          <w:rPr>
            <w:noProof/>
          </w:rPr>
          <w:t>15</w:t>
        </w:r>
      </w:fldSimple>
      <w:r w:rsidRPr="00EE41C6">
        <w:t xml:space="preserve"> </w:t>
      </w:r>
      <w:r w:rsidR="00880973" w:rsidRPr="00EE41C6">
        <w:rPr>
          <w:rFonts w:ascii="Calibri" w:eastAsia="SimSun" w:hAnsi="Calibri" w:cs="Arial"/>
          <w:color w:val="1F497D"/>
          <w:kern w:val="0"/>
          <w14:ligatures w14:val="none"/>
        </w:rPr>
        <w:t xml:space="preserve">Average vegetation carbon density by SAGE biome type </w:t>
      </w:r>
      <w:r w:rsidR="00880973" w:rsidRPr="00EE41C6">
        <w:rPr>
          <w:rFonts w:ascii="Calibri" w:eastAsia="SimSun" w:hAnsi="Calibri" w:cs="Arial"/>
          <w:i w:val="0"/>
          <w:iCs w:val="0"/>
          <w:color w:val="1F497D"/>
          <w:kern w:val="0"/>
          <w14:ligatures w14:val="none"/>
        </w:rPr>
        <w:fldChar w:fldCharType="begin"/>
      </w:r>
      <w:r w:rsidR="00005AF3" w:rsidRPr="00EE41C6">
        <w:rPr>
          <w:rFonts w:ascii="Calibri" w:eastAsia="SimSun" w:hAnsi="Calibri" w:cs="Arial"/>
          <w:i w:val="0"/>
          <w:iCs w:val="0"/>
          <w:color w:val="1F497D"/>
          <w:kern w:val="0"/>
          <w14:ligatures w14:val="none"/>
        </w:rPr>
        <w:instrText xml:space="preserve"> ADDIN ZOTERO_ITEM CSL_CITATION {"citationID":"6vSkEvjE","properties":{"formattedCitation":"\\super 60\\nosupersub{}","plainCitation":"60","noteIndex":0},"citationItems":[{"id":725,"uris":["http://zotero.org/users/local/YcBHrSK0/items/5VE5E3ZU"],"itemData":{"id":725,"type":"report","language":"en","note":"issue: PNNL-21025, 1036082\nDOI: 10.2172/1036082","number":"PNNL-21025, 1036082","page":"PNNL-21025, 1036082","source":"DOI.org (Crossref)","title":"GCAM 3.0 Agriculture and Land Use: Data Sources and Methods","title-short":"GCAM 3.0 Agriculture and Land Use","URL":"http://www.osti.gov/servlets/purl/1036082/","author":[{"family":"Kyle","given":"G. Page"},{"family":"Luckow","given":"Patrick"},{"family":"Calvin","given":"Katherine V."},{"family":"Emanuel","given":"William R."},{"family":"Nathan","given":"Mayda"},{"family":"Zhou","given":"Yuyu"}],"accessed":{"date-parts":[["2023",4,7]]},"issued":{"date-parts":[["2011",12,12]]}}}],"schema":"https://github.com/citation-style-language/schema/raw/master/csl-citation.json"} </w:instrText>
      </w:r>
      <w:r w:rsidR="00880973" w:rsidRPr="00EE41C6">
        <w:rPr>
          <w:rFonts w:ascii="Calibri" w:eastAsia="SimSun" w:hAnsi="Calibri" w:cs="Arial"/>
          <w:i w:val="0"/>
          <w:iCs w:val="0"/>
          <w:color w:val="1F497D"/>
          <w:kern w:val="0"/>
          <w14:ligatures w14:val="none"/>
        </w:rPr>
        <w:fldChar w:fldCharType="separate"/>
      </w:r>
      <w:bookmarkEnd w:id="48"/>
      <w:bookmarkEnd w:id="49"/>
      <w:r w:rsidR="00005AF3" w:rsidRPr="00EE41C6">
        <w:rPr>
          <w:rFonts w:ascii="Calibri" w:hAnsi="Calibri" w:cs="Calibri"/>
          <w:kern w:val="0"/>
          <w:szCs w:val="24"/>
          <w:vertAlign w:val="superscript"/>
        </w:rPr>
        <w:t>60</w:t>
      </w:r>
      <w:r w:rsidR="00880973" w:rsidRPr="00EE41C6">
        <w:rPr>
          <w:rFonts w:ascii="Calibri" w:eastAsia="SimSun" w:hAnsi="Calibri" w:cs="Arial"/>
          <w:i w:val="0"/>
          <w:iCs w:val="0"/>
          <w:color w:val="1F497D"/>
          <w:kern w:val="0"/>
          <w14:ligatures w14:val="none"/>
        </w:rPr>
        <w:fldChar w:fldCharType="end"/>
      </w:r>
    </w:p>
    <w:tbl>
      <w:tblPr>
        <w:tblStyle w:val="TableGrid2"/>
        <w:tblW w:w="0" w:type="auto"/>
        <w:jc w:val="center"/>
        <w:tblLook w:val="04A0" w:firstRow="1" w:lastRow="0" w:firstColumn="1" w:lastColumn="0" w:noHBand="0" w:noVBand="1"/>
      </w:tblPr>
      <w:tblGrid>
        <w:gridCol w:w="2343"/>
        <w:gridCol w:w="2365"/>
        <w:gridCol w:w="2326"/>
      </w:tblGrid>
      <w:tr w:rsidR="00880973" w:rsidRPr="00EE41C6" w14:paraId="6B69F432" w14:textId="77777777" w:rsidTr="00726652">
        <w:trPr>
          <w:jc w:val="center"/>
        </w:trPr>
        <w:tc>
          <w:tcPr>
            <w:tcW w:w="2343" w:type="dxa"/>
          </w:tcPr>
          <w:p w14:paraId="2D94EEA7"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GCAM category</w:t>
            </w:r>
          </w:p>
        </w:tc>
        <w:tc>
          <w:tcPr>
            <w:tcW w:w="2365" w:type="dxa"/>
          </w:tcPr>
          <w:p w14:paraId="45943B9C"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SAGE category</w:t>
            </w:r>
          </w:p>
        </w:tc>
        <w:tc>
          <w:tcPr>
            <w:tcW w:w="2326" w:type="dxa"/>
          </w:tcPr>
          <w:p w14:paraId="62BF9953" w14:textId="2BAADC43"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 xml:space="preserve">C density </w:t>
            </w:r>
            <w:r w:rsidR="000A0851" w:rsidRPr="00EE41C6">
              <w:rPr>
                <w:rFonts w:ascii="Times New Roman" w:hAnsi="Times New Roman" w:cs="Times New Roman"/>
                <w:kern w:val="2"/>
                <w:sz w:val="18"/>
                <w:szCs w:val="18"/>
                <w14:ligatures w14:val="standardContextual"/>
              </w:rPr>
              <w:t xml:space="preserve">(Megagrams of Carbon per Hectare </w:t>
            </w:r>
            <w:r w:rsidRPr="00EE41C6">
              <w:rPr>
                <w:rFonts w:ascii="Times New Roman" w:hAnsi="Times New Roman" w:cs="Times New Roman"/>
                <w:kern w:val="2"/>
                <w:sz w:val="18"/>
                <w:szCs w:val="18"/>
                <w14:ligatures w14:val="standardContextual"/>
              </w:rPr>
              <w:t>(</w:t>
            </w:r>
            <w:proofErr w:type="spellStart"/>
            <w:r w:rsidRPr="00EE41C6">
              <w:rPr>
                <w:rFonts w:ascii="Times New Roman" w:hAnsi="Times New Roman" w:cs="Times New Roman"/>
                <w:kern w:val="2"/>
                <w:sz w:val="18"/>
                <w:szCs w:val="18"/>
                <w14:ligatures w14:val="standardContextual"/>
              </w:rPr>
              <w:t>MgC</w:t>
            </w:r>
            <w:proofErr w:type="spellEnd"/>
            <w:r w:rsidR="000A0851" w:rsidRPr="00EE41C6">
              <w:rPr>
                <w:rFonts w:ascii="Times New Roman" w:hAnsi="Times New Roman" w:cs="Times New Roman"/>
                <w:kern w:val="2"/>
                <w:sz w:val="18"/>
                <w:szCs w:val="18"/>
                <w14:ligatures w14:val="standardContextual"/>
              </w:rPr>
              <w:t xml:space="preserve"> per </w:t>
            </w:r>
            <w:r w:rsidRPr="00EE41C6">
              <w:rPr>
                <w:rFonts w:ascii="Times New Roman" w:hAnsi="Times New Roman" w:cs="Times New Roman"/>
                <w:kern w:val="2"/>
                <w:sz w:val="18"/>
                <w:szCs w:val="18"/>
                <w14:ligatures w14:val="standardContextual"/>
              </w:rPr>
              <w:t>ha)</w:t>
            </w:r>
            <w:r w:rsidR="000A0851" w:rsidRPr="00EE41C6">
              <w:rPr>
                <w:rFonts w:ascii="Times New Roman" w:hAnsi="Times New Roman" w:cs="Times New Roman"/>
                <w:kern w:val="2"/>
                <w:sz w:val="18"/>
                <w:szCs w:val="18"/>
                <w14:ligatures w14:val="standardContextual"/>
              </w:rPr>
              <w:t>)</w:t>
            </w:r>
          </w:p>
        </w:tc>
      </w:tr>
      <w:tr w:rsidR="00880973" w:rsidRPr="00EE41C6" w14:paraId="5B500D61" w14:textId="77777777" w:rsidTr="00726652">
        <w:trPr>
          <w:jc w:val="center"/>
        </w:trPr>
        <w:tc>
          <w:tcPr>
            <w:tcW w:w="2343" w:type="dxa"/>
          </w:tcPr>
          <w:p w14:paraId="5ACA0358"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AllForestLand</w:t>
            </w:r>
            <w:proofErr w:type="spellEnd"/>
          </w:p>
        </w:tc>
        <w:tc>
          <w:tcPr>
            <w:tcW w:w="2365" w:type="dxa"/>
          </w:tcPr>
          <w:p w14:paraId="12EF3770"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Tropical Evergreen Forest/Woodland</w:t>
            </w:r>
          </w:p>
        </w:tc>
        <w:tc>
          <w:tcPr>
            <w:tcW w:w="2326" w:type="dxa"/>
          </w:tcPr>
          <w:p w14:paraId="7E2E8FD0"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200</w:t>
            </w:r>
          </w:p>
        </w:tc>
      </w:tr>
      <w:tr w:rsidR="00880973" w:rsidRPr="00EE41C6" w14:paraId="05276B50" w14:textId="77777777" w:rsidTr="00726652">
        <w:trPr>
          <w:jc w:val="center"/>
        </w:trPr>
        <w:tc>
          <w:tcPr>
            <w:tcW w:w="2343" w:type="dxa"/>
          </w:tcPr>
          <w:p w14:paraId="291E34F5"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AllForestLand</w:t>
            </w:r>
            <w:proofErr w:type="spellEnd"/>
          </w:p>
        </w:tc>
        <w:tc>
          <w:tcPr>
            <w:tcW w:w="2365" w:type="dxa"/>
          </w:tcPr>
          <w:p w14:paraId="06E25201"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Tropical Deciduous Forest/Woodland</w:t>
            </w:r>
          </w:p>
        </w:tc>
        <w:tc>
          <w:tcPr>
            <w:tcW w:w="2326" w:type="dxa"/>
          </w:tcPr>
          <w:p w14:paraId="3370B047"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140</w:t>
            </w:r>
          </w:p>
        </w:tc>
      </w:tr>
      <w:tr w:rsidR="00880973" w:rsidRPr="00EE41C6" w14:paraId="1A66E985" w14:textId="77777777" w:rsidTr="00726652">
        <w:trPr>
          <w:jc w:val="center"/>
        </w:trPr>
        <w:tc>
          <w:tcPr>
            <w:tcW w:w="2343" w:type="dxa"/>
          </w:tcPr>
          <w:p w14:paraId="544C9588"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AllForestLand</w:t>
            </w:r>
            <w:proofErr w:type="spellEnd"/>
          </w:p>
        </w:tc>
        <w:tc>
          <w:tcPr>
            <w:tcW w:w="2365" w:type="dxa"/>
          </w:tcPr>
          <w:p w14:paraId="19116876"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Temperate Broadleaf Evergreen Forest/Woodland</w:t>
            </w:r>
          </w:p>
        </w:tc>
        <w:tc>
          <w:tcPr>
            <w:tcW w:w="2326" w:type="dxa"/>
          </w:tcPr>
          <w:p w14:paraId="4BE1397A"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154</w:t>
            </w:r>
          </w:p>
        </w:tc>
      </w:tr>
      <w:tr w:rsidR="00880973" w:rsidRPr="00EE41C6" w14:paraId="386F5351" w14:textId="77777777" w:rsidTr="00726652">
        <w:trPr>
          <w:jc w:val="center"/>
        </w:trPr>
        <w:tc>
          <w:tcPr>
            <w:tcW w:w="2343" w:type="dxa"/>
          </w:tcPr>
          <w:p w14:paraId="791951E1"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AllForestLand</w:t>
            </w:r>
            <w:proofErr w:type="spellEnd"/>
          </w:p>
        </w:tc>
        <w:tc>
          <w:tcPr>
            <w:tcW w:w="2365" w:type="dxa"/>
          </w:tcPr>
          <w:p w14:paraId="5B671847"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 xml:space="preserve">Temperate </w:t>
            </w:r>
            <w:proofErr w:type="spellStart"/>
            <w:r w:rsidRPr="00EE41C6">
              <w:rPr>
                <w:rFonts w:ascii="Times New Roman" w:hAnsi="Times New Roman" w:cs="Times New Roman"/>
                <w:kern w:val="2"/>
                <w:sz w:val="18"/>
                <w:szCs w:val="18"/>
                <w14:ligatures w14:val="standardContextual"/>
              </w:rPr>
              <w:t>Needleaf</w:t>
            </w:r>
            <w:proofErr w:type="spellEnd"/>
            <w:r w:rsidRPr="00EE41C6">
              <w:rPr>
                <w:rFonts w:ascii="Times New Roman" w:hAnsi="Times New Roman" w:cs="Times New Roman"/>
                <w:kern w:val="2"/>
                <w:sz w:val="18"/>
                <w:szCs w:val="18"/>
                <w14:ligatures w14:val="standardContextual"/>
              </w:rPr>
              <w:t xml:space="preserve"> Evergreen Forest/Woodland</w:t>
            </w:r>
          </w:p>
        </w:tc>
        <w:tc>
          <w:tcPr>
            <w:tcW w:w="2326" w:type="dxa"/>
          </w:tcPr>
          <w:p w14:paraId="1D1B393B"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160</w:t>
            </w:r>
          </w:p>
        </w:tc>
      </w:tr>
      <w:tr w:rsidR="00880973" w:rsidRPr="00EE41C6" w14:paraId="74381F7D" w14:textId="77777777" w:rsidTr="00726652">
        <w:trPr>
          <w:jc w:val="center"/>
        </w:trPr>
        <w:tc>
          <w:tcPr>
            <w:tcW w:w="2343" w:type="dxa"/>
          </w:tcPr>
          <w:p w14:paraId="21DC1DD3"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AllForestLand</w:t>
            </w:r>
            <w:proofErr w:type="spellEnd"/>
          </w:p>
        </w:tc>
        <w:tc>
          <w:tcPr>
            <w:tcW w:w="2365" w:type="dxa"/>
          </w:tcPr>
          <w:p w14:paraId="1470E180"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Temperate Deciduous Forest/Woodland</w:t>
            </w:r>
          </w:p>
        </w:tc>
        <w:tc>
          <w:tcPr>
            <w:tcW w:w="2326" w:type="dxa"/>
          </w:tcPr>
          <w:p w14:paraId="4987A7AB"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135</w:t>
            </w:r>
          </w:p>
        </w:tc>
      </w:tr>
      <w:tr w:rsidR="00880973" w:rsidRPr="00EE41C6" w14:paraId="4D32757D" w14:textId="77777777" w:rsidTr="00726652">
        <w:trPr>
          <w:jc w:val="center"/>
        </w:trPr>
        <w:tc>
          <w:tcPr>
            <w:tcW w:w="2343" w:type="dxa"/>
          </w:tcPr>
          <w:p w14:paraId="281CEC7B"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AllForestLand</w:t>
            </w:r>
            <w:proofErr w:type="spellEnd"/>
          </w:p>
        </w:tc>
        <w:tc>
          <w:tcPr>
            <w:tcW w:w="2365" w:type="dxa"/>
          </w:tcPr>
          <w:p w14:paraId="78A8FE13"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Boreal Evergreen Forest/Woodland</w:t>
            </w:r>
          </w:p>
        </w:tc>
        <w:tc>
          <w:tcPr>
            <w:tcW w:w="2326" w:type="dxa"/>
          </w:tcPr>
          <w:p w14:paraId="0628257A"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90</w:t>
            </w:r>
          </w:p>
        </w:tc>
      </w:tr>
      <w:tr w:rsidR="00880973" w:rsidRPr="00EE41C6" w14:paraId="10A6CC0D" w14:textId="77777777" w:rsidTr="00726652">
        <w:trPr>
          <w:jc w:val="center"/>
        </w:trPr>
        <w:tc>
          <w:tcPr>
            <w:tcW w:w="2343" w:type="dxa"/>
          </w:tcPr>
          <w:p w14:paraId="23D210C8"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AllForestLand</w:t>
            </w:r>
            <w:proofErr w:type="spellEnd"/>
          </w:p>
        </w:tc>
        <w:tc>
          <w:tcPr>
            <w:tcW w:w="2365" w:type="dxa"/>
          </w:tcPr>
          <w:p w14:paraId="4CDA905D"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Boreal Deciduous Forest/Woodland</w:t>
            </w:r>
          </w:p>
        </w:tc>
        <w:tc>
          <w:tcPr>
            <w:tcW w:w="2326" w:type="dxa"/>
          </w:tcPr>
          <w:p w14:paraId="77E1131A"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90</w:t>
            </w:r>
          </w:p>
        </w:tc>
      </w:tr>
      <w:tr w:rsidR="00880973" w:rsidRPr="00EE41C6" w14:paraId="1ADDC17A" w14:textId="77777777" w:rsidTr="00726652">
        <w:trPr>
          <w:jc w:val="center"/>
        </w:trPr>
        <w:tc>
          <w:tcPr>
            <w:tcW w:w="2343" w:type="dxa"/>
          </w:tcPr>
          <w:p w14:paraId="69EECF15"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AllForestLand</w:t>
            </w:r>
            <w:proofErr w:type="spellEnd"/>
          </w:p>
        </w:tc>
        <w:tc>
          <w:tcPr>
            <w:tcW w:w="2365" w:type="dxa"/>
          </w:tcPr>
          <w:p w14:paraId="098B59F5"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Evergreen/Deciduous Mixed Forest/Woodland</w:t>
            </w:r>
          </w:p>
        </w:tc>
        <w:tc>
          <w:tcPr>
            <w:tcW w:w="2326" w:type="dxa"/>
          </w:tcPr>
          <w:p w14:paraId="4206D31C" w14:textId="7F55D51F"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103 (</w:t>
            </w:r>
            <w:proofErr w:type="spellStart"/>
            <w:r w:rsidR="000A0851" w:rsidRPr="00EE41C6">
              <w:rPr>
                <w:rFonts w:ascii="Times New Roman" w:hAnsi="Times New Roman" w:cs="Times New Roman"/>
                <w:kern w:val="2"/>
                <w:sz w:val="18"/>
                <w:szCs w:val="18"/>
                <w14:ligatures w14:val="standardContextual"/>
              </w:rPr>
              <w:t>Agro</w:t>
            </w:r>
            <w:proofErr w:type="spellEnd"/>
            <w:r w:rsidR="000A0851" w:rsidRPr="00EE41C6">
              <w:rPr>
                <w:rFonts w:ascii="Times New Roman" w:hAnsi="Times New Roman" w:cs="Times New Roman"/>
                <w:kern w:val="2"/>
                <w:sz w:val="18"/>
                <w:szCs w:val="18"/>
                <w14:ligatures w14:val="standardContextual"/>
              </w:rPr>
              <w:t>-Ecological Zone (</w:t>
            </w:r>
            <w:r w:rsidRPr="00EE41C6">
              <w:rPr>
                <w:rFonts w:ascii="Times New Roman" w:hAnsi="Times New Roman" w:cs="Times New Roman"/>
                <w:kern w:val="2"/>
                <w:sz w:val="18"/>
                <w:szCs w:val="18"/>
                <w14:ligatures w14:val="standardContextual"/>
              </w:rPr>
              <w:t>AEZs</w:t>
            </w:r>
            <w:r w:rsidR="000A0851" w:rsidRPr="00EE41C6">
              <w:rPr>
                <w:rFonts w:ascii="Times New Roman" w:hAnsi="Times New Roman" w:cs="Times New Roman"/>
                <w:kern w:val="2"/>
                <w:sz w:val="18"/>
                <w:szCs w:val="18"/>
                <w14:ligatures w14:val="standardContextual"/>
              </w:rPr>
              <w:t>)</w:t>
            </w:r>
            <w:r w:rsidRPr="00EE41C6">
              <w:rPr>
                <w:rFonts w:ascii="Times New Roman" w:hAnsi="Times New Roman" w:cs="Times New Roman"/>
                <w:kern w:val="2"/>
                <w:sz w:val="18"/>
                <w:szCs w:val="18"/>
                <w14:ligatures w14:val="standardContextual"/>
              </w:rPr>
              <w:t xml:space="preserve"> 1-12)</w:t>
            </w:r>
          </w:p>
        </w:tc>
      </w:tr>
      <w:tr w:rsidR="00880973" w:rsidRPr="00EE41C6" w14:paraId="6B7C075C" w14:textId="77777777" w:rsidTr="00726652">
        <w:trPr>
          <w:jc w:val="center"/>
        </w:trPr>
        <w:tc>
          <w:tcPr>
            <w:tcW w:w="2343" w:type="dxa"/>
          </w:tcPr>
          <w:p w14:paraId="485412CD"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AllForestLand</w:t>
            </w:r>
            <w:proofErr w:type="spellEnd"/>
          </w:p>
        </w:tc>
        <w:tc>
          <w:tcPr>
            <w:tcW w:w="2365" w:type="dxa"/>
          </w:tcPr>
          <w:p w14:paraId="5C622620"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Evergreen/Deciduous Mixed Forest/Woodland</w:t>
            </w:r>
          </w:p>
        </w:tc>
        <w:tc>
          <w:tcPr>
            <w:tcW w:w="2326" w:type="dxa"/>
          </w:tcPr>
          <w:p w14:paraId="3C5D89CB"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50 (AEZs 13-18)</w:t>
            </w:r>
          </w:p>
        </w:tc>
      </w:tr>
      <w:tr w:rsidR="00880973" w:rsidRPr="00EE41C6" w14:paraId="47DD8A2F" w14:textId="77777777" w:rsidTr="00726652">
        <w:trPr>
          <w:jc w:val="center"/>
        </w:trPr>
        <w:tc>
          <w:tcPr>
            <w:tcW w:w="2343" w:type="dxa"/>
          </w:tcPr>
          <w:p w14:paraId="103353BA"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GrassLand</w:t>
            </w:r>
            <w:proofErr w:type="spellEnd"/>
          </w:p>
        </w:tc>
        <w:tc>
          <w:tcPr>
            <w:tcW w:w="2365" w:type="dxa"/>
          </w:tcPr>
          <w:p w14:paraId="1C1FD16D"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Savanna</w:t>
            </w:r>
          </w:p>
        </w:tc>
        <w:tc>
          <w:tcPr>
            <w:tcW w:w="2326" w:type="dxa"/>
          </w:tcPr>
          <w:p w14:paraId="0BB207AF"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25</w:t>
            </w:r>
          </w:p>
        </w:tc>
      </w:tr>
      <w:tr w:rsidR="00880973" w:rsidRPr="00EE41C6" w14:paraId="6B9C239B" w14:textId="77777777" w:rsidTr="00726652">
        <w:trPr>
          <w:jc w:val="center"/>
        </w:trPr>
        <w:tc>
          <w:tcPr>
            <w:tcW w:w="2343" w:type="dxa"/>
          </w:tcPr>
          <w:p w14:paraId="190AFD1A"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GrassLand</w:t>
            </w:r>
            <w:proofErr w:type="spellEnd"/>
          </w:p>
        </w:tc>
        <w:tc>
          <w:tcPr>
            <w:tcW w:w="2365" w:type="dxa"/>
          </w:tcPr>
          <w:p w14:paraId="559C819F"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Grassland/Steppe</w:t>
            </w:r>
          </w:p>
        </w:tc>
        <w:tc>
          <w:tcPr>
            <w:tcW w:w="2326" w:type="dxa"/>
          </w:tcPr>
          <w:p w14:paraId="70258CEC"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4-10*</w:t>
            </w:r>
            <w:r w:rsidRPr="00EE41C6">
              <w:rPr>
                <w:rFonts w:ascii="Times New Roman" w:hAnsi="Times New Roman" w:cs="Times New Roman"/>
                <w:kern w:val="2"/>
                <w:sz w:val="18"/>
                <w:szCs w:val="18"/>
                <w:vertAlign w:val="superscript"/>
                <w14:ligatures w14:val="standardContextual"/>
              </w:rPr>
              <w:t>a</w:t>
            </w:r>
          </w:p>
        </w:tc>
      </w:tr>
      <w:tr w:rsidR="00880973" w:rsidRPr="00EE41C6" w14:paraId="468731C5" w14:textId="77777777" w:rsidTr="00726652">
        <w:trPr>
          <w:jc w:val="center"/>
        </w:trPr>
        <w:tc>
          <w:tcPr>
            <w:tcW w:w="2343" w:type="dxa"/>
          </w:tcPr>
          <w:p w14:paraId="600EE479"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ShrubLand</w:t>
            </w:r>
            <w:proofErr w:type="spellEnd"/>
          </w:p>
        </w:tc>
        <w:tc>
          <w:tcPr>
            <w:tcW w:w="2365" w:type="dxa"/>
          </w:tcPr>
          <w:p w14:paraId="365FD6D7"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Dense Shrubland</w:t>
            </w:r>
          </w:p>
        </w:tc>
        <w:tc>
          <w:tcPr>
            <w:tcW w:w="2326" w:type="dxa"/>
          </w:tcPr>
          <w:p w14:paraId="15C1CAA1"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55</w:t>
            </w:r>
          </w:p>
        </w:tc>
      </w:tr>
      <w:tr w:rsidR="00880973" w:rsidRPr="00EE41C6" w14:paraId="0A9EA1B1" w14:textId="77777777" w:rsidTr="00726652">
        <w:trPr>
          <w:jc w:val="center"/>
        </w:trPr>
        <w:tc>
          <w:tcPr>
            <w:tcW w:w="2343" w:type="dxa"/>
          </w:tcPr>
          <w:p w14:paraId="4B8D1DA5"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ShrubLand</w:t>
            </w:r>
            <w:proofErr w:type="spellEnd"/>
          </w:p>
        </w:tc>
        <w:tc>
          <w:tcPr>
            <w:tcW w:w="2365" w:type="dxa"/>
          </w:tcPr>
          <w:p w14:paraId="7FB71CED"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Open Shrubland</w:t>
            </w:r>
          </w:p>
        </w:tc>
        <w:tc>
          <w:tcPr>
            <w:tcW w:w="2326" w:type="dxa"/>
          </w:tcPr>
          <w:p w14:paraId="2EDDB612"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27</w:t>
            </w:r>
          </w:p>
        </w:tc>
      </w:tr>
      <w:tr w:rsidR="00880973" w:rsidRPr="00EE41C6" w14:paraId="3628EF17" w14:textId="77777777" w:rsidTr="00726652">
        <w:trPr>
          <w:jc w:val="center"/>
        </w:trPr>
        <w:tc>
          <w:tcPr>
            <w:tcW w:w="2343" w:type="dxa"/>
          </w:tcPr>
          <w:p w14:paraId="02ADABEA"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Tundra</w:t>
            </w:r>
          </w:p>
        </w:tc>
        <w:tc>
          <w:tcPr>
            <w:tcW w:w="2365" w:type="dxa"/>
          </w:tcPr>
          <w:p w14:paraId="5BA8F4B7"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Tundra</w:t>
            </w:r>
          </w:p>
        </w:tc>
        <w:tc>
          <w:tcPr>
            <w:tcW w:w="2326" w:type="dxa"/>
          </w:tcPr>
          <w:p w14:paraId="7BC0FFF9"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9</w:t>
            </w:r>
          </w:p>
        </w:tc>
      </w:tr>
      <w:tr w:rsidR="00880973" w:rsidRPr="00EE41C6" w14:paraId="65B18991" w14:textId="77777777" w:rsidTr="00726652">
        <w:trPr>
          <w:jc w:val="center"/>
        </w:trPr>
        <w:tc>
          <w:tcPr>
            <w:tcW w:w="2343" w:type="dxa"/>
          </w:tcPr>
          <w:p w14:paraId="5B69141B"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RockIceDesert</w:t>
            </w:r>
            <w:proofErr w:type="spellEnd"/>
          </w:p>
        </w:tc>
        <w:tc>
          <w:tcPr>
            <w:tcW w:w="2365" w:type="dxa"/>
          </w:tcPr>
          <w:p w14:paraId="693525F9"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Desert</w:t>
            </w:r>
          </w:p>
        </w:tc>
        <w:tc>
          <w:tcPr>
            <w:tcW w:w="2326" w:type="dxa"/>
          </w:tcPr>
          <w:p w14:paraId="36FEBD50"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1</w:t>
            </w:r>
          </w:p>
        </w:tc>
      </w:tr>
      <w:tr w:rsidR="00880973" w:rsidRPr="00EE41C6" w14:paraId="002031E4" w14:textId="77777777" w:rsidTr="00726652">
        <w:trPr>
          <w:jc w:val="center"/>
        </w:trPr>
        <w:tc>
          <w:tcPr>
            <w:tcW w:w="2343" w:type="dxa"/>
          </w:tcPr>
          <w:p w14:paraId="66F761E8"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RockIceDesert</w:t>
            </w:r>
            <w:proofErr w:type="spellEnd"/>
          </w:p>
        </w:tc>
        <w:tc>
          <w:tcPr>
            <w:tcW w:w="2365" w:type="dxa"/>
          </w:tcPr>
          <w:p w14:paraId="3B73E024"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Polar Desert/Rock/Ice</w:t>
            </w:r>
          </w:p>
        </w:tc>
        <w:tc>
          <w:tcPr>
            <w:tcW w:w="2326" w:type="dxa"/>
          </w:tcPr>
          <w:p w14:paraId="676A9D44"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0</w:t>
            </w:r>
          </w:p>
        </w:tc>
      </w:tr>
    </w:tbl>
    <w:p w14:paraId="6E26B8CA" w14:textId="558AE659" w:rsidR="00880973" w:rsidRPr="00EE41C6" w:rsidRDefault="00D92895" w:rsidP="00880973">
      <w:pPr>
        <w:spacing w:after="200" w:line="276" w:lineRule="auto"/>
        <w:rPr>
          <w:rFonts w:ascii="Times New Roman" w:eastAsia="SimSun" w:hAnsi="Times New Roman" w:cs="Times New Roman"/>
          <w:kern w:val="0"/>
          <w:sz w:val="18"/>
          <w:szCs w:val="18"/>
          <w14:ligatures w14:val="none"/>
        </w:rPr>
      </w:pPr>
      <w:r w:rsidRPr="00EE41C6">
        <w:rPr>
          <w:rFonts w:ascii="Times New Roman" w:eastAsia="SimSun" w:hAnsi="Times New Roman" w:cs="Times New Roman"/>
          <w:kern w:val="0"/>
          <w:sz w:val="18"/>
          <w:szCs w:val="18"/>
          <w14:ligatures w14:val="none"/>
        </w:rPr>
        <w:t xml:space="preserve">A: </w:t>
      </w:r>
      <w:r w:rsidR="00880973" w:rsidRPr="00EE41C6">
        <w:rPr>
          <w:rFonts w:ascii="Times New Roman" w:eastAsia="SimSun" w:hAnsi="Times New Roman" w:cs="Times New Roman"/>
          <w:kern w:val="0"/>
          <w:sz w:val="18"/>
          <w:szCs w:val="18"/>
          <w14:ligatures w14:val="none"/>
        </w:rPr>
        <w:t xml:space="preserve">Grassland carbon contents are assumed to increase with moisture, such that AEZs 1,7, and 13 have 4 </w:t>
      </w:r>
      <w:proofErr w:type="spellStart"/>
      <w:r w:rsidR="00880973" w:rsidRPr="00EE41C6">
        <w:rPr>
          <w:rFonts w:ascii="Times New Roman" w:eastAsia="SimSun" w:hAnsi="Times New Roman" w:cs="Times New Roman"/>
          <w:kern w:val="0"/>
          <w:sz w:val="18"/>
          <w:szCs w:val="18"/>
          <w14:ligatures w14:val="none"/>
        </w:rPr>
        <w:t>MgC</w:t>
      </w:r>
      <w:proofErr w:type="spellEnd"/>
      <w:r w:rsidR="00CC3778" w:rsidRPr="00EE41C6">
        <w:rPr>
          <w:rFonts w:ascii="Times New Roman" w:eastAsia="SimSun" w:hAnsi="Times New Roman" w:cs="Times New Roman"/>
          <w:kern w:val="0"/>
          <w:sz w:val="18"/>
          <w:szCs w:val="18"/>
          <w14:ligatures w14:val="none"/>
        </w:rPr>
        <w:t xml:space="preserve"> per </w:t>
      </w:r>
      <w:r w:rsidR="00880973" w:rsidRPr="00EE41C6">
        <w:rPr>
          <w:rFonts w:ascii="Times New Roman" w:eastAsia="SimSun" w:hAnsi="Times New Roman" w:cs="Times New Roman"/>
          <w:kern w:val="0"/>
          <w:sz w:val="18"/>
          <w:szCs w:val="18"/>
          <w14:ligatures w14:val="none"/>
        </w:rPr>
        <w:t xml:space="preserve">ha, and AEZs 6, 12, and 18 have 10 </w:t>
      </w:r>
      <w:proofErr w:type="spellStart"/>
      <w:r w:rsidR="00880973" w:rsidRPr="00EE41C6">
        <w:rPr>
          <w:rFonts w:ascii="Times New Roman" w:eastAsia="SimSun" w:hAnsi="Times New Roman" w:cs="Times New Roman"/>
          <w:kern w:val="0"/>
          <w:sz w:val="18"/>
          <w:szCs w:val="18"/>
          <w14:ligatures w14:val="none"/>
        </w:rPr>
        <w:t>MgC</w:t>
      </w:r>
      <w:proofErr w:type="spellEnd"/>
      <w:r w:rsidR="00CC3778" w:rsidRPr="00EE41C6">
        <w:rPr>
          <w:rFonts w:ascii="Times New Roman" w:eastAsia="SimSun" w:hAnsi="Times New Roman" w:cs="Times New Roman"/>
          <w:kern w:val="0"/>
          <w:sz w:val="18"/>
          <w:szCs w:val="18"/>
          <w14:ligatures w14:val="none"/>
        </w:rPr>
        <w:t xml:space="preserve"> per </w:t>
      </w:r>
      <w:r w:rsidR="00880973" w:rsidRPr="00EE41C6">
        <w:rPr>
          <w:rFonts w:ascii="Times New Roman" w:eastAsia="SimSun" w:hAnsi="Times New Roman" w:cs="Times New Roman"/>
          <w:kern w:val="0"/>
          <w:sz w:val="18"/>
          <w:szCs w:val="18"/>
          <w14:ligatures w14:val="none"/>
        </w:rPr>
        <w:t>ha</w:t>
      </w:r>
    </w:p>
    <w:p w14:paraId="063B1A48" w14:textId="77777777" w:rsidR="005A4B17" w:rsidRPr="00EE41C6" w:rsidRDefault="005A4B17" w:rsidP="004F6526">
      <w:pPr>
        <w:pStyle w:val="Caption"/>
      </w:pPr>
      <w:bookmarkStart w:id="50" w:name="_Toc153613563"/>
      <w:bookmarkStart w:id="51" w:name="_Toc167274047"/>
    </w:p>
    <w:p w14:paraId="5E8C09BB" w14:textId="453D6C31" w:rsidR="00880973" w:rsidRPr="00EE41C6" w:rsidRDefault="00DB6449" w:rsidP="00DB6449">
      <w:pPr>
        <w:pStyle w:val="Caption"/>
        <w:jc w:val="center"/>
        <w:rPr>
          <w:rFonts w:ascii="Calibri" w:eastAsia="SimSun" w:hAnsi="Calibri" w:cs="Arial"/>
          <w:i w:val="0"/>
          <w:iCs w:val="0"/>
          <w:color w:val="1F497D"/>
          <w:kern w:val="0"/>
          <w14:ligatures w14:val="none"/>
        </w:rPr>
      </w:pPr>
      <w:r w:rsidRPr="00EE41C6">
        <w:t xml:space="preserve">Supplementary Table </w:t>
      </w:r>
      <w:fldSimple w:instr=" SEQ Supplementary_Table \* ARABIC ">
        <w:r w:rsidR="008628F3" w:rsidRPr="00EE41C6">
          <w:rPr>
            <w:noProof/>
          </w:rPr>
          <w:t>16</w:t>
        </w:r>
      </w:fldSimple>
      <w:r w:rsidRPr="00EE41C6">
        <w:t xml:space="preserve"> </w:t>
      </w:r>
      <w:r w:rsidR="00880973" w:rsidRPr="00EE41C6">
        <w:rPr>
          <w:rFonts w:ascii="Calibri" w:eastAsia="SimSun" w:hAnsi="Calibri" w:cs="Arial"/>
          <w:color w:val="1F497D"/>
          <w:kern w:val="0"/>
          <w14:ligatures w14:val="none"/>
        </w:rPr>
        <w:t xml:space="preserve">Average soil carbon density by SAGE biome type </w:t>
      </w:r>
      <w:r w:rsidR="00880973" w:rsidRPr="00EE41C6">
        <w:rPr>
          <w:rFonts w:ascii="Calibri" w:eastAsia="SimSun" w:hAnsi="Calibri" w:cs="Arial"/>
          <w:i w:val="0"/>
          <w:iCs w:val="0"/>
          <w:color w:val="1F497D"/>
          <w:kern w:val="0"/>
          <w14:ligatures w14:val="none"/>
        </w:rPr>
        <w:fldChar w:fldCharType="begin"/>
      </w:r>
      <w:r w:rsidR="00005AF3" w:rsidRPr="00EE41C6">
        <w:rPr>
          <w:rFonts w:ascii="Calibri" w:eastAsia="SimSun" w:hAnsi="Calibri" w:cs="Arial"/>
          <w:i w:val="0"/>
          <w:iCs w:val="0"/>
          <w:color w:val="1F497D"/>
          <w:kern w:val="0"/>
          <w14:ligatures w14:val="none"/>
        </w:rPr>
        <w:instrText xml:space="preserve"> ADDIN ZOTERO_ITEM CSL_CITATION {"citationID":"8s16hAvm","properties":{"formattedCitation":"\\super 60\\nosupersub{}","plainCitation":"60","noteIndex":0},"citationItems":[{"id":725,"uris":["http://zotero.org/users/local/YcBHrSK0/items/5VE5E3ZU"],"itemData":{"id":725,"type":"report","language":"en","note":"issue: PNNL-21025, 1036082\nDOI: 10.2172/1036082","number":"PNNL-21025, 1036082","page":"PNNL-21025, 1036082","source":"DOI.org (Crossref)","title":"GCAM 3.0 Agriculture and Land Use: Data Sources and Methods","title-short":"GCAM 3.0 Agriculture and Land Use","URL":"http://www.osti.gov/servlets/purl/1036082/","author":[{"family":"Kyle","given":"G. Page"},{"family":"Luckow","given":"Patrick"},{"family":"Calvin","given":"Katherine V."},{"family":"Emanuel","given":"William R."},{"family":"Nathan","given":"Mayda"},{"family":"Zhou","given":"Yuyu"}],"accessed":{"date-parts":[["2023",4,7]]},"issued":{"date-parts":[["2011",12,12]]}}}],"schema":"https://github.com/citation-style-language/schema/raw/master/csl-citation.json"} </w:instrText>
      </w:r>
      <w:r w:rsidR="00880973" w:rsidRPr="00EE41C6">
        <w:rPr>
          <w:rFonts w:ascii="Calibri" w:eastAsia="SimSun" w:hAnsi="Calibri" w:cs="Arial"/>
          <w:i w:val="0"/>
          <w:iCs w:val="0"/>
          <w:color w:val="1F497D"/>
          <w:kern w:val="0"/>
          <w14:ligatures w14:val="none"/>
        </w:rPr>
        <w:fldChar w:fldCharType="separate"/>
      </w:r>
      <w:bookmarkEnd w:id="50"/>
      <w:bookmarkEnd w:id="51"/>
      <w:r w:rsidR="00005AF3" w:rsidRPr="00EE41C6">
        <w:rPr>
          <w:rFonts w:ascii="Calibri" w:hAnsi="Calibri" w:cs="Calibri"/>
          <w:kern w:val="0"/>
          <w:szCs w:val="24"/>
          <w:vertAlign w:val="superscript"/>
        </w:rPr>
        <w:t>60</w:t>
      </w:r>
      <w:r w:rsidR="00880973" w:rsidRPr="00EE41C6">
        <w:rPr>
          <w:rFonts w:ascii="Calibri" w:eastAsia="SimSun" w:hAnsi="Calibri" w:cs="Arial"/>
          <w:i w:val="0"/>
          <w:iCs w:val="0"/>
          <w:color w:val="1F497D"/>
          <w:kern w:val="0"/>
          <w14:ligatures w14:val="none"/>
        </w:rPr>
        <w:fldChar w:fldCharType="end"/>
      </w:r>
    </w:p>
    <w:tbl>
      <w:tblPr>
        <w:tblStyle w:val="TableGrid2"/>
        <w:tblW w:w="0" w:type="auto"/>
        <w:jc w:val="center"/>
        <w:tblLook w:val="04A0" w:firstRow="1" w:lastRow="0" w:firstColumn="1" w:lastColumn="0" w:noHBand="0" w:noVBand="1"/>
      </w:tblPr>
      <w:tblGrid>
        <w:gridCol w:w="2345"/>
        <w:gridCol w:w="2379"/>
        <w:gridCol w:w="2320"/>
      </w:tblGrid>
      <w:tr w:rsidR="00880973" w:rsidRPr="00EE41C6" w14:paraId="5B1D064E" w14:textId="77777777" w:rsidTr="00726652">
        <w:trPr>
          <w:jc w:val="center"/>
        </w:trPr>
        <w:tc>
          <w:tcPr>
            <w:tcW w:w="2345" w:type="dxa"/>
          </w:tcPr>
          <w:p w14:paraId="3D5E25D2"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GCAM category</w:t>
            </w:r>
          </w:p>
        </w:tc>
        <w:tc>
          <w:tcPr>
            <w:tcW w:w="2379" w:type="dxa"/>
          </w:tcPr>
          <w:p w14:paraId="5FDDCFCA"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SAGE category</w:t>
            </w:r>
          </w:p>
        </w:tc>
        <w:tc>
          <w:tcPr>
            <w:tcW w:w="2320" w:type="dxa"/>
          </w:tcPr>
          <w:p w14:paraId="5B7964CD" w14:textId="2F31F329"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C density (</w:t>
            </w:r>
            <w:proofErr w:type="spellStart"/>
            <w:r w:rsidRPr="00EE41C6">
              <w:rPr>
                <w:rFonts w:ascii="Times New Roman" w:hAnsi="Times New Roman" w:cs="Times New Roman"/>
                <w:kern w:val="2"/>
                <w:sz w:val="18"/>
                <w:szCs w:val="18"/>
                <w14:ligatures w14:val="standardContextual"/>
              </w:rPr>
              <w:t>MgC</w:t>
            </w:r>
            <w:proofErr w:type="spellEnd"/>
            <w:r w:rsidR="000A0851" w:rsidRPr="00EE41C6">
              <w:rPr>
                <w:rFonts w:ascii="Times New Roman" w:hAnsi="Times New Roman" w:cs="Times New Roman"/>
                <w:kern w:val="2"/>
                <w:sz w:val="18"/>
                <w:szCs w:val="18"/>
                <w14:ligatures w14:val="standardContextual"/>
              </w:rPr>
              <w:t xml:space="preserve"> per </w:t>
            </w:r>
            <w:r w:rsidRPr="00EE41C6">
              <w:rPr>
                <w:rFonts w:ascii="Times New Roman" w:hAnsi="Times New Roman" w:cs="Times New Roman"/>
                <w:kern w:val="2"/>
                <w:sz w:val="18"/>
                <w:szCs w:val="18"/>
                <w14:ligatures w14:val="standardContextual"/>
              </w:rPr>
              <w:t>ha)</w:t>
            </w:r>
          </w:p>
        </w:tc>
      </w:tr>
      <w:tr w:rsidR="00880973" w:rsidRPr="00EE41C6" w14:paraId="23DDC093" w14:textId="77777777" w:rsidTr="00726652">
        <w:trPr>
          <w:jc w:val="center"/>
        </w:trPr>
        <w:tc>
          <w:tcPr>
            <w:tcW w:w="2345" w:type="dxa"/>
          </w:tcPr>
          <w:p w14:paraId="0387C584"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AllForestLand</w:t>
            </w:r>
            <w:proofErr w:type="spellEnd"/>
          </w:p>
        </w:tc>
        <w:tc>
          <w:tcPr>
            <w:tcW w:w="2379" w:type="dxa"/>
          </w:tcPr>
          <w:p w14:paraId="0AB11101"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Tropical Evergreen Forest/Woodland</w:t>
            </w:r>
          </w:p>
        </w:tc>
        <w:tc>
          <w:tcPr>
            <w:tcW w:w="2320" w:type="dxa"/>
          </w:tcPr>
          <w:p w14:paraId="45E601BE"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98</w:t>
            </w:r>
          </w:p>
        </w:tc>
      </w:tr>
      <w:tr w:rsidR="00880973" w:rsidRPr="00EE41C6" w14:paraId="024E686A" w14:textId="77777777" w:rsidTr="00726652">
        <w:trPr>
          <w:jc w:val="center"/>
        </w:trPr>
        <w:tc>
          <w:tcPr>
            <w:tcW w:w="2345" w:type="dxa"/>
          </w:tcPr>
          <w:p w14:paraId="0D31861F"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AllForestLand</w:t>
            </w:r>
            <w:proofErr w:type="spellEnd"/>
          </w:p>
        </w:tc>
        <w:tc>
          <w:tcPr>
            <w:tcW w:w="2379" w:type="dxa"/>
          </w:tcPr>
          <w:p w14:paraId="3FF30803"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Tropical Deciduous Forest/Woodland</w:t>
            </w:r>
          </w:p>
        </w:tc>
        <w:tc>
          <w:tcPr>
            <w:tcW w:w="2320" w:type="dxa"/>
          </w:tcPr>
          <w:p w14:paraId="69873022"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98</w:t>
            </w:r>
          </w:p>
        </w:tc>
      </w:tr>
      <w:tr w:rsidR="00880973" w:rsidRPr="00EE41C6" w14:paraId="2C0C7BC7" w14:textId="77777777" w:rsidTr="00726652">
        <w:trPr>
          <w:jc w:val="center"/>
        </w:trPr>
        <w:tc>
          <w:tcPr>
            <w:tcW w:w="2345" w:type="dxa"/>
          </w:tcPr>
          <w:p w14:paraId="150858BE"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AllForestLand</w:t>
            </w:r>
            <w:proofErr w:type="spellEnd"/>
          </w:p>
        </w:tc>
        <w:tc>
          <w:tcPr>
            <w:tcW w:w="2379" w:type="dxa"/>
          </w:tcPr>
          <w:p w14:paraId="7C412745"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Temperate Broadleaf Evergreen Forest/Woodland</w:t>
            </w:r>
          </w:p>
        </w:tc>
        <w:tc>
          <w:tcPr>
            <w:tcW w:w="2320" w:type="dxa"/>
          </w:tcPr>
          <w:p w14:paraId="6A8C8663"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71</w:t>
            </w:r>
          </w:p>
        </w:tc>
      </w:tr>
      <w:tr w:rsidR="00880973" w:rsidRPr="00EE41C6" w14:paraId="5C3E2958" w14:textId="77777777" w:rsidTr="00726652">
        <w:trPr>
          <w:jc w:val="center"/>
        </w:trPr>
        <w:tc>
          <w:tcPr>
            <w:tcW w:w="2345" w:type="dxa"/>
          </w:tcPr>
          <w:p w14:paraId="75F545C6"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AllForestLand</w:t>
            </w:r>
            <w:proofErr w:type="spellEnd"/>
          </w:p>
        </w:tc>
        <w:tc>
          <w:tcPr>
            <w:tcW w:w="2379" w:type="dxa"/>
          </w:tcPr>
          <w:p w14:paraId="5D82BDE1"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 xml:space="preserve">Temperate </w:t>
            </w:r>
            <w:proofErr w:type="spellStart"/>
            <w:r w:rsidRPr="00EE41C6">
              <w:rPr>
                <w:rFonts w:ascii="Times New Roman" w:hAnsi="Times New Roman" w:cs="Times New Roman"/>
                <w:kern w:val="2"/>
                <w:sz w:val="18"/>
                <w:szCs w:val="18"/>
                <w14:ligatures w14:val="standardContextual"/>
              </w:rPr>
              <w:t>Needleaf</w:t>
            </w:r>
            <w:proofErr w:type="spellEnd"/>
            <w:r w:rsidRPr="00EE41C6">
              <w:rPr>
                <w:rFonts w:ascii="Times New Roman" w:hAnsi="Times New Roman" w:cs="Times New Roman"/>
                <w:kern w:val="2"/>
                <w:sz w:val="18"/>
                <w:szCs w:val="18"/>
                <w14:ligatures w14:val="standardContextual"/>
              </w:rPr>
              <w:t xml:space="preserve"> Evergreen Forest/Woodland</w:t>
            </w:r>
          </w:p>
        </w:tc>
        <w:tc>
          <w:tcPr>
            <w:tcW w:w="2320" w:type="dxa"/>
          </w:tcPr>
          <w:p w14:paraId="7BBB51CD"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134</w:t>
            </w:r>
          </w:p>
        </w:tc>
      </w:tr>
      <w:tr w:rsidR="00880973" w:rsidRPr="00EE41C6" w14:paraId="7922E504" w14:textId="77777777" w:rsidTr="00726652">
        <w:trPr>
          <w:jc w:val="center"/>
        </w:trPr>
        <w:tc>
          <w:tcPr>
            <w:tcW w:w="2345" w:type="dxa"/>
          </w:tcPr>
          <w:p w14:paraId="57C5092E"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AllForestLand</w:t>
            </w:r>
            <w:proofErr w:type="spellEnd"/>
          </w:p>
        </w:tc>
        <w:tc>
          <w:tcPr>
            <w:tcW w:w="2379" w:type="dxa"/>
          </w:tcPr>
          <w:p w14:paraId="3CFE1F59"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Temperate Deciduous Forest/Woodland</w:t>
            </w:r>
          </w:p>
        </w:tc>
        <w:tc>
          <w:tcPr>
            <w:tcW w:w="2320" w:type="dxa"/>
          </w:tcPr>
          <w:p w14:paraId="7C0579E9"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134</w:t>
            </w:r>
          </w:p>
        </w:tc>
      </w:tr>
      <w:tr w:rsidR="00880973" w:rsidRPr="00EE41C6" w14:paraId="051DD437" w14:textId="77777777" w:rsidTr="00726652">
        <w:trPr>
          <w:jc w:val="center"/>
        </w:trPr>
        <w:tc>
          <w:tcPr>
            <w:tcW w:w="2345" w:type="dxa"/>
          </w:tcPr>
          <w:p w14:paraId="4AB8B094"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AllForestLand</w:t>
            </w:r>
            <w:proofErr w:type="spellEnd"/>
          </w:p>
        </w:tc>
        <w:tc>
          <w:tcPr>
            <w:tcW w:w="2379" w:type="dxa"/>
          </w:tcPr>
          <w:p w14:paraId="2A5B0DC9"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Boreal Evergreen Forest/Woodland</w:t>
            </w:r>
          </w:p>
        </w:tc>
        <w:tc>
          <w:tcPr>
            <w:tcW w:w="2320" w:type="dxa"/>
          </w:tcPr>
          <w:p w14:paraId="022CA0B4"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206</w:t>
            </w:r>
          </w:p>
        </w:tc>
      </w:tr>
      <w:tr w:rsidR="00880973" w:rsidRPr="00EE41C6" w14:paraId="600F6F58" w14:textId="77777777" w:rsidTr="00726652">
        <w:trPr>
          <w:jc w:val="center"/>
        </w:trPr>
        <w:tc>
          <w:tcPr>
            <w:tcW w:w="2345" w:type="dxa"/>
          </w:tcPr>
          <w:p w14:paraId="6462E5A6"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AllForestLand</w:t>
            </w:r>
            <w:proofErr w:type="spellEnd"/>
          </w:p>
        </w:tc>
        <w:tc>
          <w:tcPr>
            <w:tcW w:w="2379" w:type="dxa"/>
          </w:tcPr>
          <w:p w14:paraId="4110ED75"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Boreal Deciduous Forest/Woodland</w:t>
            </w:r>
          </w:p>
        </w:tc>
        <w:tc>
          <w:tcPr>
            <w:tcW w:w="2320" w:type="dxa"/>
          </w:tcPr>
          <w:p w14:paraId="41727C18"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206</w:t>
            </w:r>
          </w:p>
        </w:tc>
      </w:tr>
      <w:tr w:rsidR="00880973" w:rsidRPr="00EE41C6" w14:paraId="08BB629E" w14:textId="77777777" w:rsidTr="00726652">
        <w:trPr>
          <w:jc w:val="center"/>
        </w:trPr>
        <w:tc>
          <w:tcPr>
            <w:tcW w:w="2345" w:type="dxa"/>
          </w:tcPr>
          <w:p w14:paraId="4B2F7FE0"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AllForestLand</w:t>
            </w:r>
            <w:proofErr w:type="spellEnd"/>
          </w:p>
        </w:tc>
        <w:tc>
          <w:tcPr>
            <w:tcW w:w="2379" w:type="dxa"/>
          </w:tcPr>
          <w:p w14:paraId="78498658"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Evergreen/Deciduous Mixed Forest/Woodland</w:t>
            </w:r>
          </w:p>
        </w:tc>
        <w:tc>
          <w:tcPr>
            <w:tcW w:w="2320" w:type="dxa"/>
          </w:tcPr>
          <w:p w14:paraId="37B3D33B"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111 (AEZs 1-12)</w:t>
            </w:r>
          </w:p>
        </w:tc>
      </w:tr>
      <w:tr w:rsidR="00880973" w:rsidRPr="00EE41C6" w14:paraId="703FA2C4" w14:textId="77777777" w:rsidTr="00726652">
        <w:trPr>
          <w:jc w:val="center"/>
        </w:trPr>
        <w:tc>
          <w:tcPr>
            <w:tcW w:w="2345" w:type="dxa"/>
          </w:tcPr>
          <w:p w14:paraId="17C2F542"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AllForestLand</w:t>
            </w:r>
            <w:proofErr w:type="spellEnd"/>
          </w:p>
        </w:tc>
        <w:tc>
          <w:tcPr>
            <w:tcW w:w="2379" w:type="dxa"/>
          </w:tcPr>
          <w:p w14:paraId="2D479EBF"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Evergreen/Deciduous Mixed Forest/Woodland</w:t>
            </w:r>
          </w:p>
        </w:tc>
        <w:tc>
          <w:tcPr>
            <w:tcW w:w="2320" w:type="dxa"/>
          </w:tcPr>
          <w:p w14:paraId="2FA1E0F3"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206 (AEZs 13-18)</w:t>
            </w:r>
          </w:p>
        </w:tc>
      </w:tr>
      <w:tr w:rsidR="00880973" w:rsidRPr="00EE41C6" w14:paraId="4AC2388C" w14:textId="77777777" w:rsidTr="00726652">
        <w:trPr>
          <w:jc w:val="center"/>
        </w:trPr>
        <w:tc>
          <w:tcPr>
            <w:tcW w:w="2345" w:type="dxa"/>
          </w:tcPr>
          <w:p w14:paraId="545426E6"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GrassLand</w:t>
            </w:r>
            <w:proofErr w:type="spellEnd"/>
          </w:p>
        </w:tc>
        <w:tc>
          <w:tcPr>
            <w:tcW w:w="2379" w:type="dxa"/>
          </w:tcPr>
          <w:p w14:paraId="3B651C66"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Savanna</w:t>
            </w:r>
          </w:p>
        </w:tc>
        <w:tc>
          <w:tcPr>
            <w:tcW w:w="2320" w:type="dxa"/>
          </w:tcPr>
          <w:p w14:paraId="30FF3C8A"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95</w:t>
            </w:r>
          </w:p>
        </w:tc>
      </w:tr>
      <w:tr w:rsidR="00880973" w:rsidRPr="00EE41C6" w14:paraId="327022EF" w14:textId="77777777" w:rsidTr="00726652">
        <w:trPr>
          <w:jc w:val="center"/>
        </w:trPr>
        <w:tc>
          <w:tcPr>
            <w:tcW w:w="2345" w:type="dxa"/>
          </w:tcPr>
          <w:p w14:paraId="18003877"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GrassLand</w:t>
            </w:r>
            <w:proofErr w:type="spellEnd"/>
          </w:p>
        </w:tc>
        <w:tc>
          <w:tcPr>
            <w:tcW w:w="2379" w:type="dxa"/>
          </w:tcPr>
          <w:p w14:paraId="5B82EC65"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Grassland/Steppe</w:t>
            </w:r>
          </w:p>
        </w:tc>
        <w:tc>
          <w:tcPr>
            <w:tcW w:w="2320" w:type="dxa"/>
          </w:tcPr>
          <w:p w14:paraId="48B3BD40"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60-185*</w:t>
            </w:r>
          </w:p>
        </w:tc>
      </w:tr>
      <w:tr w:rsidR="00880973" w:rsidRPr="00EE41C6" w14:paraId="6CDC222A" w14:textId="77777777" w:rsidTr="00726652">
        <w:trPr>
          <w:jc w:val="center"/>
        </w:trPr>
        <w:tc>
          <w:tcPr>
            <w:tcW w:w="2345" w:type="dxa"/>
          </w:tcPr>
          <w:p w14:paraId="12F8E6C5"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ShrubLand</w:t>
            </w:r>
            <w:proofErr w:type="spellEnd"/>
          </w:p>
        </w:tc>
        <w:tc>
          <w:tcPr>
            <w:tcW w:w="2379" w:type="dxa"/>
          </w:tcPr>
          <w:p w14:paraId="71B9D307"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Dense Shrubland</w:t>
            </w:r>
          </w:p>
        </w:tc>
        <w:tc>
          <w:tcPr>
            <w:tcW w:w="2320" w:type="dxa"/>
          </w:tcPr>
          <w:p w14:paraId="00E1ADFB"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69</w:t>
            </w:r>
          </w:p>
        </w:tc>
      </w:tr>
      <w:tr w:rsidR="00880973" w:rsidRPr="00EE41C6" w14:paraId="35FCE2EF" w14:textId="77777777" w:rsidTr="00726652">
        <w:trPr>
          <w:jc w:val="center"/>
        </w:trPr>
        <w:tc>
          <w:tcPr>
            <w:tcW w:w="2345" w:type="dxa"/>
          </w:tcPr>
          <w:p w14:paraId="54179700"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ShrubLand</w:t>
            </w:r>
            <w:proofErr w:type="spellEnd"/>
          </w:p>
        </w:tc>
        <w:tc>
          <w:tcPr>
            <w:tcW w:w="2379" w:type="dxa"/>
          </w:tcPr>
          <w:p w14:paraId="2808B60A"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Open Shrubland</w:t>
            </w:r>
          </w:p>
        </w:tc>
        <w:tc>
          <w:tcPr>
            <w:tcW w:w="2320" w:type="dxa"/>
          </w:tcPr>
          <w:p w14:paraId="713C6BB5"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69</w:t>
            </w:r>
          </w:p>
        </w:tc>
      </w:tr>
      <w:tr w:rsidR="00880973" w:rsidRPr="00EE41C6" w14:paraId="23E6B3EB" w14:textId="77777777" w:rsidTr="00726652">
        <w:trPr>
          <w:jc w:val="center"/>
        </w:trPr>
        <w:tc>
          <w:tcPr>
            <w:tcW w:w="2345" w:type="dxa"/>
          </w:tcPr>
          <w:p w14:paraId="419ABF1E"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Tundra</w:t>
            </w:r>
          </w:p>
        </w:tc>
        <w:tc>
          <w:tcPr>
            <w:tcW w:w="2379" w:type="dxa"/>
          </w:tcPr>
          <w:p w14:paraId="68A2C8FF"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Tundra</w:t>
            </w:r>
          </w:p>
        </w:tc>
        <w:tc>
          <w:tcPr>
            <w:tcW w:w="2320" w:type="dxa"/>
          </w:tcPr>
          <w:p w14:paraId="4805DC71"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100-300*</w:t>
            </w:r>
          </w:p>
        </w:tc>
      </w:tr>
      <w:tr w:rsidR="00880973" w:rsidRPr="00EE41C6" w14:paraId="5ACAC90A" w14:textId="77777777" w:rsidTr="00726652">
        <w:trPr>
          <w:jc w:val="center"/>
        </w:trPr>
        <w:tc>
          <w:tcPr>
            <w:tcW w:w="2345" w:type="dxa"/>
          </w:tcPr>
          <w:p w14:paraId="6491022E"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RockIceDesert</w:t>
            </w:r>
            <w:proofErr w:type="spellEnd"/>
          </w:p>
        </w:tc>
        <w:tc>
          <w:tcPr>
            <w:tcW w:w="2379" w:type="dxa"/>
          </w:tcPr>
          <w:p w14:paraId="2A0D8750"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Desert</w:t>
            </w:r>
          </w:p>
        </w:tc>
        <w:tc>
          <w:tcPr>
            <w:tcW w:w="2320" w:type="dxa"/>
          </w:tcPr>
          <w:p w14:paraId="640CD16A"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38</w:t>
            </w:r>
          </w:p>
        </w:tc>
      </w:tr>
      <w:tr w:rsidR="00880973" w:rsidRPr="00EE41C6" w14:paraId="6D4F3C71" w14:textId="77777777" w:rsidTr="00726652">
        <w:trPr>
          <w:jc w:val="center"/>
        </w:trPr>
        <w:tc>
          <w:tcPr>
            <w:tcW w:w="2345" w:type="dxa"/>
          </w:tcPr>
          <w:p w14:paraId="308F764D" w14:textId="77777777" w:rsidR="00880973" w:rsidRPr="00EE41C6" w:rsidRDefault="00880973" w:rsidP="000A0851">
            <w:pPr>
              <w:rPr>
                <w:rFonts w:ascii="Times New Roman" w:hAnsi="Times New Roman" w:cs="Times New Roman"/>
                <w:kern w:val="2"/>
                <w:sz w:val="18"/>
                <w:szCs w:val="18"/>
                <w14:ligatures w14:val="standardContextual"/>
              </w:rPr>
            </w:pPr>
            <w:proofErr w:type="spellStart"/>
            <w:r w:rsidRPr="00EE41C6">
              <w:rPr>
                <w:rFonts w:ascii="Times New Roman" w:hAnsi="Times New Roman" w:cs="Times New Roman"/>
                <w:kern w:val="2"/>
                <w:sz w:val="18"/>
                <w:szCs w:val="18"/>
                <w14:ligatures w14:val="standardContextual"/>
              </w:rPr>
              <w:t>RockIceDesert</w:t>
            </w:r>
            <w:proofErr w:type="spellEnd"/>
          </w:p>
        </w:tc>
        <w:tc>
          <w:tcPr>
            <w:tcW w:w="2379" w:type="dxa"/>
          </w:tcPr>
          <w:p w14:paraId="0ABA3082"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Polar Desert/Rock/Ice</w:t>
            </w:r>
          </w:p>
        </w:tc>
        <w:tc>
          <w:tcPr>
            <w:tcW w:w="2320" w:type="dxa"/>
          </w:tcPr>
          <w:p w14:paraId="23E3981C" w14:textId="77777777" w:rsidR="00880973" w:rsidRPr="00EE41C6" w:rsidRDefault="00880973" w:rsidP="000A0851">
            <w:pPr>
              <w:rPr>
                <w:rFonts w:ascii="Times New Roman" w:hAnsi="Times New Roman" w:cs="Times New Roman"/>
                <w:kern w:val="2"/>
                <w:sz w:val="18"/>
                <w:szCs w:val="18"/>
                <w14:ligatures w14:val="standardContextual"/>
              </w:rPr>
            </w:pPr>
            <w:r w:rsidRPr="00EE41C6">
              <w:rPr>
                <w:rFonts w:ascii="Times New Roman" w:hAnsi="Times New Roman" w:cs="Times New Roman"/>
                <w:kern w:val="2"/>
                <w:sz w:val="18"/>
                <w:szCs w:val="18"/>
                <w14:ligatures w14:val="standardContextual"/>
              </w:rPr>
              <w:t>85</w:t>
            </w:r>
          </w:p>
        </w:tc>
      </w:tr>
    </w:tbl>
    <w:p w14:paraId="7F109D22" w14:textId="77777777" w:rsidR="00F77190" w:rsidRPr="00EE41C6" w:rsidRDefault="00F77190" w:rsidP="00F77190">
      <w:bookmarkStart w:id="52" w:name="_Toc157938565"/>
    </w:p>
    <w:p w14:paraId="44A09B27" w14:textId="12AF2FAF" w:rsidR="00F77190" w:rsidRPr="00EE41C6" w:rsidRDefault="00EF40FD" w:rsidP="00176F76">
      <w:pPr>
        <w:pStyle w:val="Heading1"/>
        <w:rPr>
          <w:rFonts w:ascii="Times New Roman" w:hAnsi="Times New Roman" w:cs="Times New Roman"/>
        </w:rPr>
      </w:pPr>
      <w:bookmarkStart w:id="53" w:name="_Toc176517760"/>
      <w:r w:rsidRPr="00EE41C6">
        <w:rPr>
          <w:rFonts w:ascii="Times New Roman" w:hAnsi="Times New Roman" w:cs="Times New Roman"/>
        </w:rPr>
        <w:t xml:space="preserve">Supplementary </w:t>
      </w:r>
      <w:bookmarkEnd w:id="52"/>
      <w:r w:rsidR="00176F76" w:rsidRPr="00EE41C6">
        <w:rPr>
          <w:rFonts w:ascii="Times New Roman" w:hAnsi="Times New Roman" w:cs="Times New Roman"/>
        </w:rPr>
        <w:t xml:space="preserve">Method </w:t>
      </w:r>
      <w:bookmarkStart w:id="54" w:name="_Hlk169015105"/>
      <w:r w:rsidR="00176F76" w:rsidRPr="00EE41C6">
        <w:rPr>
          <w:rFonts w:ascii="Times New Roman" w:hAnsi="Times New Roman" w:cs="Times New Roman"/>
        </w:rPr>
        <w:t xml:space="preserve">1: </w:t>
      </w:r>
      <w:r w:rsidR="00F77190" w:rsidRPr="00EE41C6">
        <w:rPr>
          <w:rFonts w:ascii="Times New Roman" w:hAnsi="Times New Roman" w:cs="Times New Roman"/>
        </w:rPr>
        <w:t>Global Change Assessment Model (GCAM)</w:t>
      </w:r>
      <w:bookmarkEnd w:id="53"/>
    </w:p>
    <w:bookmarkEnd w:id="54"/>
    <w:p w14:paraId="1958CD2C" w14:textId="77777777" w:rsidR="00D92895" w:rsidRPr="00EE41C6" w:rsidRDefault="00D92895" w:rsidP="00D92895"/>
    <w:p w14:paraId="369484D3" w14:textId="77777777" w:rsidR="00B6029C" w:rsidRPr="00EE41C6" w:rsidRDefault="00B6029C" w:rsidP="00B6029C">
      <w:pPr>
        <w:spacing w:line="480" w:lineRule="auto"/>
        <w:ind w:firstLine="288"/>
        <w:jc w:val="both"/>
        <w:rPr>
          <w:rFonts w:ascii="Times New Roman" w:hAnsi="Times New Roman" w:cs="Times New Roman"/>
        </w:rPr>
      </w:pPr>
      <w:r w:rsidRPr="00EE41C6">
        <w:rPr>
          <w:rFonts w:ascii="Times New Roman" w:hAnsi="Times New Roman" w:cs="Times New Roman"/>
        </w:rPr>
        <w:t>The Global Change Analysis Model (GCAM), developed by the Joint Global Change Research Institute (JGCRI), serves as a pivotal tool in the exploration of the consequences and responses to global changes, with a particular focus on climate change. This model is an integrated assessment tool designed to provide comprehensive insights into the multifaceted impacts of climate change across various regions of the world and diverse sectors of the global economy. The primary objective of GCAM is to facilitate a profound understanding of the potential ramifications of climate mitigation actions, thereby aiding in the formulation of informed and effective policies and international agreements aimed at limiting greenhouse gas emissions.</w:t>
      </w:r>
    </w:p>
    <w:p w14:paraId="399357A2" w14:textId="0B1F0774" w:rsidR="00374B32" w:rsidRPr="00EE41C6" w:rsidRDefault="00B6029C" w:rsidP="00374B32">
      <w:pPr>
        <w:spacing w:after="200" w:line="480" w:lineRule="auto"/>
        <w:jc w:val="both"/>
        <w:rPr>
          <w:rFonts w:ascii="Times New Roman" w:eastAsia="SimSun" w:hAnsi="Times New Roman" w:cs="Times New Roman"/>
          <w:noProof/>
          <w:kern w:val="0"/>
          <w14:ligatures w14:val="none"/>
        </w:rPr>
      </w:pPr>
      <w:r w:rsidRPr="00EE41C6">
        <w:rPr>
          <w:rFonts w:ascii="Times New Roman" w:hAnsi="Times New Roman" w:cs="Times New Roman"/>
        </w:rPr>
        <w:t>“GCAM includes representations of five systems: economy, energy, agriculture and land-use, water and climate in 32 geopolitical regions across the globe and the associated land allocation, water use and agriculture production across 384 land subregions and 235 water basins. GCAM operates in 5-year time-</w:t>
      </w:r>
      <w:r w:rsidRPr="00EE41C6">
        <w:rPr>
          <w:rFonts w:ascii="Times New Roman" w:hAnsi="Times New Roman" w:cs="Times New Roman"/>
        </w:rPr>
        <w:lastRenderedPageBreak/>
        <w:t xml:space="preserve">steps from 2015 (calibration year) to 2100 by solving for the equilibrium prices and quantities of various energy, agricultural, water, land-use and GHG markets in each time period and in each region. GCAM is a dynamic recursive model. Hence, solutions for each modelling period only depend on conditions in the last modelling period. Outcomes of GCAM are driven by exogenous assumptions about population growth, </w:t>
      </w:r>
      <w:proofErr w:type="spellStart"/>
      <w:r w:rsidRPr="00EE41C6">
        <w:rPr>
          <w:rFonts w:ascii="Times New Roman" w:hAnsi="Times New Roman" w:cs="Times New Roman"/>
        </w:rPr>
        <w:t>labour</w:t>
      </w:r>
      <w:proofErr w:type="spellEnd"/>
      <w:r w:rsidRPr="00EE41C6">
        <w:rPr>
          <w:rFonts w:ascii="Times New Roman" w:hAnsi="Times New Roman" w:cs="Times New Roman"/>
        </w:rPr>
        <w:t xml:space="preserve"> participation rates and </w:t>
      </w:r>
      <w:proofErr w:type="spellStart"/>
      <w:r w:rsidRPr="00EE41C6">
        <w:rPr>
          <w:rFonts w:ascii="Times New Roman" w:hAnsi="Times New Roman" w:cs="Times New Roman"/>
        </w:rPr>
        <w:t>labour</w:t>
      </w:r>
      <w:proofErr w:type="spellEnd"/>
      <w:r w:rsidRPr="00EE41C6">
        <w:rPr>
          <w:rFonts w:ascii="Times New Roman" w:hAnsi="Times New Roman" w:cs="Times New Roman"/>
        </w:rPr>
        <w:t xml:space="preserve"> productivity in the 32 geopolitical regions, along with representations of resources, technologies and policy. GCAM tracks emissions of 24 gases, including GHGs, short-lived species and ozone precursors, endogenously based on the resulting energy, agriculture and land-use systems as discussed in the following subsections. </w:t>
      </w:r>
      <w:r w:rsidR="00D92895" w:rsidRPr="00EE41C6">
        <w:rPr>
          <w:rFonts w:ascii="Times New Roman" w:eastAsia="SimSun" w:hAnsi="Times New Roman" w:cs="Times New Roman"/>
          <w:noProof/>
          <w:kern w:val="0"/>
          <w14:ligatures w14:val="none"/>
        </w:rPr>
        <w:t xml:space="preserve">Selected underlying modelling equations are also presented as follows </w:t>
      </w:r>
      <w:r w:rsidR="00D92895" w:rsidRPr="00EE41C6">
        <w:rPr>
          <w:rFonts w:ascii="Times New Roman" w:eastAsia="SimSun" w:hAnsi="Times New Roman" w:cs="Times New Roman"/>
          <w:noProof/>
          <w:kern w:val="0"/>
          <w14:ligatures w14:val="none"/>
        </w:rPr>
        <w:fldChar w:fldCharType="begin"/>
      </w:r>
      <w:r w:rsidR="00005AF3" w:rsidRPr="00EE41C6">
        <w:rPr>
          <w:rFonts w:ascii="Times New Roman" w:eastAsia="SimSun" w:hAnsi="Times New Roman" w:cs="Times New Roman"/>
          <w:noProof/>
          <w:kern w:val="0"/>
          <w14:ligatures w14:val="none"/>
        </w:rPr>
        <w:instrText xml:space="preserve"> ADDIN ZOTERO_ITEM CSL_CITATION {"citationID":"OEwlpdfi","properties":{"formattedCitation":"\\super 58,61\\nosupersub{}","plainCitation":"58,61","noteIndex":0},"citationItems":[{"id":682,"uris":["http://zotero.org/users/local/YcBHrSK0/items/UIF6GXSP"],"itemData":{"id":682,"type":"report","abstract":"New features include: A new residential floorspace expansion model. Bio-energy updates: additional limits to \"unsustainable\" deployment Default hotelling rate for climate stabilization scenarios is now 3%. Split out 6 detailed industrial sectors from the aggregate industry sector. Updated Hydrogen production, distribution, and end-use technologies. A new protected lands definition. Expanded crop commodities. Use spatially explicit soil and vegetation carbon data from Moirai. HFC MAC curve fixes. New pollutant emissions controls. Add direct air capture as a mitigation option in GCAM-USA. Gross electricity trade in GCAM-USA. Add GHGs to GCAM-USA. Add pollutant emissions to GCAM-USA. Solution improvements, particularly related to water markets. Change the XML parser library to RapidXML. Add the ability to exit the model early due to solution failure. Reduce memory usage (offsets additional memory from expanded crop commodities). &lt;code&gt;gcamdata&lt;/code&gt;: Renv and user modification chunks.","license":"Open Access","note":"Programmers: _:n3652\nDOI: 10.5281/ZENODO.6619287","publisher":"Zenodo","source":"DOI.org (Datacite)","title":"JGCRI/gcam-core: GCAM 6.0","title-short":"JGCRI/gcam-core","URL":"https://zenodo.org/record/6619287","author":[{"family":"Bond-Lamberty","given":"Ben"},{"literal":"Pralit Patel"},{"family":"Lurz","given":"Joshua"},{"literal":"Pkyle"},{"literal":"Kvcalvin"},{"family":"Smith","given":"Steve"},{"literal":"Abigailsnyder"},{"family":"Dorheim","given":"Kalyn R."},{"literal":"Russellhz"},{"literal":"Mbins"},{"family":"Link","given":"Robert"},{"literal":"Skim301"},{"literal":"Nealtg"},{"literal":"Kanishka Narayan"},{"family":"Turner","given":"Sean W D"},{"family":"Aaron","given":"S."},{"literal":"Leyang Feng"},{"literal":"Enlochner"},{"literal":"Cwroney"},{"family":"Lynch","given":"Cary"},{"literal":"Jhoring"},{"literal":"Zarrar Khan"},{"literal":"Siddarthd96"},{"literal":"Orourkepr"},{"literal":"JonathanHuster"},{"literal":"Haewon"},{"family":"Ou","given":"Yang"},{"literal":"Gokul Iyer"},{"literal":"Mwisepnnl"},{"literal":"Marideeweber"}],"accessed":{"date-parts":[["2023",3,16]]},"issued":{"date-parts":[["2022"]]}}},{"id":1335,"uris":["http://zotero.org/users/local/YcBHrSK0/items/PBSVRAKG"],"itemData":{"id":1335,"type":"article-journal","abstract":"New features include: Updated technology costs for electricity and transportation technologies Emissions: using CEDS as data source, updated to 2015, new MAC curves Trade: improved trade for fossil fuels, forestry, and agriculture Included water markets in GCAM-USA Energy for water New food demand representation Solver improvements and library changes gcamdata updated to use drake and work with dplyr 1.0.0 Removed unused code Minor updates and bugfixes Optional features (not turned on by default): Direct Air Capture Ability to specify exogenous floorspace pathways Ability to scale CH&lt;sub&gt;4&lt;/sub&gt; and N&lt;sub&gt;2&lt;/sub&gt;O emissions to EPA inventories","DOI":"10.5281/zenodo.5093192","language":"en","source":"zenodo.org","title":"JGCRI/gcam-core: GCAM 5.4","title-short":"JGCRI/gcam-core","URL":"https://zenodo.org/records/5093192","author":[{"family":"Bond-Lamberty","given":"Ben"},{"family":"Patel","given":"Pralit"},{"family":"Lurz","given":"Joshua"},{"family":"Smith","given":"Steve"},{"family":"Synder","given":"Abigail"},{"family":"Kyle","given":"Page"}],"accessed":{"date-parts":[["2023",10,16]]},"issued":{"date-parts":[["2021"]]}}}],"schema":"https://github.com/citation-style-language/schema/raw/master/csl-citation.json"} </w:instrText>
      </w:r>
      <w:r w:rsidR="00D92895" w:rsidRPr="00EE41C6">
        <w:rPr>
          <w:rFonts w:ascii="Times New Roman" w:eastAsia="SimSun" w:hAnsi="Times New Roman" w:cs="Times New Roman"/>
          <w:noProof/>
          <w:kern w:val="0"/>
          <w14:ligatures w14:val="none"/>
        </w:rPr>
        <w:fldChar w:fldCharType="separate"/>
      </w:r>
      <w:r w:rsidR="00005AF3" w:rsidRPr="00EE41C6">
        <w:rPr>
          <w:rFonts w:ascii="Times New Roman" w:hAnsi="Times New Roman" w:cs="Times New Roman"/>
          <w:kern w:val="0"/>
          <w:szCs w:val="24"/>
          <w:vertAlign w:val="superscript"/>
        </w:rPr>
        <w:t>58,61</w:t>
      </w:r>
      <w:r w:rsidR="00D92895" w:rsidRPr="00EE41C6">
        <w:rPr>
          <w:rFonts w:ascii="Times New Roman" w:eastAsia="SimSun" w:hAnsi="Times New Roman" w:cs="Times New Roman"/>
          <w:noProof/>
          <w:kern w:val="0"/>
          <w14:ligatures w14:val="none"/>
        </w:rPr>
        <w:fldChar w:fldCharType="end"/>
      </w:r>
      <w:r w:rsidR="00D92895" w:rsidRPr="00EE41C6">
        <w:rPr>
          <w:rFonts w:ascii="Times New Roman" w:eastAsia="SimSun" w:hAnsi="Times New Roman" w:cs="Times New Roman"/>
          <w:noProof/>
          <w:kern w:val="0"/>
          <w14:ligatures w14:val="none"/>
        </w:rPr>
        <w:t xml:space="preserve">: </w:t>
      </w:r>
      <w:r w:rsidR="00374B32" w:rsidRPr="00EE41C6">
        <w:rPr>
          <w:rFonts w:ascii="Times New Roman" w:eastAsia="SimSun" w:hAnsi="Times New Roman" w:cs="Times New Roman"/>
          <w:noProof/>
          <w:kern w:val="0"/>
          <w14:ligatures w14:val="none"/>
        </w:rPr>
        <w:t xml:space="preserve">The model reduces greenhouse gases by placing a price on </w:t>
      </w:r>
      <w:r w:rsidR="00374B32" w:rsidRPr="00EE41C6">
        <w:rPr>
          <w:rFonts w:ascii="Times New Roman" w:eastAsia="SimSun" w:hAnsi="Times New Roman" w:cs="Times New Roman" w:hint="eastAsia"/>
          <w:noProof/>
          <w:kern w:val="0"/>
          <w14:ligatures w14:val="none"/>
        </w:rPr>
        <w:t xml:space="preserve">GHG </w:t>
      </w:r>
      <w:r w:rsidR="00374B32" w:rsidRPr="00EE41C6">
        <w:rPr>
          <w:rFonts w:ascii="Times New Roman" w:eastAsia="SimSun" w:hAnsi="Times New Roman" w:cs="Times New Roman"/>
          <w:noProof/>
          <w:kern w:val="0"/>
          <w14:ligatures w14:val="none"/>
        </w:rPr>
        <w:t>emissions. This price then filters down through all the systems in the model and alters production and demand. For example, a price on carbon would put a cost on emitting fossil fuels. This cost would then influence the cost of producing electricity from fossil-fired power plants that emit CO</w:t>
      </w:r>
      <w:r w:rsidR="00374B32" w:rsidRPr="00EE41C6">
        <w:rPr>
          <w:rFonts w:ascii="Times New Roman" w:eastAsia="SimSun" w:hAnsi="Times New Roman" w:cs="Times New Roman"/>
          <w:noProof/>
          <w:kern w:val="0"/>
          <w:vertAlign w:val="subscript"/>
          <w14:ligatures w14:val="none"/>
        </w:rPr>
        <w:t>2</w:t>
      </w:r>
      <w:r w:rsidR="00374B32" w:rsidRPr="00EE41C6">
        <w:rPr>
          <w:rFonts w:ascii="Times New Roman" w:eastAsia="SimSun" w:hAnsi="Times New Roman" w:cs="Times New Roman"/>
          <w:noProof/>
          <w:kern w:val="0"/>
          <w14:ligatures w14:val="none"/>
        </w:rPr>
        <w:t xml:space="preserve">, which would then influence their relative cost compared to other electricity-generating technologies and increase the price of electricity. The increased price of electricity would then make its way to consumers who use electricity, potentially decreasing its competitiveness relative to other fuels </w:t>
      </w:r>
      <w:r w:rsidR="00374B32" w:rsidRPr="00EE41C6">
        <w:rPr>
          <w:rFonts w:ascii="Times New Roman" w:eastAsia="SimSun" w:hAnsi="Times New Roman" w:cs="Times New Roman"/>
          <w:noProof/>
          <w:kern w:val="0"/>
          <w14:ligatures w14:val="none"/>
        </w:rPr>
        <w:fldChar w:fldCharType="begin"/>
      </w:r>
      <w:r w:rsidR="00005AF3" w:rsidRPr="00EE41C6">
        <w:rPr>
          <w:rFonts w:ascii="Times New Roman" w:eastAsia="SimSun" w:hAnsi="Times New Roman" w:cs="Times New Roman"/>
          <w:noProof/>
          <w:kern w:val="0"/>
          <w14:ligatures w14:val="none"/>
        </w:rPr>
        <w:instrText xml:space="preserve"> ADDIN ZOTERO_ITEM CSL_CITATION {"citationID":"xQpnb2Rp","properties":{"formattedCitation":"\\super 58,61\\nosupersub{}","plainCitation":"58,61","noteIndex":0},"citationItems":[{"id":682,"uris":["http://zotero.org/users/local/YcBHrSK0/items/UIF6GXSP"],"itemData":{"id":682,"type":"report","abstract":"New features include: A new residential floorspace expansion model. Bio-energy updates: additional limits to \"unsustainable\" deployment Default hotelling rate for climate stabilization scenarios is now 3%. Split out 6 detailed industrial sectors from the aggregate industry sector. Updated Hydrogen production, distribution, and end-use technologies. A new protected lands definition. Expanded crop commodities. Use spatially explicit soil and vegetation carbon data from Moirai. HFC MAC curve fixes. New pollutant emissions controls. Add direct air capture as a mitigation option in GCAM-USA. Gross electricity trade in GCAM-USA. Add GHGs to GCAM-USA. Add pollutant emissions to GCAM-USA. Solution improvements, particularly related to water markets. Change the XML parser library to RapidXML. Add the ability to exit the model early due to solution failure. Reduce memory usage (offsets additional memory from expanded crop commodities). &lt;code&gt;gcamdata&lt;/code&gt;: Renv and user modification chunks.","license":"Open Access","note":"Programmers: _:n3652\nDOI: 10.5281/ZENODO.6619287","publisher":"Zenodo","source":"DOI.org (Datacite)","title":"JGCRI/gcam-core: GCAM 6.0","title-short":"JGCRI/gcam-core","URL":"https://zenodo.org/record/6619287","author":[{"family":"Bond-Lamberty","given":"Ben"},{"literal":"Pralit Patel"},{"family":"Lurz","given":"Joshua"},{"literal":"Pkyle"},{"literal":"Kvcalvin"},{"family":"Smith","given":"Steve"},{"literal":"Abigailsnyder"},{"family":"Dorheim","given":"Kalyn R."},{"literal":"Russellhz"},{"literal":"Mbins"},{"family":"Link","given":"Robert"},{"literal":"Skim301"},{"literal":"Nealtg"},{"literal":"Kanishka Narayan"},{"family":"Turner","given":"Sean W D"},{"family":"Aaron","given":"S."},{"literal":"Leyang Feng"},{"literal":"Enlochner"},{"literal":"Cwroney"},{"family":"Lynch","given":"Cary"},{"literal":"Jhoring"},{"literal":"Zarrar Khan"},{"literal":"Siddarthd96"},{"literal":"Orourkepr"},{"literal":"JonathanHuster"},{"literal":"Haewon"},{"family":"Ou","given":"Yang"},{"literal":"Gokul Iyer"},{"literal":"Mwisepnnl"},{"literal":"Marideeweber"}],"accessed":{"date-parts":[["2023",3,16]]},"issued":{"date-parts":[["2022"]]}}},{"id":1335,"uris":["http://zotero.org/users/local/YcBHrSK0/items/PBSVRAKG"],"itemData":{"id":1335,"type":"article-journal","abstract":"New features include: Updated technology costs for electricity and transportation technologies Emissions: using CEDS as data source, updated to 2015, new MAC curves Trade: improved trade for fossil fuels, forestry, and agriculture Included water markets in GCAM-USA Energy for water New food demand representation Solver improvements and library changes gcamdata updated to use drake and work with dplyr 1.0.0 Removed unused code Minor updates and bugfixes Optional features (not turned on by default): Direct Air Capture Ability to specify exogenous floorspace pathways Ability to scale CH&lt;sub&gt;4&lt;/sub&gt; and N&lt;sub&gt;2&lt;/sub&gt;O emissions to EPA inventories","DOI":"10.5281/zenodo.5093192","language":"en","source":"zenodo.org","title":"JGCRI/gcam-core: GCAM 5.4","title-short":"JGCRI/gcam-core","URL":"https://zenodo.org/records/5093192","author":[{"family":"Bond-Lamberty","given":"Ben"},{"family":"Patel","given":"Pralit"},{"family":"Lurz","given":"Joshua"},{"family":"Smith","given":"Steve"},{"family":"Synder","given":"Abigail"},{"family":"Kyle","given":"Page"}],"accessed":{"date-parts":[["2023",10,16]]},"issued":{"date-parts":[["2021"]]}}}],"schema":"https://github.com/citation-style-language/schema/raw/master/csl-citation.json"} </w:instrText>
      </w:r>
      <w:r w:rsidR="00374B32" w:rsidRPr="00EE41C6">
        <w:rPr>
          <w:rFonts w:ascii="Times New Roman" w:eastAsia="SimSun" w:hAnsi="Times New Roman" w:cs="Times New Roman"/>
          <w:noProof/>
          <w:kern w:val="0"/>
          <w14:ligatures w14:val="none"/>
        </w:rPr>
        <w:fldChar w:fldCharType="separate"/>
      </w:r>
      <w:r w:rsidR="00005AF3" w:rsidRPr="00EE41C6">
        <w:rPr>
          <w:rFonts w:ascii="Times New Roman" w:hAnsi="Times New Roman" w:cs="Times New Roman"/>
          <w:kern w:val="0"/>
          <w:szCs w:val="24"/>
          <w:vertAlign w:val="superscript"/>
        </w:rPr>
        <w:t>58,61</w:t>
      </w:r>
      <w:r w:rsidR="00374B32" w:rsidRPr="00EE41C6">
        <w:rPr>
          <w:rFonts w:ascii="Times New Roman" w:eastAsia="SimSun" w:hAnsi="Times New Roman" w:cs="Times New Roman"/>
          <w:noProof/>
          <w:kern w:val="0"/>
          <w14:ligatures w14:val="none"/>
        </w:rPr>
        <w:fldChar w:fldCharType="end"/>
      </w:r>
      <w:r w:rsidR="00374B32" w:rsidRPr="00EE41C6">
        <w:rPr>
          <w:rFonts w:ascii="Times New Roman" w:eastAsia="SimSun" w:hAnsi="Times New Roman" w:cs="Times New Roman"/>
          <w:noProof/>
          <w:kern w:val="0"/>
          <w14:ligatures w14:val="none"/>
        </w:rPr>
        <w:t xml:space="preserve">. </w:t>
      </w:r>
    </w:p>
    <w:p w14:paraId="335BF318" w14:textId="7FF5DE90" w:rsidR="00D92895" w:rsidRPr="00EE41C6" w:rsidRDefault="00374B32" w:rsidP="00B6029C">
      <w:pPr>
        <w:spacing w:after="200" w:line="480" w:lineRule="auto"/>
        <w:jc w:val="both"/>
        <w:rPr>
          <w:rFonts w:ascii="Times New Roman" w:eastAsia="SimSun" w:hAnsi="Times New Roman" w:cs="Times New Roman"/>
          <w:noProof/>
          <w:kern w:val="0"/>
          <w14:ligatures w14:val="none"/>
        </w:rPr>
      </w:pPr>
      <w:r w:rsidRPr="00EE41C6">
        <w:rPr>
          <w:rFonts w:ascii="Times New Roman" w:eastAsia="SimSun" w:hAnsi="Times New Roman" w:cs="Times New Roman"/>
          <w:noProof/>
          <w:kern w:val="0"/>
          <w14:ligatures w14:val="none"/>
        </w:rPr>
        <w:t xml:space="preserve">When a policy is initiated, such as a target to </w:t>
      </w:r>
      <w:r w:rsidRPr="00EE41C6">
        <w:rPr>
          <w:rFonts w:ascii="Times New Roman" w:eastAsia="SimSun" w:hAnsi="Times New Roman" w:cs="Times New Roman" w:hint="eastAsia"/>
          <w:noProof/>
          <w:kern w:val="0"/>
          <w14:ligatures w14:val="none"/>
        </w:rPr>
        <w:t>achieve net-zero emissions in 2050</w:t>
      </w:r>
      <w:r w:rsidRPr="00EE41C6">
        <w:rPr>
          <w:rFonts w:ascii="Times New Roman" w:eastAsia="SimSun" w:hAnsi="Times New Roman" w:cs="Times New Roman"/>
          <w:noProof/>
          <w:kern w:val="0"/>
          <w14:ligatures w14:val="none"/>
        </w:rPr>
        <w:t xml:space="preserve">, the carbon price begins to increase and follows the steps described above to achieve the </w:t>
      </w:r>
      <w:r w:rsidRPr="00EE41C6">
        <w:rPr>
          <w:rFonts w:ascii="Times New Roman" w:eastAsia="SimSun" w:hAnsi="Times New Roman" w:cs="Times New Roman" w:hint="eastAsia"/>
          <w:noProof/>
          <w:kern w:val="0"/>
          <w14:ligatures w14:val="none"/>
        </w:rPr>
        <w:t>emission</w:t>
      </w:r>
      <w:r w:rsidRPr="00EE41C6">
        <w:rPr>
          <w:rFonts w:ascii="Times New Roman" w:eastAsia="SimSun" w:hAnsi="Times New Roman" w:cs="Times New Roman"/>
          <w:noProof/>
          <w:kern w:val="0"/>
          <w14:ligatures w14:val="none"/>
        </w:rPr>
        <w:t xml:space="preserve"> target across every modeling period. </w:t>
      </w:r>
    </w:p>
    <w:p w14:paraId="02EE5CCC" w14:textId="3BD413AF" w:rsidR="00F77190" w:rsidRPr="00EE41C6" w:rsidRDefault="00F77190" w:rsidP="00176F76">
      <w:pPr>
        <w:pStyle w:val="Heading1"/>
        <w:rPr>
          <w:rFonts w:ascii="Times New Roman" w:hAnsi="Times New Roman" w:cs="Times New Roman"/>
        </w:rPr>
      </w:pPr>
      <w:bookmarkStart w:id="55" w:name="_Hlk169015473"/>
      <w:bookmarkStart w:id="56" w:name="_Toc176517761"/>
      <w:r w:rsidRPr="00EE41C6">
        <w:rPr>
          <w:rFonts w:ascii="Times New Roman" w:hAnsi="Times New Roman" w:cs="Times New Roman"/>
        </w:rPr>
        <w:t xml:space="preserve">Supplementary </w:t>
      </w:r>
      <w:r w:rsidR="00176F76" w:rsidRPr="00EE41C6">
        <w:rPr>
          <w:rFonts w:ascii="Times New Roman" w:hAnsi="Times New Roman" w:cs="Times New Roman"/>
        </w:rPr>
        <w:t>Method 2: D</w:t>
      </w:r>
      <w:r w:rsidRPr="00EE41C6">
        <w:rPr>
          <w:rFonts w:ascii="Times New Roman" w:hAnsi="Times New Roman" w:cs="Times New Roman"/>
        </w:rPr>
        <w:t>emand for energy services in GCAM</w:t>
      </w:r>
      <w:bookmarkEnd w:id="56"/>
    </w:p>
    <w:p w14:paraId="7C20B7E5" w14:textId="77777777" w:rsidR="00176F76" w:rsidRPr="00EE41C6" w:rsidRDefault="00176F76" w:rsidP="00176F76"/>
    <w:bookmarkEnd w:id="55"/>
    <w:p w14:paraId="639D94C0" w14:textId="70CF1BDB" w:rsidR="00D92895" w:rsidRPr="00EE41C6" w:rsidRDefault="00D92895" w:rsidP="00D92895">
      <w:pPr>
        <w:spacing w:after="200" w:line="480" w:lineRule="auto"/>
        <w:jc w:val="both"/>
        <w:rPr>
          <w:rFonts w:ascii="Times New Roman" w:eastAsia="SimSun" w:hAnsi="Times New Roman" w:cs="Times New Roman"/>
          <w:noProof/>
          <w:kern w:val="0"/>
          <w14:ligatures w14:val="none"/>
        </w:rPr>
      </w:pPr>
      <w:r w:rsidRPr="00EE41C6">
        <w:rPr>
          <w:rFonts w:ascii="Times New Roman" w:eastAsia="SimSun" w:hAnsi="Times New Roman" w:cs="Times New Roman"/>
          <w:noProof/>
          <w:kern w:val="0"/>
          <w14:ligatures w14:val="none"/>
        </w:rPr>
        <w:t xml:space="preserve">In </w:t>
      </w:r>
      <w:bookmarkStart w:id="57" w:name="_Hlk150503614"/>
      <w:r w:rsidRPr="00EE41C6">
        <w:rPr>
          <w:rFonts w:ascii="Times New Roman" w:eastAsia="SimSun" w:hAnsi="Times New Roman" w:cs="Times New Roman"/>
          <w:noProof/>
          <w:kern w:val="0"/>
          <w14:ligatures w14:val="none"/>
        </w:rPr>
        <w:t>GCAM</w:t>
      </w:r>
      <w:bookmarkEnd w:id="57"/>
      <w:r w:rsidRPr="00EE41C6">
        <w:rPr>
          <w:rFonts w:ascii="Times New Roman" w:eastAsia="SimSun" w:hAnsi="Times New Roman" w:cs="Times New Roman"/>
          <w:noProof/>
          <w:kern w:val="0"/>
          <w14:ligatures w14:val="none"/>
        </w:rPr>
        <w:t xml:space="preserve">, the growth of the energy system is driven fundamentally by the demand for energy services from end-use sectors such as industry, transportation, and buildings. The GCAM models the link between this demand side and the supply side that meets energy service needs. The demand for energy services in the end-use sectors can be calculated using </w:t>
      </w:r>
      <w:r w:rsidR="00FA652B" w:rsidRPr="00EE41C6">
        <w:rPr>
          <w:rFonts w:ascii="Times New Roman" w:eastAsia="SimSun" w:hAnsi="Times New Roman" w:cs="Times New Roman"/>
          <w:noProof/>
          <w:kern w:val="0"/>
          <w14:ligatures w14:val="none"/>
        </w:rPr>
        <w:t xml:space="preserve">Supplementary </w:t>
      </w:r>
      <w:r w:rsidRPr="00EE41C6">
        <w:rPr>
          <w:rFonts w:ascii="Times New Roman" w:eastAsia="SimSun" w:hAnsi="Times New Roman" w:cs="Times New Roman"/>
          <w:noProof/>
          <w:kern w:val="0"/>
          <w14:ligatures w14:val="none"/>
        </w:rPr>
        <w:t xml:space="preserve">Equation </w:t>
      </w:r>
      <w:r w:rsidR="00707CFD" w:rsidRPr="00EE41C6">
        <w:rPr>
          <w:rFonts w:ascii="Times New Roman" w:eastAsia="SimSun" w:hAnsi="Times New Roman" w:cs="Times New Roman"/>
          <w:noProof/>
          <w:kern w:val="0"/>
          <w14:ligatures w14:val="none"/>
        </w:rPr>
        <w:t>8</w:t>
      </w:r>
      <w:r w:rsidRPr="00EE41C6">
        <w:rPr>
          <w:rFonts w:ascii="Times New Roman" w:eastAsia="SimSun" w:hAnsi="Times New Roman" w:cs="Times New Roman"/>
          <w:b/>
          <w:bCs/>
          <w:noProof/>
          <w:kern w:val="0"/>
          <w14:ligatures w14:val="none"/>
        </w:rPr>
        <w:t xml:space="preserve"> </w:t>
      </w:r>
      <w:r w:rsidRPr="00EE41C6">
        <w:rPr>
          <w:rFonts w:ascii="Times New Roman" w:eastAsia="SimSun" w:hAnsi="Times New Roman" w:cs="Times New Roman"/>
          <w:b/>
          <w:bCs/>
          <w:noProof/>
          <w:kern w:val="0"/>
          <w14:ligatures w14:val="none"/>
        </w:rPr>
        <w:fldChar w:fldCharType="begin"/>
      </w:r>
      <w:r w:rsidR="00611BEE" w:rsidRPr="00EE41C6">
        <w:rPr>
          <w:rFonts w:ascii="Times New Roman" w:eastAsia="SimSun" w:hAnsi="Times New Roman" w:cs="Times New Roman"/>
          <w:b/>
          <w:bCs/>
          <w:noProof/>
          <w:kern w:val="0"/>
          <w14:ligatures w14:val="none"/>
        </w:rPr>
        <w:instrText xml:space="preserve"> ADDIN ZOTERO_ITEM CSL_CITATION {"citationID":"LuX3DCqP","properties":{"formattedCitation":"\\super 62\\nosupersub{}","plainCitation":"62","noteIndex":0},"citationItems":[{"id":"jp5DcqPZ/vmOyDLPO","uris":["http://zotero.org/users/local/kyKc933Q/items/JNX2DQAB"],"itemData":{"id":197,"type":"article-journal","container-title":"Journal of Environmental Management","DOI":"10.1016/j.jenvman.2023.117753","ISSN":"03014797","journalAbbreviation":"Journal of Environmental Management","language":"en","page":"117753","source":"DOI.org (Crossref)","title":"Accelerating carbon neutrality could help China's energy system align with below 1.5 °C","volume":"337","author":[{"family":"Ma","given":"Xueqing"},{"family":"Peng","given":"Tianduo"},{"family":"Zhang","given":"Yanru"},{"family":"Wang","given":"Lining"},{"family":"Pan","given":"Xunzhang"}],"issued":{"date-parts":[["2023",7]]}}}],"schema":"https://github.com/citation-style-language/schema/raw/master/csl-citation.json"} </w:instrText>
      </w:r>
      <w:r w:rsidRPr="00EE41C6">
        <w:rPr>
          <w:rFonts w:ascii="Times New Roman" w:eastAsia="SimSun" w:hAnsi="Times New Roman" w:cs="Times New Roman"/>
          <w:b/>
          <w:bCs/>
          <w:noProof/>
          <w:kern w:val="0"/>
          <w14:ligatures w14:val="none"/>
        </w:rPr>
        <w:fldChar w:fldCharType="separate"/>
      </w:r>
      <w:r w:rsidR="00005AF3" w:rsidRPr="00EE41C6">
        <w:rPr>
          <w:rFonts w:ascii="Times New Roman" w:hAnsi="Times New Roman" w:cs="Times New Roman"/>
          <w:kern w:val="0"/>
          <w:szCs w:val="24"/>
          <w:vertAlign w:val="superscript"/>
        </w:rPr>
        <w:t>62</w:t>
      </w:r>
      <w:r w:rsidRPr="00EE41C6">
        <w:rPr>
          <w:rFonts w:ascii="Times New Roman" w:eastAsia="SimSun" w:hAnsi="Times New Roman" w:cs="Times New Roman"/>
          <w:b/>
          <w:bCs/>
          <w:noProof/>
          <w:kern w:val="0"/>
          <w14:ligatures w14:val="none"/>
        </w:rPr>
        <w:fldChar w:fldCharType="end"/>
      </w:r>
      <w:r w:rsidRPr="00EE41C6">
        <w:rPr>
          <w:rFonts w:ascii="Times New Roman" w:eastAsia="SimSun" w:hAnsi="Times New Roman" w:cs="Times New Roman"/>
          <w:noProof/>
          <w:kern w:val="0"/>
          <w14:ligatures w14:val="none"/>
        </w:rPr>
        <w:t>.</w:t>
      </w:r>
    </w:p>
    <w:tbl>
      <w:tblPr>
        <w:tblStyle w:val="TableGrid1"/>
        <w:tblW w:w="9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4566"/>
      </w:tblGrid>
      <w:tr w:rsidR="00D92895" w:rsidRPr="00EE41C6" w14:paraId="0E2C7E14" w14:textId="77777777" w:rsidTr="00726652">
        <w:trPr>
          <w:trHeight w:val="789"/>
        </w:trPr>
        <w:tc>
          <w:tcPr>
            <w:tcW w:w="4609" w:type="dxa"/>
          </w:tcPr>
          <w:p w14:paraId="2F606743" w14:textId="77777777" w:rsidR="00D92895" w:rsidRPr="00EE41C6" w:rsidRDefault="00000000" w:rsidP="00D92895">
            <w:pPr>
              <w:spacing w:line="480" w:lineRule="auto"/>
              <w:rPr>
                <w:rFonts w:ascii="Times New Roman" w:eastAsia="SimSun" w:hAnsi="Times New Roman" w:cs="Times New Roman"/>
                <w:kern w:val="2"/>
                <w14:ligatures w14:val="standardContextual"/>
              </w:rPr>
            </w:pPr>
            <m:oMathPara>
              <m:oMathParaPr>
                <m:jc m:val="left"/>
              </m:oMathParaPr>
              <m:oMath>
                <m:sSub>
                  <m:sSubPr>
                    <m:ctrlPr>
                      <w:rPr>
                        <w:rFonts w:ascii="Cambria Math" w:eastAsia="SimSun" w:hAnsi="Cambria Math" w:cs="Times New Roman"/>
                        <w:i/>
                        <w:noProof/>
                      </w:rPr>
                    </m:ctrlPr>
                  </m:sSubPr>
                  <m:e>
                    <m:r>
                      <w:rPr>
                        <w:rFonts w:ascii="Cambria Math" w:eastAsia="SimSun" w:hAnsi="Cambria Math" w:cs="Times New Roman"/>
                        <w:noProof/>
                      </w:rPr>
                      <m:t>D</m:t>
                    </m:r>
                  </m:e>
                  <m:sub>
                    <m:r>
                      <w:rPr>
                        <w:rFonts w:ascii="Cambria Math" w:eastAsia="SimSun" w:hAnsi="Cambria Math" w:cs="Times New Roman"/>
                        <w:noProof/>
                      </w:rPr>
                      <m:t>t</m:t>
                    </m:r>
                  </m:sub>
                </m:sSub>
                <m:r>
                  <w:rPr>
                    <w:rFonts w:ascii="Cambria Math" w:eastAsia="SimSun" w:hAnsi="Cambria Math" w:cs="Times New Roman"/>
                    <w:noProof/>
                  </w:rPr>
                  <m:t>=</m:t>
                </m:r>
                <m:sSub>
                  <m:sSubPr>
                    <m:ctrlPr>
                      <w:rPr>
                        <w:rFonts w:ascii="Cambria Math" w:eastAsia="SimSun" w:hAnsi="Cambria Math" w:cs="Times New Roman"/>
                        <w:i/>
                        <w:noProof/>
                      </w:rPr>
                    </m:ctrlPr>
                  </m:sSubPr>
                  <m:e>
                    <m:r>
                      <w:rPr>
                        <w:rFonts w:ascii="Cambria Math" w:eastAsia="SimSun" w:hAnsi="Cambria Math" w:cs="Times New Roman"/>
                        <w:noProof/>
                      </w:rPr>
                      <m:t>D</m:t>
                    </m:r>
                  </m:e>
                  <m:sub>
                    <m:r>
                      <w:rPr>
                        <w:rFonts w:ascii="Cambria Math" w:eastAsia="SimSun" w:hAnsi="Cambria Math" w:cs="Times New Roman"/>
                        <w:noProof/>
                      </w:rPr>
                      <m:t>bs</m:t>
                    </m:r>
                  </m:sub>
                </m:sSub>
                <m:r>
                  <w:rPr>
                    <w:rFonts w:ascii="Cambria Math" w:eastAsia="SimSun" w:hAnsi="Cambria Math" w:cs="Times New Roman"/>
                    <w:noProof/>
                  </w:rPr>
                  <m:t>×</m:t>
                </m:r>
                <m:sSup>
                  <m:sSupPr>
                    <m:ctrlPr>
                      <w:rPr>
                        <w:rFonts w:ascii="Cambria Math" w:eastAsia="SimSun" w:hAnsi="Cambria Math" w:cs="Times New Roman"/>
                        <w:i/>
                        <w:noProof/>
                      </w:rPr>
                    </m:ctrlPr>
                  </m:sSupPr>
                  <m:e>
                    <m:d>
                      <m:dPr>
                        <m:ctrlPr>
                          <w:rPr>
                            <w:rFonts w:ascii="Cambria Math" w:eastAsia="SimSun" w:hAnsi="Cambria Math" w:cs="Times New Roman"/>
                            <w:i/>
                            <w:noProof/>
                          </w:rPr>
                        </m:ctrlPr>
                      </m:dPr>
                      <m:e>
                        <m:f>
                          <m:fPr>
                            <m:ctrlPr>
                              <w:rPr>
                                <w:rFonts w:ascii="Cambria Math" w:eastAsia="SimSun" w:hAnsi="Cambria Math" w:cs="Times New Roman"/>
                                <w:i/>
                                <w:noProof/>
                              </w:rPr>
                            </m:ctrlPr>
                          </m:fPr>
                          <m:num>
                            <m:sSub>
                              <m:sSubPr>
                                <m:ctrlPr>
                                  <w:rPr>
                                    <w:rFonts w:ascii="Cambria Math" w:eastAsia="SimSun" w:hAnsi="Cambria Math" w:cs="Times New Roman"/>
                                    <w:i/>
                                    <w:noProof/>
                                  </w:rPr>
                                </m:ctrlPr>
                              </m:sSubPr>
                              <m:e>
                                <m:r>
                                  <w:rPr>
                                    <w:rFonts w:ascii="Cambria Math" w:eastAsia="SimSun" w:hAnsi="Cambria Math" w:cs="Times New Roman"/>
                                    <w:noProof/>
                                  </w:rPr>
                                  <m:t>G</m:t>
                                </m:r>
                              </m:e>
                              <m:sub>
                                <m:r>
                                  <w:rPr>
                                    <w:rFonts w:ascii="Cambria Math" w:eastAsia="SimSun" w:hAnsi="Cambria Math" w:cs="Times New Roman"/>
                                    <w:noProof/>
                                  </w:rPr>
                                  <m:t>t</m:t>
                                </m:r>
                              </m:sub>
                            </m:sSub>
                          </m:num>
                          <m:den>
                            <m:sSub>
                              <m:sSubPr>
                                <m:ctrlPr>
                                  <w:rPr>
                                    <w:rFonts w:ascii="Cambria Math" w:eastAsia="SimSun" w:hAnsi="Cambria Math" w:cs="Times New Roman"/>
                                    <w:i/>
                                    <w:noProof/>
                                  </w:rPr>
                                </m:ctrlPr>
                              </m:sSubPr>
                              <m:e>
                                <m:r>
                                  <w:rPr>
                                    <w:rFonts w:ascii="Cambria Math" w:eastAsia="SimSun" w:hAnsi="Cambria Math" w:cs="Times New Roman"/>
                                    <w:noProof/>
                                  </w:rPr>
                                  <m:t>G</m:t>
                                </m:r>
                              </m:e>
                              <m:sub>
                                <m:r>
                                  <w:rPr>
                                    <w:rFonts w:ascii="Cambria Math" w:eastAsia="SimSun" w:hAnsi="Cambria Math" w:cs="Times New Roman"/>
                                    <w:noProof/>
                                  </w:rPr>
                                  <m:t>bs</m:t>
                                </m:r>
                              </m:sub>
                            </m:sSub>
                          </m:den>
                        </m:f>
                      </m:e>
                    </m:d>
                  </m:e>
                  <m:sup>
                    <m:r>
                      <w:rPr>
                        <w:rFonts w:ascii="Cambria Math" w:eastAsia="SimSun" w:hAnsi="Cambria Math" w:cs="Times New Roman"/>
                        <w:noProof/>
                      </w:rPr>
                      <m:t>α</m:t>
                    </m:r>
                  </m:sup>
                </m:sSup>
                <m:r>
                  <w:rPr>
                    <w:rFonts w:ascii="Cambria Math" w:eastAsia="SimSun" w:hAnsi="Cambria Math" w:cs="Times New Roman"/>
                    <w:noProof/>
                  </w:rPr>
                  <m:t>×</m:t>
                </m:r>
                <m:sSup>
                  <m:sSupPr>
                    <m:ctrlPr>
                      <w:rPr>
                        <w:rFonts w:ascii="Cambria Math" w:eastAsia="SimSun" w:hAnsi="Cambria Math" w:cs="Times New Roman"/>
                        <w:i/>
                        <w:noProof/>
                      </w:rPr>
                    </m:ctrlPr>
                  </m:sSupPr>
                  <m:e>
                    <m:d>
                      <m:dPr>
                        <m:ctrlPr>
                          <w:rPr>
                            <w:rFonts w:ascii="Cambria Math" w:eastAsia="SimSun" w:hAnsi="Cambria Math" w:cs="Times New Roman"/>
                            <w:i/>
                            <w:noProof/>
                          </w:rPr>
                        </m:ctrlPr>
                      </m:dPr>
                      <m:e>
                        <m:f>
                          <m:fPr>
                            <m:ctrlPr>
                              <w:rPr>
                                <w:rFonts w:ascii="Cambria Math" w:eastAsia="SimSun" w:hAnsi="Cambria Math" w:cs="Times New Roman"/>
                                <w:i/>
                                <w:noProof/>
                              </w:rPr>
                            </m:ctrlPr>
                          </m:fPr>
                          <m:num>
                            <m:sSub>
                              <m:sSubPr>
                                <m:ctrlPr>
                                  <w:rPr>
                                    <w:rFonts w:ascii="Cambria Math" w:eastAsia="SimSun" w:hAnsi="Cambria Math" w:cs="Times New Roman"/>
                                    <w:i/>
                                    <w:noProof/>
                                  </w:rPr>
                                </m:ctrlPr>
                              </m:sSubPr>
                              <m:e>
                                <m:r>
                                  <w:rPr>
                                    <w:rFonts w:ascii="Cambria Math" w:eastAsia="SimSun" w:hAnsi="Cambria Math" w:cs="Times New Roman"/>
                                    <w:noProof/>
                                  </w:rPr>
                                  <m:t>E</m:t>
                                </m:r>
                              </m:e>
                              <m:sub>
                                <m:r>
                                  <w:rPr>
                                    <w:rFonts w:ascii="Cambria Math" w:eastAsia="SimSun" w:hAnsi="Cambria Math" w:cs="Times New Roman"/>
                                    <w:noProof/>
                                  </w:rPr>
                                  <m:t>t</m:t>
                                </m:r>
                              </m:sub>
                            </m:sSub>
                          </m:num>
                          <m:den>
                            <m:sSub>
                              <m:sSubPr>
                                <m:ctrlPr>
                                  <w:rPr>
                                    <w:rFonts w:ascii="Cambria Math" w:eastAsia="SimSun" w:hAnsi="Cambria Math" w:cs="Times New Roman"/>
                                    <w:i/>
                                    <w:noProof/>
                                  </w:rPr>
                                </m:ctrlPr>
                              </m:sSubPr>
                              <m:e>
                                <m:r>
                                  <w:rPr>
                                    <w:rFonts w:ascii="Cambria Math" w:eastAsia="SimSun" w:hAnsi="Cambria Math" w:cs="Times New Roman"/>
                                    <w:noProof/>
                                  </w:rPr>
                                  <m:t>E</m:t>
                                </m:r>
                              </m:e>
                              <m:sub>
                                <m:r>
                                  <w:rPr>
                                    <w:rFonts w:ascii="Cambria Math" w:eastAsia="SimSun" w:hAnsi="Cambria Math" w:cs="Times New Roman"/>
                                    <w:noProof/>
                                  </w:rPr>
                                  <m:t>bs</m:t>
                                </m:r>
                              </m:sub>
                            </m:sSub>
                          </m:den>
                        </m:f>
                      </m:e>
                    </m:d>
                  </m:e>
                  <m:sup>
                    <m:r>
                      <w:rPr>
                        <w:rFonts w:ascii="Cambria Math" w:eastAsia="SimSun" w:hAnsi="Cambria Math" w:cs="Times New Roman"/>
                        <w:noProof/>
                      </w:rPr>
                      <m:t>β</m:t>
                    </m:r>
                  </m:sup>
                </m:sSup>
                <m:r>
                  <w:rPr>
                    <w:rFonts w:ascii="Cambria Math" w:eastAsia="SimSun" w:hAnsi="Cambria Math" w:cs="Times New Roman"/>
                    <w:noProof/>
                  </w:rPr>
                  <m:t>×</m:t>
                </m:r>
                <m:f>
                  <m:fPr>
                    <m:ctrlPr>
                      <w:rPr>
                        <w:rFonts w:ascii="Cambria Math" w:eastAsia="SimSun" w:hAnsi="Cambria Math" w:cs="Times New Roman"/>
                        <w:i/>
                        <w:noProof/>
                      </w:rPr>
                    </m:ctrlPr>
                  </m:fPr>
                  <m:num>
                    <m:sSub>
                      <m:sSubPr>
                        <m:ctrlPr>
                          <w:rPr>
                            <w:rFonts w:ascii="Cambria Math" w:eastAsia="SimSun" w:hAnsi="Cambria Math" w:cs="Times New Roman"/>
                            <w:i/>
                            <w:noProof/>
                          </w:rPr>
                        </m:ctrlPr>
                      </m:sSubPr>
                      <m:e>
                        <m:r>
                          <w:rPr>
                            <w:rFonts w:ascii="Cambria Math" w:eastAsia="SimSun" w:hAnsi="Cambria Math" w:cs="Times New Roman"/>
                            <w:noProof/>
                          </w:rPr>
                          <m:t>N</m:t>
                        </m:r>
                      </m:e>
                      <m:sub>
                        <m:r>
                          <w:rPr>
                            <w:rFonts w:ascii="Cambria Math" w:eastAsia="SimSun" w:hAnsi="Cambria Math" w:cs="Times New Roman"/>
                            <w:noProof/>
                          </w:rPr>
                          <m:t>t</m:t>
                        </m:r>
                      </m:sub>
                    </m:sSub>
                  </m:num>
                  <m:den>
                    <m:sSub>
                      <m:sSubPr>
                        <m:ctrlPr>
                          <w:rPr>
                            <w:rFonts w:ascii="Cambria Math" w:eastAsia="SimSun" w:hAnsi="Cambria Math" w:cs="Times New Roman"/>
                            <w:i/>
                            <w:noProof/>
                          </w:rPr>
                        </m:ctrlPr>
                      </m:sSubPr>
                      <m:e>
                        <m:r>
                          <w:rPr>
                            <w:rFonts w:ascii="Cambria Math" w:eastAsia="SimSun" w:hAnsi="Cambria Math" w:cs="Times New Roman"/>
                            <w:noProof/>
                          </w:rPr>
                          <m:t>N</m:t>
                        </m:r>
                      </m:e>
                      <m:sub>
                        <m:r>
                          <w:rPr>
                            <w:rFonts w:ascii="Cambria Math" w:eastAsia="SimSun" w:hAnsi="Cambria Math" w:cs="Times New Roman"/>
                            <w:noProof/>
                          </w:rPr>
                          <m:t>bs</m:t>
                        </m:r>
                      </m:sub>
                    </m:sSub>
                  </m:den>
                </m:f>
              </m:oMath>
            </m:oMathPara>
          </w:p>
        </w:tc>
        <w:tc>
          <w:tcPr>
            <w:tcW w:w="4566" w:type="dxa"/>
          </w:tcPr>
          <w:p w14:paraId="20664331" w14:textId="6A6AA118" w:rsidR="00D92895" w:rsidRPr="00EE41C6" w:rsidRDefault="00D92895" w:rsidP="00D92895">
            <w:pPr>
              <w:spacing w:after="160" w:line="480" w:lineRule="auto"/>
              <w:jc w:val="right"/>
              <w:rPr>
                <w:rFonts w:ascii="Times New Roman" w:eastAsia="SimSun" w:hAnsi="Times New Roman" w:cs="Times New Roman"/>
                <w:kern w:val="2"/>
                <w14:ligatures w14:val="standardContextual"/>
              </w:rPr>
            </w:pPr>
            <w:r w:rsidRPr="00EE41C6">
              <w:rPr>
                <w:rFonts w:ascii="Times New Roman" w:eastAsia="SimSun" w:hAnsi="Times New Roman" w:cs="Times New Roman"/>
                <w:kern w:val="2"/>
                <w14:ligatures w14:val="standardContextual"/>
              </w:rPr>
              <w:t>(</w:t>
            </w:r>
            <w:r w:rsidR="00707CFD" w:rsidRPr="00EE41C6">
              <w:rPr>
                <w:rFonts w:ascii="Times New Roman" w:eastAsia="SimSun" w:hAnsi="Times New Roman" w:cs="Times New Roman"/>
                <w:kern w:val="2"/>
                <w14:ligatures w14:val="standardContextual"/>
              </w:rPr>
              <w:t>8</w:t>
            </w:r>
            <w:r w:rsidRPr="00EE41C6">
              <w:rPr>
                <w:rFonts w:ascii="Times New Roman" w:eastAsia="SimSun" w:hAnsi="Times New Roman" w:cs="Times New Roman"/>
                <w:kern w:val="2"/>
                <w14:ligatures w14:val="standardContextual"/>
              </w:rPr>
              <w:t>)</w:t>
            </w:r>
          </w:p>
        </w:tc>
      </w:tr>
    </w:tbl>
    <w:p w14:paraId="5BED7F7C" w14:textId="77777777" w:rsidR="00D92895" w:rsidRPr="00EE41C6" w:rsidRDefault="00D92895" w:rsidP="00D92895">
      <w:pPr>
        <w:spacing w:after="200" w:line="480" w:lineRule="auto"/>
        <w:jc w:val="both"/>
        <w:rPr>
          <w:rFonts w:ascii="Times New Roman" w:eastAsia="SimSun" w:hAnsi="Times New Roman" w:cs="Times New Roman"/>
          <w:noProof/>
          <w:kern w:val="0"/>
          <w14:ligatures w14:val="none"/>
        </w:rPr>
      </w:pPr>
      <w:r w:rsidRPr="00EE41C6">
        <w:rPr>
          <w:rFonts w:ascii="Times New Roman" w:eastAsia="SimSun" w:hAnsi="Times New Roman" w:cs="Times New Roman"/>
          <w:noProof/>
          <w:kern w:val="0"/>
          <w14:ligatures w14:val="none"/>
        </w:rPr>
        <w:t>Where;</w:t>
      </w:r>
    </w:p>
    <w:p w14:paraId="4140970E" w14:textId="77777777" w:rsidR="00D92895" w:rsidRPr="00EE41C6" w:rsidRDefault="00000000" w:rsidP="00D92895">
      <w:pPr>
        <w:spacing w:after="200" w:line="480" w:lineRule="auto"/>
        <w:jc w:val="both"/>
        <w:rPr>
          <w:rFonts w:ascii="Times New Roman" w:eastAsia="SimSun" w:hAnsi="Times New Roman" w:cs="Times New Roman"/>
          <w:noProof/>
          <w:kern w:val="0"/>
          <w14:ligatures w14:val="none"/>
        </w:rPr>
      </w:pPr>
      <m:oMath>
        <m:sSub>
          <m:sSubPr>
            <m:ctrlPr>
              <w:rPr>
                <w:rFonts w:ascii="Cambria Math" w:eastAsia="SimSun" w:hAnsi="Cambria Math" w:cs="Times New Roman"/>
                <w:i/>
                <w:noProof/>
                <w:kern w:val="0"/>
                <w14:ligatures w14:val="none"/>
              </w:rPr>
            </m:ctrlPr>
          </m:sSubPr>
          <m:e>
            <m:r>
              <w:rPr>
                <w:rFonts w:ascii="Cambria Math" w:eastAsia="SimSun" w:hAnsi="Cambria Math" w:cs="Times New Roman"/>
                <w:noProof/>
                <w:kern w:val="0"/>
                <w14:ligatures w14:val="none"/>
              </w:rPr>
              <m:t>D</m:t>
            </m:r>
          </m:e>
          <m:sub>
            <m:r>
              <w:rPr>
                <w:rFonts w:ascii="Cambria Math" w:eastAsia="SimSun" w:hAnsi="Cambria Math" w:cs="Times New Roman"/>
                <w:noProof/>
                <w:kern w:val="0"/>
                <w14:ligatures w14:val="none"/>
              </w:rPr>
              <m:t>t</m:t>
            </m:r>
          </m:sub>
        </m:sSub>
      </m:oMath>
      <w:r w:rsidR="00D92895" w:rsidRPr="00EE41C6">
        <w:rPr>
          <w:rFonts w:ascii="Times New Roman" w:eastAsia="SimSun" w:hAnsi="Times New Roman" w:cs="Times New Roman"/>
          <w:noProof/>
          <w:kern w:val="0"/>
          <w14:ligatures w14:val="none"/>
        </w:rPr>
        <w:t xml:space="preserve"> = Energy service demand in year </w:t>
      </w:r>
      <m:oMath>
        <m:r>
          <w:rPr>
            <w:rFonts w:ascii="Cambria Math" w:eastAsia="SimSun" w:hAnsi="Cambria Math" w:cs="Times New Roman"/>
            <w:noProof/>
            <w:kern w:val="0"/>
            <w14:ligatures w14:val="none"/>
          </w:rPr>
          <m:t>t</m:t>
        </m:r>
      </m:oMath>
      <w:r w:rsidR="00D92895" w:rsidRPr="00EE41C6">
        <w:rPr>
          <w:rFonts w:ascii="Times New Roman" w:eastAsia="SimSun" w:hAnsi="Times New Roman" w:cs="Times New Roman"/>
          <w:noProof/>
          <w:kern w:val="0"/>
          <w14:ligatures w14:val="none"/>
        </w:rPr>
        <w:t xml:space="preserve">; </w:t>
      </w:r>
      <m:oMath>
        <m:sSub>
          <m:sSubPr>
            <m:ctrlPr>
              <w:rPr>
                <w:rFonts w:ascii="Cambria Math" w:eastAsia="SimSun" w:hAnsi="Cambria Math" w:cs="Times New Roman"/>
                <w:i/>
                <w:noProof/>
                <w:kern w:val="0"/>
                <w14:ligatures w14:val="none"/>
              </w:rPr>
            </m:ctrlPr>
          </m:sSubPr>
          <m:e>
            <m:r>
              <w:rPr>
                <w:rFonts w:ascii="Cambria Math" w:eastAsia="SimSun" w:hAnsi="Cambria Math" w:cs="Times New Roman"/>
                <w:noProof/>
                <w:kern w:val="0"/>
                <w14:ligatures w14:val="none"/>
              </w:rPr>
              <m:t>D</m:t>
            </m:r>
          </m:e>
          <m:sub>
            <m:r>
              <w:rPr>
                <w:rFonts w:ascii="Cambria Math" w:eastAsia="SimSun" w:hAnsi="Cambria Math" w:cs="Times New Roman"/>
                <w:noProof/>
                <w:kern w:val="0"/>
                <w14:ligatures w14:val="none"/>
              </w:rPr>
              <m:t>bs</m:t>
            </m:r>
          </m:sub>
        </m:sSub>
      </m:oMath>
      <w:r w:rsidR="00D92895" w:rsidRPr="00EE41C6">
        <w:rPr>
          <w:rFonts w:ascii="Times New Roman" w:eastAsia="SimSun" w:hAnsi="Times New Roman" w:cs="Times New Roman"/>
          <w:noProof/>
          <w:kern w:val="0"/>
          <w14:ligatures w14:val="none"/>
        </w:rPr>
        <w:t xml:space="preserve"> = Energy service demand in reference year; </w:t>
      </w:r>
      <m:oMath>
        <m:sSub>
          <m:sSubPr>
            <m:ctrlPr>
              <w:rPr>
                <w:rFonts w:ascii="Cambria Math" w:eastAsia="SimSun" w:hAnsi="Cambria Math" w:cs="Times New Roman"/>
                <w:i/>
                <w:noProof/>
                <w:kern w:val="0"/>
                <w14:ligatures w14:val="none"/>
              </w:rPr>
            </m:ctrlPr>
          </m:sSubPr>
          <m:e>
            <m:r>
              <w:rPr>
                <w:rFonts w:ascii="Cambria Math" w:eastAsia="SimSun" w:hAnsi="Cambria Math" w:cs="Times New Roman"/>
                <w:noProof/>
                <w:kern w:val="0"/>
                <w14:ligatures w14:val="none"/>
              </w:rPr>
              <m:t>E</m:t>
            </m:r>
          </m:e>
          <m:sub>
            <m:r>
              <w:rPr>
                <w:rFonts w:ascii="Cambria Math" w:eastAsia="SimSun" w:hAnsi="Cambria Math" w:cs="Times New Roman"/>
                <w:noProof/>
                <w:kern w:val="0"/>
                <w14:ligatures w14:val="none"/>
              </w:rPr>
              <m:t>t</m:t>
            </m:r>
          </m:sub>
        </m:sSub>
      </m:oMath>
      <w:r w:rsidR="00D92895" w:rsidRPr="00EE41C6">
        <w:rPr>
          <w:rFonts w:ascii="Times New Roman" w:eastAsia="SimSun" w:hAnsi="Times New Roman" w:cs="Times New Roman"/>
          <w:noProof/>
          <w:kern w:val="0"/>
          <w14:ligatures w14:val="none"/>
        </w:rPr>
        <w:t xml:space="preserve"> = Energy service price in year </w:t>
      </w:r>
      <m:oMath>
        <m:r>
          <w:rPr>
            <w:rFonts w:ascii="Cambria Math" w:eastAsia="SimSun" w:hAnsi="Cambria Math" w:cs="Times New Roman"/>
            <w:noProof/>
            <w:kern w:val="0"/>
            <w14:ligatures w14:val="none"/>
          </w:rPr>
          <m:t>t;</m:t>
        </m:r>
      </m:oMath>
      <w:r w:rsidR="00D92895" w:rsidRPr="00EE41C6">
        <w:rPr>
          <w:rFonts w:ascii="Times New Roman" w:eastAsia="SimSun" w:hAnsi="Times New Roman" w:cs="Times New Roman"/>
          <w:noProof/>
          <w:kern w:val="0"/>
          <w14:ligatures w14:val="none"/>
        </w:rPr>
        <w:t xml:space="preserve"> </w:t>
      </w:r>
      <m:oMath>
        <m:sSub>
          <m:sSubPr>
            <m:ctrlPr>
              <w:rPr>
                <w:rFonts w:ascii="Cambria Math" w:eastAsia="SimSun" w:hAnsi="Cambria Math" w:cs="Times New Roman"/>
                <w:i/>
                <w:noProof/>
                <w:kern w:val="0"/>
                <w14:ligatures w14:val="none"/>
              </w:rPr>
            </m:ctrlPr>
          </m:sSubPr>
          <m:e>
            <m:r>
              <w:rPr>
                <w:rFonts w:ascii="Cambria Math" w:eastAsia="SimSun" w:hAnsi="Cambria Math" w:cs="Times New Roman"/>
                <w:noProof/>
                <w:kern w:val="0"/>
                <w14:ligatures w14:val="none"/>
              </w:rPr>
              <m:t>E</m:t>
            </m:r>
          </m:e>
          <m:sub>
            <m:r>
              <w:rPr>
                <w:rFonts w:ascii="Cambria Math" w:eastAsia="SimSun" w:hAnsi="Cambria Math" w:cs="Times New Roman"/>
                <w:noProof/>
                <w:kern w:val="0"/>
                <w14:ligatures w14:val="none"/>
              </w:rPr>
              <m:t>bs</m:t>
            </m:r>
          </m:sub>
        </m:sSub>
      </m:oMath>
      <w:r w:rsidR="00D92895" w:rsidRPr="00EE41C6">
        <w:rPr>
          <w:rFonts w:ascii="Times New Roman" w:eastAsia="SimSun" w:hAnsi="Times New Roman" w:cs="Times New Roman"/>
          <w:noProof/>
          <w:kern w:val="0"/>
          <w14:ligatures w14:val="none"/>
        </w:rPr>
        <w:t xml:space="preserve"> = Energy service price in reference year; </w:t>
      </w:r>
      <m:oMath>
        <m:sSub>
          <m:sSubPr>
            <m:ctrlPr>
              <w:rPr>
                <w:rFonts w:ascii="Cambria Math" w:eastAsia="SimSun" w:hAnsi="Cambria Math" w:cs="Times New Roman"/>
                <w:i/>
                <w:noProof/>
                <w:kern w:val="0"/>
                <w14:ligatures w14:val="none"/>
              </w:rPr>
            </m:ctrlPr>
          </m:sSubPr>
          <m:e>
            <m:r>
              <w:rPr>
                <w:rFonts w:ascii="Cambria Math" w:eastAsia="SimSun" w:hAnsi="Cambria Math" w:cs="Times New Roman"/>
                <w:noProof/>
                <w:kern w:val="0"/>
                <w14:ligatures w14:val="none"/>
              </w:rPr>
              <m:t>N</m:t>
            </m:r>
          </m:e>
          <m:sub>
            <m:r>
              <w:rPr>
                <w:rFonts w:ascii="Cambria Math" w:eastAsia="SimSun" w:hAnsi="Cambria Math" w:cs="Times New Roman"/>
                <w:noProof/>
                <w:kern w:val="0"/>
                <w14:ligatures w14:val="none"/>
              </w:rPr>
              <m:t>t</m:t>
            </m:r>
          </m:sub>
        </m:sSub>
      </m:oMath>
      <w:r w:rsidR="00D92895" w:rsidRPr="00EE41C6">
        <w:rPr>
          <w:rFonts w:ascii="Times New Roman" w:eastAsia="SimSun" w:hAnsi="Times New Roman" w:cs="Times New Roman"/>
          <w:noProof/>
          <w:kern w:val="0"/>
          <w14:ligatures w14:val="none"/>
        </w:rPr>
        <w:t xml:space="preserve"> = Population in year </w:t>
      </w:r>
      <m:oMath>
        <m:r>
          <w:rPr>
            <w:rFonts w:ascii="Cambria Math" w:eastAsia="SimSun" w:hAnsi="Cambria Math" w:cs="Times New Roman"/>
            <w:noProof/>
            <w:kern w:val="0"/>
            <w14:ligatures w14:val="none"/>
          </w:rPr>
          <m:t>t</m:t>
        </m:r>
      </m:oMath>
      <w:r w:rsidR="00D92895" w:rsidRPr="00EE41C6">
        <w:rPr>
          <w:rFonts w:ascii="Times New Roman" w:eastAsia="SimSun" w:hAnsi="Times New Roman" w:cs="Times New Roman"/>
          <w:noProof/>
          <w:kern w:val="0"/>
          <w14:ligatures w14:val="none"/>
        </w:rPr>
        <w:t xml:space="preserve">; </w:t>
      </w:r>
      <m:oMath>
        <m:sSub>
          <m:sSubPr>
            <m:ctrlPr>
              <w:rPr>
                <w:rFonts w:ascii="Cambria Math" w:eastAsia="SimSun" w:hAnsi="Cambria Math" w:cs="Times New Roman"/>
                <w:i/>
                <w:noProof/>
                <w:kern w:val="0"/>
                <w14:ligatures w14:val="none"/>
              </w:rPr>
            </m:ctrlPr>
          </m:sSubPr>
          <m:e>
            <m:r>
              <w:rPr>
                <w:rFonts w:ascii="Cambria Math" w:eastAsia="SimSun" w:hAnsi="Cambria Math" w:cs="Times New Roman"/>
                <w:noProof/>
                <w:kern w:val="0"/>
                <w14:ligatures w14:val="none"/>
              </w:rPr>
              <m:t>N</m:t>
            </m:r>
          </m:e>
          <m:sub>
            <m:r>
              <w:rPr>
                <w:rFonts w:ascii="Cambria Math" w:eastAsia="SimSun" w:hAnsi="Cambria Math" w:cs="Times New Roman"/>
                <w:noProof/>
                <w:kern w:val="0"/>
                <w14:ligatures w14:val="none"/>
              </w:rPr>
              <m:t>bs</m:t>
            </m:r>
          </m:sub>
        </m:sSub>
      </m:oMath>
      <w:r w:rsidR="00D92895" w:rsidRPr="00EE41C6">
        <w:rPr>
          <w:rFonts w:ascii="Times New Roman" w:eastAsia="SimSun" w:hAnsi="Times New Roman" w:cs="Times New Roman"/>
          <w:noProof/>
          <w:kern w:val="0"/>
          <w14:ligatures w14:val="none"/>
        </w:rPr>
        <w:t xml:space="preserve"> = Population in reference year; </w:t>
      </w:r>
      <m:oMath>
        <m:sSub>
          <m:sSubPr>
            <m:ctrlPr>
              <w:rPr>
                <w:rFonts w:ascii="Cambria Math" w:eastAsia="SimSun" w:hAnsi="Cambria Math" w:cs="Times New Roman"/>
                <w:i/>
                <w:noProof/>
                <w:kern w:val="0"/>
                <w14:ligatures w14:val="none"/>
              </w:rPr>
            </m:ctrlPr>
          </m:sSubPr>
          <m:e>
            <m:r>
              <w:rPr>
                <w:rFonts w:ascii="Cambria Math" w:eastAsia="SimSun" w:hAnsi="Cambria Math" w:cs="Times New Roman"/>
                <w:noProof/>
                <w:kern w:val="0"/>
                <w14:ligatures w14:val="none"/>
              </w:rPr>
              <m:t>G</m:t>
            </m:r>
          </m:e>
          <m:sub>
            <m:r>
              <w:rPr>
                <w:rFonts w:ascii="Cambria Math" w:eastAsia="SimSun" w:hAnsi="Cambria Math" w:cs="Times New Roman"/>
                <w:noProof/>
                <w:kern w:val="0"/>
                <w14:ligatures w14:val="none"/>
              </w:rPr>
              <m:t>t</m:t>
            </m:r>
          </m:sub>
        </m:sSub>
      </m:oMath>
      <w:r w:rsidR="00D92895" w:rsidRPr="00EE41C6">
        <w:rPr>
          <w:rFonts w:ascii="Times New Roman" w:eastAsia="SimSun" w:hAnsi="Times New Roman" w:cs="Times New Roman"/>
          <w:noProof/>
          <w:kern w:val="0"/>
          <w14:ligatures w14:val="none"/>
        </w:rPr>
        <w:t xml:space="preserve"> = GDP in year </w:t>
      </w:r>
      <m:oMath>
        <m:r>
          <w:rPr>
            <w:rFonts w:ascii="Cambria Math" w:eastAsia="SimSun" w:hAnsi="Cambria Math" w:cs="Times New Roman"/>
            <w:noProof/>
            <w:kern w:val="0"/>
            <w14:ligatures w14:val="none"/>
          </w:rPr>
          <m:t>t</m:t>
        </m:r>
      </m:oMath>
      <w:r w:rsidR="00D92895" w:rsidRPr="00EE41C6">
        <w:rPr>
          <w:rFonts w:ascii="Times New Roman" w:eastAsia="SimSun" w:hAnsi="Times New Roman" w:cs="Times New Roman"/>
          <w:noProof/>
          <w:kern w:val="0"/>
          <w14:ligatures w14:val="none"/>
        </w:rPr>
        <w:t xml:space="preserve">; </w:t>
      </w:r>
      <m:oMath>
        <m:sSub>
          <m:sSubPr>
            <m:ctrlPr>
              <w:rPr>
                <w:rFonts w:ascii="Cambria Math" w:eastAsia="SimSun" w:hAnsi="Cambria Math" w:cs="Times New Roman"/>
                <w:i/>
                <w:noProof/>
                <w:kern w:val="0"/>
                <w14:ligatures w14:val="none"/>
              </w:rPr>
            </m:ctrlPr>
          </m:sSubPr>
          <m:e>
            <m:r>
              <w:rPr>
                <w:rFonts w:ascii="Cambria Math" w:eastAsia="SimSun" w:hAnsi="Cambria Math" w:cs="Times New Roman"/>
                <w:noProof/>
                <w:kern w:val="0"/>
                <w14:ligatures w14:val="none"/>
              </w:rPr>
              <m:t>G</m:t>
            </m:r>
          </m:e>
          <m:sub>
            <m:r>
              <w:rPr>
                <w:rFonts w:ascii="Cambria Math" w:eastAsia="SimSun" w:hAnsi="Cambria Math" w:cs="Times New Roman"/>
                <w:noProof/>
                <w:kern w:val="0"/>
                <w14:ligatures w14:val="none"/>
              </w:rPr>
              <m:t>bs</m:t>
            </m:r>
          </m:sub>
        </m:sSub>
      </m:oMath>
      <w:r w:rsidR="00D92895" w:rsidRPr="00EE41C6">
        <w:rPr>
          <w:rFonts w:ascii="Times New Roman" w:eastAsia="SimSun" w:hAnsi="Times New Roman" w:cs="Times New Roman"/>
          <w:noProof/>
          <w:kern w:val="0"/>
          <w14:ligatures w14:val="none"/>
        </w:rPr>
        <w:t xml:space="preserve">= GDP in reference year; </w:t>
      </w:r>
      <m:oMath>
        <m:r>
          <w:rPr>
            <w:rFonts w:ascii="Cambria Math" w:eastAsia="SimSun" w:hAnsi="Cambria Math" w:cs="Times New Roman"/>
            <w:noProof/>
            <w:kern w:val="0"/>
            <w14:ligatures w14:val="none"/>
          </w:rPr>
          <m:t>α</m:t>
        </m:r>
      </m:oMath>
      <w:r w:rsidR="00D92895" w:rsidRPr="00EE41C6">
        <w:rPr>
          <w:rFonts w:ascii="Times New Roman" w:eastAsia="SimSun" w:hAnsi="Times New Roman" w:cs="Times New Roman"/>
          <w:noProof/>
          <w:kern w:val="0"/>
          <w14:ligatures w14:val="none"/>
        </w:rPr>
        <w:t xml:space="preserve"> = Economic activity elasticity; and </w:t>
      </w:r>
      <m:oMath>
        <m:r>
          <w:rPr>
            <w:rFonts w:ascii="Cambria Math" w:eastAsia="SimSun" w:hAnsi="Cambria Math" w:cs="Times New Roman"/>
            <w:noProof/>
            <w:kern w:val="0"/>
            <w14:ligatures w14:val="none"/>
          </w:rPr>
          <m:t>β</m:t>
        </m:r>
      </m:oMath>
      <w:r w:rsidR="00D92895" w:rsidRPr="00EE41C6">
        <w:rPr>
          <w:rFonts w:ascii="Times New Roman" w:eastAsia="SimSun" w:hAnsi="Times New Roman" w:cs="Times New Roman"/>
          <w:noProof/>
          <w:kern w:val="0"/>
          <w14:ligatures w14:val="none"/>
        </w:rPr>
        <w:t xml:space="preserve"> = Price elasticity. The equation relates current year demand </w:t>
      </w:r>
      <m:oMath>
        <m:sSub>
          <m:sSubPr>
            <m:ctrlPr>
              <w:rPr>
                <w:rFonts w:ascii="Cambria Math" w:eastAsia="SimSun" w:hAnsi="Cambria Math" w:cs="Times New Roman"/>
                <w:i/>
                <w:noProof/>
                <w:kern w:val="0"/>
                <w14:ligatures w14:val="none"/>
              </w:rPr>
            </m:ctrlPr>
          </m:sSubPr>
          <m:e>
            <m:r>
              <w:rPr>
                <w:rFonts w:ascii="Cambria Math" w:eastAsia="SimSun" w:hAnsi="Cambria Math" w:cs="Times New Roman"/>
                <w:noProof/>
                <w:kern w:val="0"/>
                <w14:ligatures w14:val="none"/>
              </w:rPr>
              <m:t>D</m:t>
            </m:r>
          </m:e>
          <m:sub>
            <m:r>
              <w:rPr>
                <w:rFonts w:ascii="Cambria Math" w:eastAsia="SimSun" w:hAnsi="Cambria Math" w:cs="Times New Roman"/>
                <w:noProof/>
                <w:kern w:val="0"/>
                <w14:ligatures w14:val="none"/>
              </w:rPr>
              <m:t>t</m:t>
            </m:r>
          </m:sub>
        </m:sSub>
      </m:oMath>
      <w:r w:rsidR="00D92895" w:rsidRPr="00EE41C6">
        <w:rPr>
          <w:rFonts w:ascii="Times New Roman" w:eastAsia="SimSun" w:hAnsi="Times New Roman" w:cs="Times New Roman"/>
          <w:noProof/>
          <w:kern w:val="0"/>
          <w14:ligatures w14:val="none"/>
        </w:rPr>
        <w:t xml:space="preserve"> to reference year demand </w:t>
      </w:r>
      <m:oMath>
        <m:sSub>
          <m:sSubPr>
            <m:ctrlPr>
              <w:rPr>
                <w:rFonts w:ascii="Cambria Math" w:eastAsia="SimSun" w:hAnsi="Cambria Math" w:cs="Times New Roman"/>
                <w:i/>
                <w:noProof/>
                <w:kern w:val="0"/>
                <w14:ligatures w14:val="none"/>
              </w:rPr>
            </m:ctrlPr>
          </m:sSubPr>
          <m:e>
            <m:r>
              <w:rPr>
                <w:rFonts w:ascii="Cambria Math" w:eastAsia="SimSun" w:hAnsi="Cambria Math" w:cs="Times New Roman"/>
                <w:noProof/>
                <w:kern w:val="0"/>
                <w14:ligatures w14:val="none"/>
              </w:rPr>
              <m:t>D</m:t>
            </m:r>
          </m:e>
          <m:sub>
            <m:r>
              <w:rPr>
                <w:rFonts w:ascii="Cambria Math" w:eastAsia="SimSun" w:hAnsi="Cambria Math" w:cs="Times New Roman"/>
                <w:noProof/>
                <w:kern w:val="0"/>
                <w14:ligatures w14:val="none"/>
              </w:rPr>
              <m:t>bs</m:t>
            </m:r>
          </m:sub>
        </m:sSub>
      </m:oMath>
      <w:r w:rsidR="00D92895" w:rsidRPr="00EE41C6">
        <w:rPr>
          <w:rFonts w:ascii="Times New Roman" w:eastAsia="SimSun" w:hAnsi="Times New Roman" w:cs="Times New Roman"/>
          <w:noProof/>
          <w:kern w:val="0"/>
          <w14:ligatures w14:val="none"/>
        </w:rPr>
        <w:t xml:space="preserve"> adjusted for changes in population </w:t>
      </w:r>
      <m:oMath>
        <m:r>
          <w:rPr>
            <w:rFonts w:ascii="Cambria Math" w:eastAsia="SimSun" w:hAnsi="Cambria Math" w:cs="Times New Roman"/>
            <w:noProof/>
            <w:kern w:val="0"/>
            <w14:ligatures w14:val="none"/>
          </w:rPr>
          <m:t>N</m:t>
        </m:r>
      </m:oMath>
      <w:r w:rsidR="00D92895" w:rsidRPr="00EE41C6">
        <w:rPr>
          <w:rFonts w:ascii="Times New Roman" w:eastAsia="SimSun" w:hAnsi="Times New Roman" w:cs="Times New Roman"/>
          <w:noProof/>
          <w:kern w:val="0"/>
          <w14:ligatures w14:val="none"/>
        </w:rPr>
        <w:t xml:space="preserve">, economic activity </w:t>
      </w:r>
      <m:oMath>
        <m:r>
          <w:rPr>
            <w:rFonts w:ascii="Cambria Math" w:eastAsia="SimSun" w:hAnsi="Cambria Math" w:cs="Times New Roman"/>
            <w:noProof/>
            <w:kern w:val="0"/>
            <w14:ligatures w14:val="none"/>
          </w:rPr>
          <m:t>G</m:t>
        </m:r>
      </m:oMath>
      <w:r w:rsidR="00D92895" w:rsidRPr="00EE41C6">
        <w:rPr>
          <w:rFonts w:ascii="Times New Roman" w:eastAsia="SimSun" w:hAnsi="Times New Roman" w:cs="Times New Roman"/>
          <w:noProof/>
          <w:kern w:val="0"/>
          <w14:ligatures w14:val="none"/>
        </w:rPr>
        <w:t xml:space="preserve">, and energy prices </w:t>
      </w:r>
      <m:oMath>
        <m:r>
          <w:rPr>
            <w:rFonts w:ascii="Cambria Math" w:eastAsia="SimSun" w:hAnsi="Cambria Math" w:cs="Times New Roman"/>
            <w:noProof/>
            <w:kern w:val="0"/>
            <w14:ligatures w14:val="none"/>
          </w:rPr>
          <m:t>E</m:t>
        </m:r>
      </m:oMath>
      <w:r w:rsidR="00D92895" w:rsidRPr="00EE41C6">
        <w:rPr>
          <w:rFonts w:ascii="Times New Roman" w:eastAsia="SimSun" w:hAnsi="Times New Roman" w:cs="Times New Roman"/>
          <w:noProof/>
          <w:kern w:val="0"/>
          <w14:ligatures w14:val="none"/>
        </w:rPr>
        <w:t xml:space="preserve"> between the current year </w:t>
      </w:r>
      <m:oMath>
        <m:r>
          <w:rPr>
            <w:rFonts w:ascii="Cambria Math" w:eastAsia="SimSun" w:hAnsi="Cambria Math" w:cs="Times New Roman"/>
            <w:noProof/>
            <w:kern w:val="0"/>
            <w14:ligatures w14:val="none"/>
          </w:rPr>
          <m:t>t</m:t>
        </m:r>
      </m:oMath>
      <w:r w:rsidR="00D92895" w:rsidRPr="00EE41C6">
        <w:rPr>
          <w:rFonts w:ascii="Times New Roman" w:eastAsia="SimSun" w:hAnsi="Times New Roman" w:cs="Times New Roman"/>
          <w:noProof/>
          <w:kern w:val="0"/>
          <w14:ligatures w14:val="none"/>
        </w:rPr>
        <w:t xml:space="preserve"> and base year </w:t>
      </w:r>
      <m:oMath>
        <m:r>
          <w:rPr>
            <w:rFonts w:ascii="Cambria Math" w:eastAsia="SimSun" w:hAnsi="Cambria Math" w:cs="Times New Roman"/>
            <w:noProof/>
            <w:kern w:val="0"/>
            <w14:ligatures w14:val="none"/>
          </w:rPr>
          <m:t>bs</m:t>
        </m:r>
      </m:oMath>
      <w:r w:rsidR="00D92895" w:rsidRPr="00EE41C6">
        <w:rPr>
          <w:rFonts w:ascii="Times New Roman" w:eastAsia="SimSun" w:hAnsi="Times New Roman" w:cs="Times New Roman"/>
          <w:noProof/>
          <w:kern w:val="0"/>
          <w14:ligatures w14:val="none"/>
        </w:rPr>
        <w:t xml:space="preserve">. The elasticities </w:t>
      </w:r>
      <m:oMath>
        <m:r>
          <w:rPr>
            <w:rFonts w:ascii="Cambria Math" w:eastAsia="SimSun" w:hAnsi="Cambria Math" w:cs="Times New Roman"/>
            <w:noProof/>
            <w:kern w:val="0"/>
            <w14:ligatures w14:val="none"/>
          </w:rPr>
          <m:t>α</m:t>
        </m:r>
      </m:oMath>
      <w:r w:rsidR="00D92895" w:rsidRPr="00EE41C6">
        <w:rPr>
          <w:rFonts w:ascii="Times New Roman" w:eastAsia="SimSun" w:hAnsi="Times New Roman" w:cs="Times New Roman"/>
          <w:noProof/>
          <w:kern w:val="0"/>
          <w14:ligatures w14:val="none"/>
        </w:rPr>
        <w:t xml:space="preserve"> and </w:t>
      </w:r>
      <m:oMath>
        <m:r>
          <w:rPr>
            <w:rFonts w:ascii="Cambria Math" w:eastAsia="SimSun" w:hAnsi="Cambria Math" w:cs="Times New Roman"/>
            <w:noProof/>
            <w:kern w:val="0"/>
            <w14:ligatures w14:val="none"/>
          </w:rPr>
          <m:t>β</m:t>
        </m:r>
      </m:oMath>
      <w:r w:rsidR="00D92895" w:rsidRPr="00EE41C6">
        <w:rPr>
          <w:rFonts w:ascii="Times New Roman" w:eastAsia="SimSun" w:hAnsi="Times New Roman" w:cs="Times New Roman"/>
          <w:noProof/>
          <w:kern w:val="0"/>
          <w14:ligatures w14:val="none"/>
        </w:rPr>
        <w:t xml:space="preserve"> determine demand sensitivity to changes in economic activity and prices.</w:t>
      </w:r>
    </w:p>
    <w:p w14:paraId="113E8678" w14:textId="0D11BF94" w:rsidR="00F77190" w:rsidRPr="00EE41C6" w:rsidRDefault="00F77190" w:rsidP="00176F76">
      <w:pPr>
        <w:pStyle w:val="Heading1"/>
        <w:rPr>
          <w:rFonts w:ascii="Times New Roman" w:hAnsi="Times New Roman" w:cs="Times New Roman"/>
        </w:rPr>
      </w:pPr>
      <w:bookmarkStart w:id="58" w:name="_Toc176517762"/>
      <w:r w:rsidRPr="00EE41C6">
        <w:rPr>
          <w:rFonts w:ascii="Times New Roman" w:hAnsi="Times New Roman" w:cs="Times New Roman"/>
        </w:rPr>
        <w:t>Supplement</w:t>
      </w:r>
      <w:r w:rsidR="00176F76" w:rsidRPr="00EE41C6">
        <w:rPr>
          <w:rFonts w:ascii="Times New Roman" w:hAnsi="Times New Roman" w:cs="Times New Roman"/>
        </w:rPr>
        <w:t>ary Method 3: E</w:t>
      </w:r>
      <w:r w:rsidRPr="00EE41C6">
        <w:rPr>
          <w:rFonts w:ascii="Times New Roman" w:hAnsi="Times New Roman" w:cs="Times New Roman"/>
        </w:rPr>
        <w:t>conomic choice function in GCAM</w:t>
      </w:r>
      <w:bookmarkEnd w:id="58"/>
    </w:p>
    <w:p w14:paraId="529EF2FA" w14:textId="77777777" w:rsidR="00176F76" w:rsidRPr="00EE41C6" w:rsidRDefault="00176F76" w:rsidP="00176F76"/>
    <w:p w14:paraId="3D93398F" w14:textId="088EE5C6" w:rsidR="00D92895" w:rsidRPr="00EE41C6" w:rsidRDefault="00D92895" w:rsidP="00D92895">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noProof/>
          <w:kern w:val="0"/>
          <w14:ligatures w14:val="none"/>
        </w:rPr>
        <w:t>In GCAM, various economic operations offer multiple methods for achieving the same final outcome</w:t>
      </w:r>
      <w:r w:rsidRPr="00EE41C6">
        <w:rPr>
          <w:rFonts w:ascii="Times New Roman" w:eastAsia="SimSun" w:hAnsi="Times New Roman" w:cs="Times New Roman"/>
          <w:kern w:val="0"/>
          <w14:ligatures w14:val="none"/>
        </w:rPr>
        <w:t xml:space="preserve">. This includes options such as selecting among energy sources like coal or natural gas, technologies like solar panels or wind turbines, and transportation methods like trains or cars. Sometimes, the decision involves distributing a finite resource among different uses, such as allocating land between competing uses like farming or housing. GCAM makes choices by ranking alternatives on a single numeric scale. This is referred to as choice indicator </w:t>
      </w:r>
      <m:oMath>
        <m:r>
          <w:rPr>
            <w:rFonts w:ascii="Cambria Math" w:eastAsia="SimSun" w:hAnsi="Cambria Math" w:cs="Times New Roman"/>
          </w:rPr>
          <m:t>p,</m:t>
        </m:r>
      </m:oMath>
      <w:r w:rsidRPr="00EE41C6">
        <w:rPr>
          <w:rFonts w:ascii="Times New Roman" w:eastAsia="SimSun" w:hAnsi="Times New Roman" w:cs="Times New Roman"/>
          <w:kern w:val="0"/>
          <w14:ligatures w14:val="none"/>
        </w:rPr>
        <w:t xml:space="preserve"> which is usually cost or profitability, though other metrics can be employed theoretically. In situations where several factors affect the decision, these additional elements are translated into a cost penalty. This penalty is then added to the base cost, resulting in a comprehensive indicator that encompasses all pertinent aspects.</w:t>
      </w:r>
    </w:p>
    <w:p w14:paraId="54140B06" w14:textId="2D4D62F7" w:rsidR="00D92895" w:rsidRPr="00EE41C6" w:rsidRDefault="00D92895" w:rsidP="00D92895">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A "choice function" is a specialized function used to convert a set of indicators into corresponding market shares for different choice alternatives. This concept is vital because it acknowledges that the optimal choice, according to the indicators alone, doesn't always dominate the market. Various unmodeled elements such as personal preferences, local cost differences, and random occurrences lead to some market share being captured by options that are not the best according to their indicator values alone. GCAM</w:t>
      </w:r>
      <w:r w:rsidR="00F77190" w:rsidRPr="00EE41C6">
        <w:rPr>
          <w:rFonts w:ascii="Times New Roman" w:eastAsia="SimSun" w:hAnsi="Times New Roman" w:cs="Times New Roman"/>
          <w:kern w:val="0"/>
          <w14:ligatures w14:val="none"/>
        </w:rPr>
        <w:t>’s</w:t>
      </w:r>
      <w:r w:rsidRPr="00EE41C6">
        <w:rPr>
          <w:rFonts w:ascii="Times New Roman" w:eastAsia="SimSun" w:hAnsi="Times New Roman" w:cs="Times New Roman"/>
          <w:kern w:val="0"/>
          <w14:ligatures w14:val="none"/>
        </w:rPr>
        <w:t xml:space="preserve"> design allows </w:t>
      </w:r>
      <w:r w:rsidRPr="00EE41C6">
        <w:rPr>
          <w:rFonts w:ascii="Times New Roman" w:eastAsia="SimSun" w:hAnsi="Times New Roman" w:cs="Times New Roman"/>
          <w:kern w:val="0"/>
          <w14:ligatures w14:val="none"/>
        </w:rPr>
        <w:lastRenderedPageBreak/>
        <w:t xml:space="preserve">for dynamic specification of choice functions, tailored for each sector. These functions are programmed as classes adhering to the </w:t>
      </w:r>
      <w:proofErr w:type="spellStart"/>
      <w:r w:rsidRPr="00EE41C6">
        <w:rPr>
          <w:rFonts w:ascii="Times New Roman" w:eastAsia="SimSun" w:hAnsi="Times New Roman" w:cs="Times New Roman"/>
          <w:kern w:val="0"/>
          <w14:ligatures w14:val="none"/>
        </w:rPr>
        <w:t>IDiscreteChoice</w:t>
      </w:r>
      <w:proofErr w:type="spellEnd"/>
      <w:r w:rsidRPr="00EE41C6">
        <w:rPr>
          <w:rFonts w:ascii="Times New Roman" w:eastAsia="SimSun" w:hAnsi="Times New Roman" w:cs="Times New Roman"/>
          <w:kern w:val="0"/>
          <w14:ligatures w14:val="none"/>
        </w:rPr>
        <w:t xml:space="preserve"> interface. GCAM currently provides two such classes: Logit and Modified Logit. Both options belong to a category of choice functions that consider the suitability of an option based on two factors: one is directly related to the choice indicator (like cost), and the other encompasses elements not included in the model, treated as a random variable with a specific distribution. The choice of this distribution is crucial as it defines the type of discrete choice model being applied. This dual-component approach in choice functions helps in better reflecting the complexity and variability of market behaviors in the GCAM framework.</w:t>
      </w:r>
    </w:p>
    <w:p w14:paraId="1FF7CA7C" w14:textId="40275F93" w:rsidR="00D92895" w:rsidRPr="00EE41C6" w:rsidRDefault="00D92895" w:rsidP="00D92895">
      <w:pPr>
        <w:spacing w:after="200" w:line="480" w:lineRule="auto"/>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 xml:space="preserve">In the Logit model </w:t>
      </w:r>
      <w:r w:rsidRPr="00EE41C6">
        <w:rPr>
          <w:rFonts w:ascii="Times New Roman" w:eastAsia="SimSun" w:hAnsi="Times New Roman" w:cs="Times New Roman"/>
          <w:kern w:val="0"/>
          <w14:ligatures w14:val="none"/>
        </w:rPr>
        <w:fldChar w:fldCharType="begin"/>
      </w:r>
      <w:r w:rsidR="00611BEE" w:rsidRPr="00EE41C6">
        <w:rPr>
          <w:rFonts w:ascii="Times New Roman" w:eastAsia="SimSun" w:hAnsi="Times New Roman" w:cs="Times New Roman"/>
          <w:kern w:val="0"/>
          <w14:ligatures w14:val="none"/>
        </w:rPr>
        <w:instrText xml:space="preserve"> ADDIN ZOTERO_ITEM CSL_CITATION {"citationID":"NDlC2VYt","properties":{"formattedCitation":"\\super 63,64\\nosupersub{}","plainCitation":"63,64","noteIndex":0},"citationItems":[{"id":"jp5DcqPZ/rQSxbpJa","uris":["http://zotero.org/users/local/kyKc933Q/items/U7B4L2C5"],"itemData":{"id":250,"type":"book","call-number":"HD30.23 .T725 2003","event-place":"New York","ISBN":"978-0-521-81696-0","number-of-pages":"334","publisher":"Cambridge University Press","publisher-place":"New York","source":"Library of Congress ISBN","title":"Discrete choice methods with simulation","author":[{"family":"Train","given":"Kenneth"}],"issued":{"date-parts":[["2003"]]}}},{"id":"jp5DcqPZ/LjVyIptk","uris":["http://zotero.org/users/local/kyKc933Q/items/4WMDEDGU"],"itemData":{"id":255,"type":"book","abstract":"No abstract provided.","collection-title":"P. Zarembka (ed.)","event-place":"Academic Press: New York","number-of-pages":"105-142","publisher":"Frontiers in Econometrics","publisher-place":"Academic Press: New York","source":"Baidu Scholar","title":"Conditional Logit Analysis of Qualitative Choice Behavior","URL":"http://www.researchgate.net/publication/239478197_Conditional_Logit_Analysis_of_Qualitative_Choice_Analysis","author":[{"family":"Mcfadden","given":"Daniel L."}],"accessed":{"date-parts":[["2024",1,21]]},"issued":{"date-parts":[["1973"]]}}}],"schema":"https://github.com/citation-style-language/schema/raw/master/csl-citation.json"}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63,64</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 xml:space="preserve">, the market share </w:t>
      </w:r>
      <m:oMath>
        <m:sSub>
          <m:sSubPr>
            <m:ctrlPr>
              <w:rPr>
                <w:rFonts w:ascii="Cambria Math" w:eastAsia="SimSun" w:hAnsi="Cambria Math" w:cs="Times New Roman"/>
                <w:i/>
              </w:rPr>
            </m:ctrlPr>
          </m:sSubPr>
          <m:e>
            <m:r>
              <w:rPr>
                <w:rFonts w:ascii="Cambria Math" w:eastAsia="SimSun" w:hAnsi="Cambria Math" w:cs="Times New Roman"/>
              </w:rPr>
              <m:t>s</m:t>
            </m:r>
          </m:e>
          <m:sub>
            <m:r>
              <w:rPr>
                <w:rFonts w:ascii="Cambria Math" w:eastAsia="SimSun" w:hAnsi="Cambria Math" w:cs="Times New Roman"/>
              </w:rPr>
              <m:t>i</m:t>
            </m:r>
          </m:sub>
        </m:sSub>
      </m:oMath>
      <w:r w:rsidRPr="00EE41C6">
        <w:rPr>
          <w:rFonts w:ascii="Times New Roman" w:eastAsia="SimSun" w:hAnsi="Times New Roman" w:cs="Times New Roman"/>
          <w:kern w:val="0"/>
          <w14:ligatures w14:val="none"/>
        </w:rPr>
        <w:t>​ of each choice alternative</w:t>
      </w:r>
      <w:r w:rsidRPr="00EE41C6">
        <w:rPr>
          <w:rFonts w:ascii="Tahoma" w:eastAsia="SimSun" w:hAnsi="Tahoma" w:cs="Tahoma"/>
          <w:kern w:val="0"/>
          <w14:ligatures w14:val="none"/>
        </w:rPr>
        <w:t xml:space="preserve"> </w:t>
      </w:r>
      <m:oMath>
        <m:r>
          <w:rPr>
            <w:rFonts w:ascii="Cambria Math" w:eastAsia="SimSun" w:hAnsi="Cambria Math" w:cs="Times New Roman"/>
          </w:rPr>
          <m:t>i</m:t>
        </m:r>
      </m:oMath>
      <w:r w:rsidRPr="00EE41C6">
        <w:rPr>
          <w:rFonts w:ascii="Times New Roman" w:eastAsia="SimSun" w:hAnsi="Times New Roman" w:cs="Times New Roman"/>
          <w:kern w:val="0"/>
          <w14:ligatures w14:val="none"/>
        </w:rPr>
        <w:t xml:space="preserve">, which is associated with a cost </w:t>
      </w:r>
      <m:oMath>
        <m:sSub>
          <m:sSubPr>
            <m:ctrlPr>
              <w:rPr>
                <w:rFonts w:ascii="Cambria Math" w:eastAsia="SimSun" w:hAnsi="Cambria Math" w:cs="Times New Roman"/>
                <w:i/>
              </w:rPr>
            </m:ctrlPr>
          </m:sSubPr>
          <m:e>
            <m:r>
              <w:rPr>
                <w:rFonts w:ascii="Cambria Math" w:eastAsia="SimSun" w:hAnsi="Cambria Math" w:cs="Times New Roman"/>
              </w:rPr>
              <m:t>p</m:t>
            </m:r>
          </m:e>
          <m:sub>
            <m:r>
              <w:rPr>
                <w:rFonts w:ascii="Cambria Math" w:eastAsia="SimSun" w:hAnsi="Cambria Math" w:cs="Times New Roman"/>
              </w:rPr>
              <m:t>i</m:t>
            </m:r>
          </m:sub>
        </m:sSub>
      </m:oMath>
      <w:r w:rsidRPr="00EE41C6">
        <w:rPr>
          <w:rFonts w:ascii="Times New Roman" w:eastAsia="SimSun" w:hAnsi="Times New Roman" w:cs="Times New Roman"/>
          <w:kern w:val="0"/>
          <w14:ligatures w14:val="none"/>
        </w:rPr>
        <w:t xml:space="preserve">​, is calculated using </w:t>
      </w:r>
      <w:r w:rsidR="00FA652B" w:rsidRPr="00EE41C6">
        <w:rPr>
          <w:rFonts w:ascii="Times New Roman" w:eastAsia="SimSun" w:hAnsi="Times New Roman" w:cs="Times New Roman"/>
          <w:kern w:val="0"/>
          <w14:ligatures w14:val="none"/>
        </w:rPr>
        <w:t xml:space="preserve">Supplementary </w:t>
      </w:r>
      <w:r w:rsidRPr="00EE41C6">
        <w:rPr>
          <w:rFonts w:ascii="Times New Roman" w:eastAsia="SimSun" w:hAnsi="Times New Roman" w:cs="Times New Roman"/>
          <w:kern w:val="0"/>
          <w14:ligatures w14:val="none"/>
        </w:rPr>
        <w:t xml:space="preserve">Equation </w:t>
      </w:r>
      <w:r w:rsidR="00707CFD" w:rsidRPr="00EE41C6">
        <w:rPr>
          <w:rFonts w:ascii="Times New Roman" w:eastAsia="SimSun" w:hAnsi="Times New Roman" w:cs="Times New Roman"/>
          <w:kern w:val="0"/>
          <w14:ligatures w14:val="none"/>
        </w:rPr>
        <w:t>9</w:t>
      </w:r>
      <w:r w:rsidRPr="00EE41C6">
        <w:rPr>
          <w:rFonts w:ascii="Times New Roman" w:eastAsia="SimSun" w:hAnsi="Times New Roman" w:cs="Times New Roman"/>
          <w:kern w:val="0"/>
          <w14:ligatures w14:val="none"/>
        </w:rPr>
        <w:t>.</w:t>
      </w:r>
    </w:p>
    <w:tbl>
      <w:tblPr>
        <w:tblStyle w:val="TableGrid1"/>
        <w:tblW w:w="90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482"/>
      </w:tblGrid>
      <w:tr w:rsidR="00D92895" w:rsidRPr="00EE41C6" w14:paraId="28FACDB9" w14:textId="77777777" w:rsidTr="00726652">
        <w:tc>
          <w:tcPr>
            <w:tcW w:w="4544" w:type="dxa"/>
          </w:tcPr>
          <w:p w14:paraId="001FC0B5" w14:textId="77777777" w:rsidR="00D92895" w:rsidRPr="00EE41C6" w:rsidRDefault="00000000" w:rsidP="00D92895">
            <w:pPr>
              <w:spacing w:line="480" w:lineRule="auto"/>
              <w:rPr>
                <w:rFonts w:ascii="Times New Roman" w:eastAsia="SimSun" w:hAnsi="Times New Roman" w:cs="Times New Roman"/>
                <w:kern w:val="2"/>
                <w14:ligatures w14:val="standardContextual"/>
              </w:rPr>
            </w:pPr>
            <m:oMathPara>
              <m:oMathParaPr>
                <m:jc m:val="left"/>
              </m:oMathParaPr>
              <m:oMath>
                <m:sSub>
                  <m:sSubPr>
                    <m:ctrlPr>
                      <w:rPr>
                        <w:rFonts w:ascii="Cambria Math" w:eastAsia="SimSun" w:hAnsi="Cambria Math" w:cs="Times New Roman"/>
                        <w:i/>
                        <w:kern w:val="2"/>
                        <w14:ligatures w14:val="standardContextual"/>
                      </w:rPr>
                    </m:ctrlPr>
                  </m:sSubPr>
                  <m:e>
                    <m:r>
                      <w:rPr>
                        <w:rFonts w:ascii="Cambria Math" w:eastAsia="SimSun" w:hAnsi="Cambria Math" w:cs="Times New Roman"/>
                        <w:kern w:val="2"/>
                        <w14:ligatures w14:val="standardContextual"/>
                      </w:rPr>
                      <m:t>s</m:t>
                    </m:r>
                  </m:e>
                  <m:sub>
                    <m:r>
                      <w:rPr>
                        <w:rFonts w:ascii="Cambria Math" w:eastAsia="SimSun" w:hAnsi="Cambria Math" w:cs="Times New Roman"/>
                        <w:kern w:val="2"/>
                        <w14:ligatures w14:val="standardContextual"/>
                      </w:rPr>
                      <m:t>i</m:t>
                    </m:r>
                  </m:sub>
                </m:sSub>
                <m:r>
                  <w:rPr>
                    <w:rFonts w:ascii="Cambria Math" w:eastAsia="SimSun" w:hAnsi="Cambria Math" w:cs="Times New Roman"/>
                    <w:kern w:val="2"/>
                    <w14:ligatures w14:val="standardContextual"/>
                  </w:rPr>
                  <m:t>=</m:t>
                </m:r>
                <m:f>
                  <m:fPr>
                    <m:ctrlPr>
                      <w:rPr>
                        <w:rFonts w:ascii="Cambria Math" w:eastAsia="SimSun" w:hAnsi="Cambria Math" w:cs="Times New Roman"/>
                        <w:i/>
                        <w:kern w:val="2"/>
                        <w14:ligatures w14:val="standardContextual"/>
                      </w:rPr>
                    </m:ctrlPr>
                  </m:fPr>
                  <m:num>
                    <m:sSub>
                      <m:sSubPr>
                        <m:ctrlPr>
                          <w:rPr>
                            <w:rFonts w:ascii="Cambria Math" w:eastAsia="SimSun" w:hAnsi="Cambria Math" w:cs="Times New Roman"/>
                            <w:i/>
                            <w:kern w:val="2"/>
                            <w14:ligatures w14:val="standardContextual"/>
                          </w:rPr>
                        </m:ctrlPr>
                      </m:sSubPr>
                      <m:e>
                        <m:r>
                          <w:rPr>
                            <w:rFonts w:ascii="Cambria Math" w:eastAsia="SimSun" w:hAnsi="Cambria Math" w:cs="Times New Roman"/>
                            <w:kern w:val="2"/>
                            <w14:ligatures w14:val="standardContextual"/>
                          </w:rPr>
                          <m:t>α</m:t>
                        </m:r>
                      </m:e>
                      <m:sub>
                        <m:r>
                          <w:rPr>
                            <w:rFonts w:ascii="Cambria Math" w:eastAsia="SimSun" w:hAnsi="Cambria Math" w:cs="Times New Roman"/>
                            <w:kern w:val="2"/>
                            <w14:ligatures w14:val="standardContextual"/>
                          </w:rPr>
                          <m:t>i</m:t>
                        </m:r>
                      </m:sub>
                    </m:sSub>
                    <m:r>
                      <m:rPr>
                        <m:sty m:val="p"/>
                      </m:rPr>
                      <w:rPr>
                        <w:rFonts w:ascii="Cambria Math" w:eastAsia="SimSun" w:hAnsi="Cambria Math" w:cs="Times New Roman"/>
                        <w:kern w:val="2"/>
                        <w14:ligatures w14:val="standardContextual"/>
                      </w:rPr>
                      <m:t>exp⁡</m:t>
                    </m:r>
                    <m:r>
                      <w:rPr>
                        <w:rFonts w:ascii="Cambria Math" w:eastAsia="SimSun" w:hAnsi="Cambria Math" w:cs="Times New Roman"/>
                        <w:kern w:val="2"/>
                        <w14:ligatures w14:val="standardContextual"/>
                      </w:rPr>
                      <m:t>(β</m:t>
                    </m:r>
                    <m:sSub>
                      <m:sSubPr>
                        <m:ctrlPr>
                          <w:rPr>
                            <w:rFonts w:ascii="Cambria Math" w:eastAsia="SimSun" w:hAnsi="Cambria Math" w:cs="Times New Roman"/>
                            <w:i/>
                            <w:kern w:val="2"/>
                            <w14:ligatures w14:val="standardContextual"/>
                          </w:rPr>
                        </m:ctrlPr>
                      </m:sSubPr>
                      <m:e>
                        <m:r>
                          <w:rPr>
                            <w:rFonts w:ascii="Cambria Math" w:eastAsia="SimSun" w:hAnsi="Cambria Math" w:cs="Times New Roman"/>
                            <w:kern w:val="2"/>
                            <w14:ligatures w14:val="standardContextual"/>
                          </w:rPr>
                          <m:t>p</m:t>
                        </m:r>
                      </m:e>
                      <m:sub>
                        <m:r>
                          <w:rPr>
                            <w:rFonts w:ascii="Cambria Math" w:eastAsia="SimSun" w:hAnsi="Cambria Math" w:cs="Times New Roman"/>
                            <w:kern w:val="2"/>
                            <w14:ligatures w14:val="standardContextual"/>
                          </w:rPr>
                          <m:t>i</m:t>
                        </m:r>
                      </m:sub>
                    </m:sSub>
                    <m:r>
                      <w:rPr>
                        <w:rFonts w:ascii="Cambria Math" w:eastAsia="SimSun" w:hAnsi="Cambria Math" w:cs="Times New Roman"/>
                        <w:kern w:val="2"/>
                        <w14:ligatures w14:val="standardContextual"/>
                      </w:rPr>
                      <m:t>)</m:t>
                    </m:r>
                  </m:num>
                  <m:den>
                    <m:nary>
                      <m:naryPr>
                        <m:chr m:val="∑"/>
                        <m:limLoc m:val="subSup"/>
                        <m:ctrlPr>
                          <w:rPr>
                            <w:rFonts w:ascii="Cambria Math" w:eastAsia="SimSun" w:hAnsi="Cambria Math" w:cs="Times New Roman"/>
                            <w:i/>
                            <w:kern w:val="2"/>
                            <w14:ligatures w14:val="standardContextual"/>
                          </w:rPr>
                        </m:ctrlPr>
                      </m:naryPr>
                      <m:sub>
                        <m:r>
                          <w:rPr>
                            <w:rFonts w:ascii="Cambria Math" w:eastAsia="SimSun" w:hAnsi="Cambria Math" w:cs="Times New Roman"/>
                            <w:kern w:val="2"/>
                            <w14:ligatures w14:val="standardContextual"/>
                          </w:rPr>
                          <m:t>j=1</m:t>
                        </m:r>
                      </m:sub>
                      <m:sup>
                        <m:r>
                          <w:rPr>
                            <w:rFonts w:ascii="Cambria Math" w:eastAsia="SimSun" w:hAnsi="Cambria Math" w:cs="Times New Roman"/>
                            <w:kern w:val="2"/>
                            <w14:ligatures w14:val="standardContextual"/>
                          </w:rPr>
                          <m:t>N</m:t>
                        </m:r>
                      </m:sup>
                      <m:e>
                        <m:sSub>
                          <m:sSubPr>
                            <m:ctrlPr>
                              <w:rPr>
                                <w:rFonts w:ascii="Cambria Math" w:eastAsia="SimSun" w:hAnsi="Cambria Math" w:cs="Times New Roman"/>
                                <w:i/>
                                <w:kern w:val="2"/>
                                <w14:ligatures w14:val="standardContextual"/>
                              </w:rPr>
                            </m:ctrlPr>
                          </m:sSubPr>
                          <m:e>
                            <m:r>
                              <w:rPr>
                                <w:rFonts w:ascii="Cambria Math" w:eastAsia="SimSun" w:hAnsi="Cambria Math" w:cs="Times New Roman"/>
                                <w:kern w:val="2"/>
                                <w14:ligatures w14:val="standardContextual"/>
                              </w:rPr>
                              <m:t>α</m:t>
                            </m:r>
                          </m:e>
                          <m:sub>
                            <m:r>
                              <w:rPr>
                                <w:rFonts w:ascii="Cambria Math" w:eastAsia="SimSun" w:hAnsi="Cambria Math" w:cs="Times New Roman"/>
                                <w:kern w:val="2"/>
                                <w14:ligatures w14:val="standardContextual"/>
                              </w:rPr>
                              <m:t>j</m:t>
                            </m:r>
                          </m:sub>
                        </m:sSub>
                        <m:r>
                          <m:rPr>
                            <m:sty m:val="p"/>
                          </m:rPr>
                          <w:rPr>
                            <w:rFonts w:ascii="Cambria Math" w:eastAsia="SimSun" w:hAnsi="Cambria Math" w:cs="Times New Roman"/>
                            <w:kern w:val="2"/>
                            <w14:ligatures w14:val="standardContextual"/>
                          </w:rPr>
                          <m:t>exp⁡</m:t>
                        </m:r>
                        <m:r>
                          <w:rPr>
                            <w:rFonts w:ascii="Cambria Math" w:eastAsia="SimSun" w:hAnsi="Cambria Math" w:cs="Times New Roman"/>
                            <w:kern w:val="2"/>
                            <w14:ligatures w14:val="standardContextual"/>
                          </w:rPr>
                          <m:t>(β</m:t>
                        </m:r>
                        <m:sSub>
                          <m:sSubPr>
                            <m:ctrlPr>
                              <w:rPr>
                                <w:rFonts w:ascii="Cambria Math" w:eastAsia="SimSun" w:hAnsi="Cambria Math" w:cs="Times New Roman"/>
                                <w:i/>
                                <w:kern w:val="2"/>
                                <w14:ligatures w14:val="standardContextual"/>
                              </w:rPr>
                            </m:ctrlPr>
                          </m:sSubPr>
                          <m:e>
                            <m:r>
                              <w:rPr>
                                <w:rFonts w:ascii="Cambria Math" w:eastAsia="SimSun" w:hAnsi="Cambria Math" w:cs="Times New Roman"/>
                                <w:kern w:val="2"/>
                                <w14:ligatures w14:val="standardContextual"/>
                              </w:rPr>
                              <m:t>p</m:t>
                            </m:r>
                          </m:e>
                          <m:sub>
                            <m:r>
                              <w:rPr>
                                <w:rFonts w:ascii="Cambria Math" w:eastAsia="SimSun" w:hAnsi="Cambria Math" w:cs="Times New Roman"/>
                                <w:kern w:val="2"/>
                                <w14:ligatures w14:val="standardContextual"/>
                              </w:rPr>
                              <m:t>j</m:t>
                            </m:r>
                          </m:sub>
                        </m:sSub>
                        <m:r>
                          <w:rPr>
                            <w:rFonts w:ascii="Cambria Math" w:eastAsia="SimSun" w:hAnsi="Cambria Math" w:cs="Times New Roman"/>
                            <w:kern w:val="2"/>
                            <w14:ligatures w14:val="standardContextual"/>
                          </w:rPr>
                          <m:t>)</m:t>
                        </m:r>
                      </m:e>
                    </m:nary>
                  </m:den>
                </m:f>
              </m:oMath>
            </m:oMathPara>
          </w:p>
        </w:tc>
        <w:tc>
          <w:tcPr>
            <w:tcW w:w="4482" w:type="dxa"/>
          </w:tcPr>
          <w:p w14:paraId="5D308212" w14:textId="2F484788" w:rsidR="00D92895" w:rsidRPr="00EE41C6" w:rsidRDefault="00D92895" w:rsidP="00D92895">
            <w:pPr>
              <w:spacing w:after="160" w:line="480" w:lineRule="auto"/>
              <w:jc w:val="right"/>
              <w:rPr>
                <w:rFonts w:ascii="Times New Roman" w:eastAsia="SimSun" w:hAnsi="Times New Roman" w:cs="Times New Roman"/>
                <w:kern w:val="2"/>
                <w14:ligatures w14:val="standardContextual"/>
              </w:rPr>
            </w:pPr>
            <w:r w:rsidRPr="00EE41C6">
              <w:rPr>
                <w:rFonts w:ascii="Times New Roman" w:eastAsia="SimSun" w:hAnsi="Times New Roman" w:cs="Times New Roman"/>
                <w:kern w:val="2"/>
                <w14:ligatures w14:val="standardContextual"/>
              </w:rPr>
              <w:t>(</w:t>
            </w:r>
            <w:r w:rsidR="00707CFD" w:rsidRPr="00EE41C6">
              <w:rPr>
                <w:rFonts w:ascii="Times New Roman" w:eastAsia="SimSun" w:hAnsi="Times New Roman" w:cs="Times New Roman"/>
                <w:kern w:val="2"/>
                <w14:ligatures w14:val="standardContextual"/>
              </w:rPr>
              <w:t>9</w:t>
            </w:r>
            <w:r w:rsidRPr="00EE41C6">
              <w:rPr>
                <w:rFonts w:ascii="Times New Roman" w:eastAsia="SimSun" w:hAnsi="Times New Roman" w:cs="Times New Roman"/>
                <w:kern w:val="2"/>
                <w14:ligatures w14:val="standardContextual"/>
              </w:rPr>
              <w:t>)</w:t>
            </w:r>
          </w:p>
        </w:tc>
      </w:tr>
    </w:tbl>
    <w:p w14:paraId="38B30AA0" w14:textId="77777777" w:rsidR="00D92895" w:rsidRPr="00EE41C6" w:rsidRDefault="00D92895" w:rsidP="00D92895">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 xml:space="preserve">In this equation, the share weights, denoted as </w:t>
      </w:r>
      <m:oMath>
        <m:sSub>
          <m:sSubPr>
            <m:ctrlPr>
              <w:rPr>
                <w:rFonts w:ascii="Cambria Math" w:eastAsia="SimSun" w:hAnsi="Cambria Math" w:cs="Times New Roman"/>
                <w:i/>
              </w:rPr>
            </m:ctrlPr>
          </m:sSubPr>
          <m:e>
            <m:r>
              <w:rPr>
                <w:rFonts w:ascii="Cambria Math" w:eastAsia="SimSun" w:hAnsi="Cambria Math" w:cs="Times New Roman"/>
              </w:rPr>
              <m:t>α</m:t>
            </m:r>
          </m:e>
          <m:sub>
            <m:r>
              <w:rPr>
                <w:rFonts w:ascii="Cambria Math" w:eastAsia="SimSun" w:hAnsi="Cambria Math" w:cs="Times New Roman"/>
              </w:rPr>
              <m:t>i</m:t>
            </m:r>
          </m:sub>
        </m:sSub>
      </m:oMath>
      <w:r w:rsidRPr="00EE41C6">
        <w:rPr>
          <w:rFonts w:ascii="Times New Roman" w:eastAsia="SimSun" w:hAnsi="Times New Roman" w:cs="Times New Roman"/>
          <w:kern w:val="0"/>
          <w14:ligatures w14:val="none"/>
        </w:rPr>
        <w:t xml:space="preserve">​, play a crucial role and serve two main purposes. Firstly, they are instrumental in the calibration process of the model to align with historical data. This calibration helps in integrating region-specific preferences into the model. These preferences can stem from various factors such as cultural inclinations, existing infrastructure, market entry barriers, or similar influences, and are captured within the share weight parameters. Secondly, share weights are used to manage the introduction and progression of new technologies in the market. This is achieved by initially assigning low share weights to new technologies when they first appear. Over time, these weights are incrementally increased towards a neutral value. This gradual adjustment reflects the realistic market adoption of new technologies, considering factors like development, acceptance, and increasing competitiveness over time. The </w:t>
      </w:r>
      <m:oMath>
        <m:r>
          <w:rPr>
            <w:rFonts w:ascii="Cambria Math" w:eastAsia="SimSun" w:hAnsi="Cambria Math" w:cs="Times New Roman"/>
            <w:kern w:val="0"/>
            <w14:ligatures w14:val="none"/>
          </w:rPr>
          <m:t>β</m:t>
        </m:r>
      </m:oMath>
      <w:r w:rsidRPr="00EE41C6">
        <w:rPr>
          <w:rFonts w:ascii="Times New Roman" w:eastAsia="SimSun" w:hAnsi="Times New Roman" w:cs="Times New Roman"/>
          <w:kern w:val="0"/>
          <w14:ligatures w14:val="none"/>
        </w:rPr>
        <w:t xml:space="preserve">parameter in the Logit model, known as the logit coefficient, plays a significant role in determining the sensitivity of market share to differences in cost between various options. Essentially, it quantifies the extent to which a change in cost influences the distribution of market shares among different choices. To </w:t>
      </w:r>
      <w:r w:rsidRPr="00EE41C6">
        <w:rPr>
          <w:rFonts w:ascii="Times New Roman" w:eastAsia="SimSun" w:hAnsi="Times New Roman" w:cs="Times New Roman"/>
          <w:kern w:val="0"/>
          <w14:ligatures w14:val="none"/>
        </w:rPr>
        <w:lastRenderedPageBreak/>
        <w:t xml:space="preserve">illustrate this concept more clearly, we can consider the expression for the ratio of market shares of two different options, </w:t>
      </w:r>
      <m:oMath>
        <m:r>
          <w:rPr>
            <w:rFonts w:ascii="Cambria Math" w:eastAsia="SimSun" w:hAnsi="Cambria Math" w:cs="Times New Roman"/>
            <w:kern w:val="0"/>
            <w14:ligatures w14:val="none"/>
          </w:rPr>
          <m:t>i</m:t>
        </m:r>
      </m:oMath>
      <w:r w:rsidRPr="00EE41C6">
        <w:rPr>
          <w:rFonts w:ascii="Times New Roman" w:eastAsia="SimSun" w:hAnsi="Times New Roman" w:cs="Times New Roman"/>
          <w:kern w:val="0"/>
          <w14:ligatures w14:val="none"/>
        </w:rPr>
        <w:t xml:space="preserve"> and </w:t>
      </w:r>
      <m:oMath>
        <m:r>
          <w:rPr>
            <w:rFonts w:ascii="Cambria Math" w:eastAsia="SimSun" w:hAnsi="Cambria Math" w:cs="Times New Roman"/>
            <w:kern w:val="0"/>
            <w14:ligatures w14:val="none"/>
          </w:rPr>
          <m:t>j</m:t>
        </m:r>
      </m:oMath>
    </w:p>
    <w:tbl>
      <w:tblPr>
        <w:tblStyle w:val="TableGrid1"/>
        <w:tblW w:w="90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454"/>
      </w:tblGrid>
      <w:tr w:rsidR="00D92895" w:rsidRPr="00EE41C6" w14:paraId="124FE3FC" w14:textId="77777777" w:rsidTr="00726652">
        <w:tc>
          <w:tcPr>
            <w:tcW w:w="4572" w:type="dxa"/>
          </w:tcPr>
          <w:p w14:paraId="47AB5C7D" w14:textId="77777777" w:rsidR="00D92895" w:rsidRPr="00EE41C6" w:rsidRDefault="00000000" w:rsidP="00D92895">
            <w:pPr>
              <w:spacing w:line="480" w:lineRule="auto"/>
              <w:jc w:val="both"/>
              <w:rPr>
                <w:rFonts w:ascii="Times New Roman" w:eastAsia="SimSun" w:hAnsi="Times New Roman" w:cs="Times New Roman"/>
              </w:rPr>
            </w:pPr>
            <m:oMathPara>
              <m:oMathParaPr>
                <m:jc m:val="left"/>
              </m:oMathParaPr>
              <m:oMath>
                <m:f>
                  <m:fPr>
                    <m:ctrlPr>
                      <w:rPr>
                        <w:rFonts w:ascii="Cambria Math" w:eastAsia="SimSun" w:hAnsi="Cambria Math" w:cs="Times New Roman"/>
                        <w:i/>
                      </w:rPr>
                    </m:ctrlPr>
                  </m:fPr>
                  <m:num>
                    <m:sSub>
                      <m:sSubPr>
                        <m:ctrlPr>
                          <w:rPr>
                            <w:rFonts w:ascii="Cambria Math" w:eastAsia="SimSun" w:hAnsi="Cambria Math" w:cs="Times New Roman"/>
                            <w:i/>
                          </w:rPr>
                        </m:ctrlPr>
                      </m:sSubPr>
                      <m:e>
                        <m:r>
                          <w:rPr>
                            <w:rFonts w:ascii="Cambria Math" w:eastAsia="SimSun" w:hAnsi="Cambria Math" w:cs="Times New Roman"/>
                          </w:rPr>
                          <m:t>s</m:t>
                        </m:r>
                      </m:e>
                      <m:sub>
                        <m:r>
                          <w:rPr>
                            <w:rFonts w:ascii="Cambria Math" w:eastAsia="SimSun" w:hAnsi="Cambria Math" w:cs="Times New Roman"/>
                          </w:rPr>
                          <m:t>i</m:t>
                        </m:r>
                      </m:sub>
                    </m:sSub>
                  </m:num>
                  <m:den>
                    <m:sSub>
                      <m:sSubPr>
                        <m:ctrlPr>
                          <w:rPr>
                            <w:rFonts w:ascii="Cambria Math" w:eastAsia="SimSun" w:hAnsi="Cambria Math" w:cs="Times New Roman"/>
                            <w:i/>
                          </w:rPr>
                        </m:ctrlPr>
                      </m:sSubPr>
                      <m:e>
                        <m:r>
                          <w:rPr>
                            <w:rFonts w:ascii="Cambria Math" w:eastAsia="SimSun" w:hAnsi="Cambria Math" w:cs="Times New Roman"/>
                          </w:rPr>
                          <m:t>s</m:t>
                        </m:r>
                      </m:e>
                      <m:sub>
                        <m:r>
                          <w:rPr>
                            <w:rFonts w:ascii="Cambria Math" w:eastAsia="SimSun" w:hAnsi="Cambria Math" w:cs="Times New Roman"/>
                          </w:rPr>
                          <m:t>j</m:t>
                        </m:r>
                      </m:sub>
                    </m:sSub>
                  </m:den>
                </m:f>
                <m:r>
                  <w:rPr>
                    <w:rFonts w:ascii="Cambria Math" w:eastAsia="SimSun" w:hAnsi="Cambria Math" w:cs="Times New Roman"/>
                  </w:rPr>
                  <m:t>=</m:t>
                </m:r>
                <m:f>
                  <m:fPr>
                    <m:ctrlPr>
                      <w:rPr>
                        <w:rFonts w:ascii="Cambria Math" w:eastAsia="SimSun" w:hAnsi="Cambria Math" w:cs="Times New Roman"/>
                        <w:i/>
                      </w:rPr>
                    </m:ctrlPr>
                  </m:fPr>
                  <m:num>
                    <m:sSub>
                      <m:sSubPr>
                        <m:ctrlPr>
                          <w:rPr>
                            <w:rFonts w:ascii="Cambria Math" w:eastAsia="SimSun" w:hAnsi="Cambria Math" w:cs="Times New Roman"/>
                            <w:i/>
                          </w:rPr>
                        </m:ctrlPr>
                      </m:sSubPr>
                      <m:e>
                        <m:r>
                          <w:rPr>
                            <w:rFonts w:ascii="Cambria Math" w:eastAsia="SimSun" w:hAnsi="Cambria Math" w:cs="Times New Roman"/>
                          </w:rPr>
                          <m:t>α</m:t>
                        </m:r>
                      </m:e>
                      <m:sub>
                        <m:r>
                          <w:rPr>
                            <w:rFonts w:ascii="Cambria Math" w:eastAsia="SimSun" w:hAnsi="Cambria Math" w:cs="Times New Roman"/>
                          </w:rPr>
                          <m:t>i</m:t>
                        </m:r>
                      </m:sub>
                    </m:sSub>
                  </m:num>
                  <m:den>
                    <m:sSub>
                      <m:sSubPr>
                        <m:ctrlPr>
                          <w:rPr>
                            <w:rFonts w:ascii="Cambria Math" w:eastAsia="SimSun" w:hAnsi="Cambria Math" w:cs="Times New Roman"/>
                            <w:i/>
                          </w:rPr>
                        </m:ctrlPr>
                      </m:sSubPr>
                      <m:e>
                        <m:r>
                          <w:rPr>
                            <w:rFonts w:ascii="Cambria Math" w:eastAsia="SimSun" w:hAnsi="Cambria Math" w:cs="Times New Roman"/>
                          </w:rPr>
                          <m:t>α</m:t>
                        </m:r>
                      </m:e>
                      <m:sub>
                        <m:r>
                          <w:rPr>
                            <w:rFonts w:ascii="Cambria Math" w:eastAsia="SimSun" w:hAnsi="Cambria Math" w:cs="Times New Roman"/>
                          </w:rPr>
                          <m:t>j</m:t>
                        </m:r>
                      </m:sub>
                    </m:sSub>
                  </m:den>
                </m:f>
                <m:r>
                  <m:rPr>
                    <m:sty m:val="p"/>
                  </m:rPr>
                  <w:rPr>
                    <w:rFonts w:ascii="Cambria Math" w:eastAsia="SimSun" w:hAnsi="Cambria Math" w:cs="Times New Roman"/>
                  </w:rPr>
                  <m:t>exp</m:t>
                </m:r>
                <m:d>
                  <m:dPr>
                    <m:ctrlPr>
                      <w:rPr>
                        <w:rFonts w:ascii="Cambria Math" w:eastAsia="SimSun" w:hAnsi="Cambria Math" w:cs="Times New Roman"/>
                        <w:i/>
                      </w:rPr>
                    </m:ctrlPr>
                  </m:dPr>
                  <m:e>
                    <m:r>
                      <w:rPr>
                        <w:rFonts w:ascii="Cambria Math" w:eastAsia="SimSun" w:hAnsi="Cambria Math" w:cs="Times New Roman"/>
                      </w:rPr>
                      <m:t>β</m:t>
                    </m:r>
                    <m:d>
                      <m:dPr>
                        <m:ctrlPr>
                          <w:rPr>
                            <w:rFonts w:ascii="Cambria Math" w:eastAsia="SimSun" w:hAnsi="Cambria Math" w:cs="Times New Roman"/>
                            <w:i/>
                          </w:rPr>
                        </m:ctrlPr>
                      </m:dPr>
                      <m:e>
                        <m:sSub>
                          <m:sSubPr>
                            <m:ctrlPr>
                              <w:rPr>
                                <w:rFonts w:ascii="Cambria Math" w:eastAsia="SimSun" w:hAnsi="Cambria Math" w:cs="Times New Roman"/>
                                <w:i/>
                              </w:rPr>
                            </m:ctrlPr>
                          </m:sSubPr>
                          <m:e>
                            <m:r>
                              <w:rPr>
                                <w:rFonts w:ascii="Cambria Math" w:eastAsia="SimSun" w:hAnsi="Cambria Math" w:cs="Times New Roman"/>
                              </w:rPr>
                              <m:t>p</m:t>
                            </m:r>
                          </m:e>
                          <m:sub>
                            <m:r>
                              <w:rPr>
                                <w:rFonts w:ascii="Cambria Math" w:eastAsia="SimSun" w:hAnsi="Cambria Math" w:cs="Times New Roman"/>
                              </w:rPr>
                              <m:t>i</m:t>
                            </m:r>
                          </m:sub>
                        </m:sSub>
                        <m:r>
                          <w:rPr>
                            <w:rFonts w:ascii="Cambria Math" w:eastAsia="SimSun" w:hAnsi="Cambria Math" w:cs="Times New Roman"/>
                          </w:rPr>
                          <m:t>-</m:t>
                        </m:r>
                        <m:sSub>
                          <m:sSubPr>
                            <m:ctrlPr>
                              <w:rPr>
                                <w:rFonts w:ascii="Cambria Math" w:eastAsia="SimSun" w:hAnsi="Cambria Math" w:cs="Times New Roman"/>
                                <w:i/>
                              </w:rPr>
                            </m:ctrlPr>
                          </m:sSubPr>
                          <m:e>
                            <m:r>
                              <w:rPr>
                                <w:rFonts w:ascii="Cambria Math" w:eastAsia="SimSun" w:hAnsi="Cambria Math" w:cs="Times New Roman"/>
                              </w:rPr>
                              <m:t>p</m:t>
                            </m:r>
                          </m:e>
                          <m:sub>
                            <m:r>
                              <w:rPr>
                                <w:rFonts w:ascii="Cambria Math" w:eastAsia="SimSun" w:hAnsi="Cambria Math" w:cs="Times New Roman"/>
                              </w:rPr>
                              <m:t>j</m:t>
                            </m:r>
                          </m:sub>
                        </m:sSub>
                      </m:e>
                    </m:d>
                  </m:e>
                </m:d>
              </m:oMath>
            </m:oMathPara>
          </w:p>
        </w:tc>
        <w:tc>
          <w:tcPr>
            <w:tcW w:w="4454" w:type="dxa"/>
          </w:tcPr>
          <w:p w14:paraId="14080260" w14:textId="26E00674" w:rsidR="00D92895" w:rsidRPr="00EE41C6" w:rsidRDefault="00D92895" w:rsidP="00D92895">
            <w:pPr>
              <w:spacing w:after="160" w:line="480" w:lineRule="auto"/>
              <w:jc w:val="right"/>
              <w:rPr>
                <w:rFonts w:ascii="Times New Roman" w:eastAsia="SimSun" w:hAnsi="Times New Roman" w:cs="Times New Roman"/>
                <w:kern w:val="2"/>
                <w14:ligatures w14:val="standardContextual"/>
              </w:rPr>
            </w:pPr>
            <w:r w:rsidRPr="00EE41C6">
              <w:rPr>
                <w:rFonts w:ascii="Times New Roman" w:eastAsia="SimSun" w:hAnsi="Times New Roman" w:cs="Times New Roman"/>
                <w:kern w:val="2"/>
                <w14:ligatures w14:val="standardContextual"/>
              </w:rPr>
              <w:t>(</w:t>
            </w:r>
            <w:r w:rsidR="00707CFD" w:rsidRPr="00EE41C6">
              <w:rPr>
                <w:rFonts w:ascii="Times New Roman" w:eastAsia="SimSun" w:hAnsi="Times New Roman" w:cs="Times New Roman"/>
                <w:kern w:val="2"/>
                <w14:ligatures w14:val="standardContextual"/>
              </w:rPr>
              <w:t>10</w:t>
            </w:r>
            <w:r w:rsidRPr="00EE41C6">
              <w:rPr>
                <w:rFonts w:ascii="Times New Roman" w:eastAsia="SimSun" w:hAnsi="Times New Roman" w:cs="Times New Roman"/>
                <w:kern w:val="2"/>
                <w14:ligatures w14:val="standardContextual"/>
              </w:rPr>
              <w:t>)</w:t>
            </w:r>
          </w:p>
        </w:tc>
      </w:tr>
    </w:tbl>
    <w:p w14:paraId="1DE9FC7C" w14:textId="70CE74F1" w:rsidR="00D92895" w:rsidRPr="00EE41C6" w:rsidRDefault="00FA652B" w:rsidP="00D92895">
      <w:pPr>
        <w:spacing w:after="200" w:line="480" w:lineRule="auto"/>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 xml:space="preserve">Supplementary </w:t>
      </w:r>
      <w:r w:rsidR="00D92895" w:rsidRPr="00EE41C6">
        <w:rPr>
          <w:rFonts w:ascii="Times New Roman" w:eastAsia="SimSun" w:hAnsi="Times New Roman" w:cs="Times New Roman"/>
          <w:kern w:val="0"/>
          <w14:ligatures w14:val="none"/>
        </w:rPr>
        <w:t xml:space="preserve">Equation </w:t>
      </w:r>
      <w:r w:rsidR="00707CFD" w:rsidRPr="00EE41C6">
        <w:rPr>
          <w:rFonts w:ascii="Times New Roman" w:eastAsia="SimSun" w:hAnsi="Times New Roman" w:cs="Times New Roman"/>
          <w:kern w:val="0"/>
          <w14:ligatures w14:val="none"/>
        </w:rPr>
        <w:t>10</w:t>
      </w:r>
      <w:r w:rsidR="00D92895" w:rsidRPr="00EE41C6">
        <w:rPr>
          <w:rFonts w:ascii="Times New Roman" w:eastAsia="SimSun" w:hAnsi="Times New Roman" w:cs="Times New Roman"/>
          <w:kern w:val="0"/>
          <w14:ligatures w14:val="none"/>
        </w:rPr>
        <w:t xml:space="preserve"> shows that, holding share weights constant, the market share ratio depends entirely on the cost difference. The role of the logit coefficient in this context is to determine the scale at which cost differences become significant in affecting market shares.</w:t>
      </w:r>
    </w:p>
    <w:p w14:paraId="3487F4E5" w14:textId="66D255EF" w:rsidR="00D92895" w:rsidRPr="00EE41C6" w:rsidRDefault="00D92895" w:rsidP="00D92895">
      <w:pPr>
        <w:spacing w:after="200" w:line="480" w:lineRule="auto"/>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 xml:space="preserve">In the Modified Logit model </w:t>
      </w:r>
      <w:r w:rsidRPr="00EE41C6">
        <w:rPr>
          <w:rFonts w:ascii="Times New Roman" w:eastAsia="SimSun" w:hAnsi="Times New Roman" w:cs="Times New Roman"/>
          <w:kern w:val="0"/>
          <w14:ligatures w14:val="none"/>
        </w:rPr>
        <w:fldChar w:fldCharType="begin"/>
      </w:r>
      <w:r w:rsidR="00611BEE" w:rsidRPr="00EE41C6">
        <w:rPr>
          <w:rFonts w:ascii="Times New Roman" w:eastAsia="SimSun" w:hAnsi="Times New Roman" w:cs="Times New Roman"/>
          <w:kern w:val="0"/>
          <w14:ligatures w14:val="none"/>
        </w:rPr>
        <w:instrText xml:space="preserve"> ADDIN ZOTERO_ITEM CSL_CITATION {"citationID":"OEOLOPpO","properties":{"formattedCitation":"\\super 65\\nosupersub{}","plainCitation":"65","noteIndex":0},"citationItems":[{"id":"jp5DcqPZ/Zsjz3ViP","uris":["http://zotero.org/users/local/kyKc933Q/items/KBFQU6QZ"],"itemData":{"id":257,"type":"article-journal","container-title":"Energy Economics","DOI":"10.1016/0140-9883(93)90031-L","ISSN":"01409883","issue":"2","journalAbbreviation":"Energy Economics","language":"en","page":"123-129","source":"DOI.org (Crossref)","title":"Modelling energy technologies in a competitive market","volume":"15","author":[{"family":"Clarke","given":"John F."},{"family":"Edmonds","given":"J.A."}],"issued":{"date-parts":[["1993",4]]}}}],"schema":"https://github.com/citation-style-language/schema/raw/master/csl-citation.json"} </w:instrText>
      </w:r>
      <w:r w:rsidRPr="00EE41C6">
        <w:rPr>
          <w:rFonts w:ascii="Times New Roman" w:eastAsia="SimSun" w:hAnsi="Times New Roman" w:cs="Times New Roman"/>
          <w:kern w:val="0"/>
          <w14:ligatures w14:val="none"/>
        </w:rPr>
        <w:fldChar w:fldCharType="separate"/>
      </w:r>
      <w:r w:rsidR="00005AF3" w:rsidRPr="00EE41C6">
        <w:rPr>
          <w:rFonts w:ascii="Times New Roman" w:hAnsi="Times New Roman" w:cs="Times New Roman"/>
          <w:kern w:val="0"/>
          <w:szCs w:val="24"/>
          <w:vertAlign w:val="superscript"/>
        </w:rPr>
        <w:t>65</w:t>
      </w:r>
      <w:r w:rsidRPr="00EE41C6">
        <w:rPr>
          <w:rFonts w:ascii="Times New Roman" w:eastAsia="SimSun" w:hAnsi="Times New Roman" w:cs="Times New Roman"/>
          <w:kern w:val="0"/>
          <w14:ligatures w14:val="none"/>
        </w:rPr>
        <w:fldChar w:fldCharType="end"/>
      </w:r>
      <w:r w:rsidRPr="00EE41C6">
        <w:rPr>
          <w:rFonts w:ascii="Times New Roman" w:eastAsia="SimSun" w:hAnsi="Times New Roman" w:cs="Times New Roman"/>
          <w:kern w:val="0"/>
          <w14:ligatures w14:val="none"/>
        </w:rPr>
        <w:t xml:space="preserve">, the formula for determining the market share </w:t>
      </w:r>
      <m:oMath>
        <m:sSub>
          <m:sSubPr>
            <m:ctrlPr>
              <w:rPr>
                <w:rFonts w:ascii="Cambria Math" w:eastAsia="SimSun" w:hAnsi="Cambria Math" w:cs="Times New Roman"/>
                <w:i/>
                <w:kern w:val="0"/>
                <w14:ligatures w14:val="none"/>
              </w:rPr>
            </m:ctrlPr>
          </m:sSubPr>
          <m:e>
            <m:r>
              <w:rPr>
                <w:rFonts w:ascii="Cambria Math" w:eastAsia="SimSun" w:hAnsi="Cambria Math" w:cs="Times New Roman"/>
                <w:kern w:val="0"/>
                <w14:ligatures w14:val="none"/>
              </w:rPr>
              <m:t>s</m:t>
            </m:r>
          </m:e>
          <m:sub>
            <m:r>
              <w:rPr>
                <w:rFonts w:ascii="Cambria Math" w:eastAsia="SimSun" w:hAnsi="Cambria Math" w:cs="Times New Roman"/>
                <w:kern w:val="0"/>
                <w14:ligatures w14:val="none"/>
              </w:rPr>
              <m:t>i</m:t>
            </m:r>
          </m:sub>
        </m:sSub>
      </m:oMath>
      <w:r w:rsidRPr="00EE41C6">
        <w:rPr>
          <w:rFonts w:ascii="Times New Roman" w:eastAsia="SimSun" w:hAnsi="Times New Roman" w:cs="Times New Roman"/>
          <w:kern w:val="0"/>
          <w14:ligatures w14:val="none"/>
        </w:rPr>
        <w:t>​ of each choice option</w:t>
      </w:r>
      <m:oMath>
        <m:r>
          <w:rPr>
            <w:rFonts w:ascii="Cambria Math" w:eastAsia="SimSun" w:hAnsi="Cambria Math" w:cs="Times New Roman"/>
            <w:kern w:val="0"/>
            <w14:ligatures w14:val="none"/>
          </w:rPr>
          <m:t xml:space="preserve"> i</m:t>
        </m:r>
      </m:oMath>
      <w:r w:rsidRPr="00EE41C6">
        <w:rPr>
          <w:rFonts w:ascii="Times New Roman" w:eastAsia="SimSun" w:hAnsi="Times New Roman" w:cs="Times New Roman"/>
          <w:kern w:val="0"/>
          <w14:ligatures w14:val="none"/>
        </w:rPr>
        <w:t xml:space="preserve"> is calculated as</w:t>
      </w:r>
      <w:r w:rsidR="00FA652B" w:rsidRPr="00EE41C6">
        <w:rPr>
          <w:rFonts w:ascii="Times New Roman" w:eastAsia="SimSun" w:hAnsi="Times New Roman" w:cs="Times New Roman"/>
          <w:kern w:val="0"/>
          <w14:ligatures w14:val="none"/>
        </w:rPr>
        <w:t xml:space="preserve"> (Supplementary Equation </w:t>
      </w:r>
      <w:r w:rsidR="00707CFD" w:rsidRPr="00EE41C6">
        <w:rPr>
          <w:rFonts w:ascii="Times New Roman" w:eastAsia="SimSun" w:hAnsi="Times New Roman" w:cs="Times New Roman"/>
          <w:kern w:val="0"/>
          <w14:ligatures w14:val="none"/>
        </w:rPr>
        <w:t>11</w:t>
      </w:r>
      <w:r w:rsidR="00FA652B" w:rsidRPr="00EE41C6">
        <w:rPr>
          <w:rFonts w:ascii="Times New Roman" w:eastAsia="SimSun" w:hAnsi="Times New Roman" w:cs="Times New Roman"/>
          <w:kern w:val="0"/>
          <w14:ligatures w14:val="none"/>
        </w:rPr>
        <w:t>)</w:t>
      </w:r>
      <w:r w:rsidRPr="00EE41C6">
        <w:rPr>
          <w:rFonts w:ascii="Times New Roman" w:eastAsia="SimSun" w:hAnsi="Times New Roman" w:cs="Times New Roman"/>
          <w:kern w:val="0"/>
          <w14:ligatures w14:val="none"/>
        </w:rPr>
        <w:t>:</w:t>
      </w:r>
    </w:p>
    <w:tbl>
      <w:tblPr>
        <w:tblStyle w:val="TableGrid1"/>
        <w:tblW w:w="90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454"/>
      </w:tblGrid>
      <w:tr w:rsidR="00D92895" w:rsidRPr="00EE41C6" w14:paraId="7E1669CF" w14:textId="77777777" w:rsidTr="00726652">
        <w:tc>
          <w:tcPr>
            <w:tcW w:w="4572" w:type="dxa"/>
          </w:tcPr>
          <w:p w14:paraId="5ECAB27B" w14:textId="77777777" w:rsidR="00D92895" w:rsidRPr="00EE41C6" w:rsidRDefault="00000000" w:rsidP="00D92895">
            <w:pPr>
              <w:spacing w:line="480" w:lineRule="auto"/>
              <w:rPr>
                <w:rFonts w:ascii="Times New Roman" w:eastAsia="SimSun" w:hAnsi="Times New Roman" w:cs="Times New Roman"/>
                <w:kern w:val="2"/>
                <w14:ligatures w14:val="standardContextual"/>
              </w:rPr>
            </w:pPr>
            <m:oMathPara>
              <m:oMathParaPr>
                <m:jc m:val="left"/>
              </m:oMathParaPr>
              <m:oMath>
                <m:sSub>
                  <m:sSubPr>
                    <m:ctrlPr>
                      <w:rPr>
                        <w:rFonts w:ascii="Cambria Math" w:eastAsia="SimSun" w:hAnsi="Cambria Math" w:cs="Times New Roman"/>
                        <w:i/>
                        <w:kern w:val="2"/>
                        <w14:ligatures w14:val="standardContextual"/>
                      </w:rPr>
                    </m:ctrlPr>
                  </m:sSubPr>
                  <m:e>
                    <m:r>
                      <w:rPr>
                        <w:rFonts w:ascii="Cambria Math" w:eastAsia="SimSun" w:hAnsi="Cambria Math" w:cs="Times New Roman"/>
                        <w:kern w:val="2"/>
                        <w14:ligatures w14:val="standardContextual"/>
                      </w:rPr>
                      <m:t>s</m:t>
                    </m:r>
                  </m:e>
                  <m:sub>
                    <m:r>
                      <w:rPr>
                        <w:rFonts w:ascii="Cambria Math" w:eastAsia="SimSun" w:hAnsi="Cambria Math" w:cs="Times New Roman"/>
                        <w:kern w:val="2"/>
                        <w14:ligatures w14:val="standardContextual"/>
                      </w:rPr>
                      <m:t>i</m:t>
                    </m:r>
                  </m:sub>
                </m:sSub>
                <m:r>
                  <w:rPr>
                    <w:rFonts w:ascii="Cambria Math" w:eastAsia="SimSun" w:hAnsi="Cambria Math" w:cs="Times New Roman"/>
                    <w:kern w:val="2"/>
                    <w14:ligatures w14:val="standardContextual"/>
                  </w:rPr>
                  <m:t>=</m:t>
                </m:r>
                <m:f>
                  <m:fPr>
                    <m:ctrlPr>
                      <w:rPr>
                        <w:rFonts w:ascii="Cambria Math" w:eastAsia="SimSun" w:hAnsi="Cambria Math" w:cs="Times New Roman"/>
                        <w:i/>
                        <w:kern w:val="2"/>
                        <w14:ligatures w14:val="standardContextual"/>
                      </w:rPr>
                    </m:ctrlPr>
                  </m:fPr>
                  <m:num>
                    <m:sSub>
                      <m:sSubPr>
                        <m:ctrlPr>
                          <w:rPr>
                            <w:rFonts w:ascii="Cambria Math" w:eastAsia="SimSun" w:hAnsi="Cambria Math" w:cs="Times New Roman"/>
                            <w:i/>
                            <w:kern w:val="2"/>
                            <w14:ligatures w14:val="standardContextual"/>
                          </w:rPr>
                        </m:ctrlPr>
                      </m:sSubPr>
                      <m:e>
                        <m:r>
                          <w:rPr>
                            <w:rFonts w:ascii="Cambria Math" w:eastAsia="SimSun" w:hAnsi="Cambria Math" w:cs="Times New Roman"/>
                            <w:kern w:val="2"/>
                            <w14:ligatures w14:val="standardContextual"/>
                          </w:rPr>
                          <m:t>α</m:t>
                        </m:r>
                      </m:e>
                      <m:sub>
                        <m:r>
                          <w:rPr>
                            <w:rFonts w:ascii="Cambria Math" w:eastAsia="SimSun" w:hAnsi="Cambria Math" w:cs="Times New Roman"/>
                            <w:kern w:val="2"/>
                            <w14:ligatures w14:val="standardContextual"/>
                          </w:rPr>
                          <m:t>i</m:t>
                        </m:r>
                      </m:sub>
                    </m:sSub>
                    <m:sSubSup>
                      <m:sSubSupPr>
                        <m:ctrlPr>
                          <w:rPr>
                            <w:rFonts w:ascii="Cambria Math" w:eastAsia="SimSun" w:hAnsi="Cambria Math" w:cs="Times New Roman"/>
                            <w:i/>
                            <w:kern w:val="2"/>
                            <w14:ligatures w14:val="standardContextual"/>
                          </w:rPr>
                        </m:ctrlPr>
                      </m:sSubSupPr>
                      <m:e>
                        <m:r>
                          <w:rPr>
                            <w:rFonts w:ascii="Cambria Math" w:eastAsia="SimSun" w:hAnsi="Cambria Math" w:cs="Times New Roman"/>
                            <w:kern w:val="2"/>
                            <w14:ligatures w14:val="standardContextual"/>
                          </w:rPr>
                          <m:t>p</m:t>
                        </m:r>
                      </m:e>
                      <m:sub>
                        <m:r>
                          <w:rPr>
                            <w:rFonts w:ascii="Cambria Math" w:eastAsia="SimSun" w:hAnsi="Cambria Math" w:cs="Times New Roman"/>
                            <w:kern w:val="2"/>
                            <w14:ligatures w14:val="standardContextual"/>
                          </w:rPr>
                          <m:t>i</m:t>
                        </m:r>
                      </m:sub>
                      <m:sup>
                        <m:r>
                          <w:rPr>
                            <w:rFonts w:ascii="Cambria Math" w:eastAsia="SimSun" w:hAnsi="Cambria Math" w:cs="Times New Roman"/>
                            <w:kern w:val="2"/>
                            <w14:ligatures w14:val="standardContextual"/>
                          </w:rPr>
                          <m:t>γ</m:t>
                        </m:r>
                      </m:sup>
                    </m:sSubSup>
                  </m:num>
                  <m:den>
                    <m:nary>
                      <m:naryPr>
                        <m:chr m:val="∑"/>
                        <m:limLoc m:val="subSup"/>
                        <m:ctrlPr>
                          <w:rPr>
                            <w:rFonts w:ascii="Cambria Math" w:eastAsia="SimSun" w:hAnsi="Cambria Math" w:cs="Times New Roman"/>
                            <w:i/>
                            <w:kern w:val="2"/>
                            <w14:ligatures w14:val="standardContextual"/>
                          </w:rPr>
                        </m:ctrlPr>
                      </m:naryPr>
                      <m:sub>
                        <m:r>
                          <w:rPr>
                            <w:rFonts w:ascii="Cambria Math" w:eastAsia="SimSun" w:hAnsi="Cambria Math" w:cs="Times New Roman"/>
                            <w:kern w:val="2"/>
                            <w14:ligatures w14:val="standardContextual"/>
                          </w:rPr>
                          <m:t>j=1</m:t>
                        </m:r>
                      </m:sub>
                      <m:sup>
                        <m:r>
                          <w:rPr>
                            <w:rFonts w:ascii="Cambria Math" w:eastAsia="SimSun" w:hAnsi="Cambria Math" w:cs="Times New Roman"/>
                            <w:kern w:val="2"/>
                            <w14:ligatures w14:val="standardContextual"/>
                          </w:rPr>
                          <m:t>N</m:t>
                        </m:r>
                      </m:sup>
                      <m:e>
                        <m:sSub>
                          <m:sSubPr>
                            <m:ctrlPr>
                              <w:rPr>
                                <w:rFonts w:ascii="Cambria Math" w:eastAsia="SimSun" w:hAnsi="Cambria Math" w:cs="Times New Roman"/>
                                <w:i/>
                                <w:kern w:val="2"/>
                                <w14:ligatures w14:val="standardContextual"/>
                              </w:rPr>
                            </m:ctrlPr>
                          </m:sSubPr>
                          <m:e>
                            <m:r>
                              <w:rPr>
                                <w:rFonts w:ascii="Cambria Math" w:eastAsia="SimSun" w:hAnsi="Cambria Math" w:cs="Times New Roman"/>
                                <w:kern w:val="2"/>
                                <w14:ligatures w14:val="standardContextual"/>
                              </w:rPr>
                              <m:t>α</m:t>
                            </m:r>
                          </m:e>
                          <m:sub>
                            <m:r>
                              <w:rPr>
                                <w:rFonts w:ascii="Cambria Math" w:eastAsia="SimSun" w:hAnsi="Cambria Math" w:cs="Times New Roman"/>
                                <w:kern w:val="2"/>
                                <w14:ligatures w14:val="standardContextual"/>
                              </w:rPr>
                              <m:t>j</m:t>
                            </m:r>
                          </m:sub>
                        </m:sSub>
                        <m:sSubSup>
                          <m:sSubSupPr>
                            <m:ctrlPr>
                              <w:rPr>
                                <w:rFonts w:ascii="Cambria Math" w:eastAsia="SimSun" w:hAnsi="Cambria Math" w:cs="Times New Roman"/>
                                <w:i/>
                                <w:kern w:val="2"/>
                                <w14:ligatures w14:val="standardContextual"/>
                              </w:rPr>
                            </m:ctrlPr>
                          </m:sSubSupPr>
                          <m:e>
                            <m:r>
                              <w:rPr>
                                <w:rFonts w:ascii="Cambria Math" w:eastAsia="SimSun" w:hAnsi="Cambria Math" w:cs="Times New Roman"/>
                                <w:kern w:val="2"/>
                                <w14:ligatures w14:val="standardContextual"/>
                              </w:rPr>
                              <m:t>p</m:t>
                            </m:r>
                          </m:e>
                          <m:sub>
                            <m:r>
                              <w:rPr>
                                <w:rFonts w:ascii="Cambria Math" w:eastAsia="SimSun" w:hAnsi="Cambria Math" w:cs="Times New Roman"/>
                                <w:kern w:val="2"/>
                                <w14:ligatures w14:val="standardContextual"/>
                              </w:rPr>
                              <m:t>j</m:t>
                            </m:r>
                          </m:sub>
                          <m:sup>
                            <m:r>
                              <w:rPr>
                                <w:rFonts w:ascii="Cambria Math" w:eastAsia="SimSun" w:hAnsi="Cambria Math" w:cs="Times New Roman"/>
                                <w:kern w:val="2"/>
                                <w14:ligatures w14:val="standardContextual"/>
                              </w:rPr>
                              <m:t>γ</m:t>
                            </m:r>
                          </m:sup>
                        </m:sSubSup>
                      </m:e>
                    </m:nary>
                  </m:den>
                </m:f>
              </m:oMath>
            </m:oMathPara>
          </w:p>
        </w:tc>
        <w:tc>
          <w:tcPr>
            <w:tcW w:w="4454" w:type="dxa"/>
          </w:tcPr>
          <w:p w14:paraId="212E08DA" w14:textId="31A08E88" w:rsidR="00D92895" w:rsidRPr="00EE41C6" w:rsidRDefault="00D92895" w:rsidP="00D92895">
            <w:pPr>
              <w:spacing w:after="160" w:line="480" w:lineRule="auto"/>
              <w:jc w:val="right"/>
              <w:rPr>
                <w:rFonts w:ascii="Times New Roman" w:eastAsia="SimSun" w:hAnsi="Times New Roman" w:cs="Times New Roman"/>
                <w:kern w:val="2"/>
                <w14:ligatures w14:val="standardContextual"/>
              </w:rPr>
            </w:pPr>
            <w:r w:rsidRPr="00EE41C6">
              <w:rPr>
                <w:rFonts w:ascii="Times New Roman" w:eastAsia="SimSun" w:hAnsi="Times New Roman" w:cs="Times New Roman"/>
                <w:kern w:val="2"/>
                <w14:ligatures w14:val="standardContextual"/>
              </w:rPr>
              <w:t>(</w:t>
            </w:r>
            <w:r w:rsidR="00707CFD" w:rsidRPr="00EE41C6">
              <w:rPr>
                <w:rFonts w:ascii="Times New Roman" w:eastAsia="SimSun" w:hAnsi="Times New Roman" w:cs="Times New Roman"/>
                <w:kern w:val="2"/>
                <w14:ligatures w14:val="standardContextual"/>
              </w:rPr>
              <w:t>11</w:t>
            </w:r>
            <w:r w:rsidRPr="00EE41C6">
              <w:rPr>
                <w:rFonts w:ascii="Times New Roman" w:eastAsia="SimSun" w:hAnsi="Times New Roman" w:cs="Times New Roman"/>
                <w:kern w:val="2"/>
                <w14:ligatures w14:val="standardContextual"/>
              </w:rPr>
              <w:t>)</w:t>
            </w:r>
          </w:p>
        </w:tc>
      </w:tr>
    </w:tbl>
    <w:p w14:paraId="3CE62981" w14:textId="77777777" w:rsidR="00D92895" w:rsidRPr="00EE41C6" w:rsidRDefault="00D92895" w:rsidP="00D92895">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 xml:space="preserve">Similar to the Logit model, </w:t>
      </w:r>
      <m:oMath>
        <m:sSub>
          <m:sSubPr>
            <m:ctrlPr>
              <w:rPr>
                <w:rFonts w:ascii="Cambria Math" w:eastAsia="SimSun" w:hAnsi="Cambria Math" w:cs="Times New Roman"/>
                <w:i/>
              </w:rPr>
            </m:ctrlPr>
          </m:sSubPr>
          <m:e>
            <m:r>
              <w:rPr>
                <w:rFonts w:ascii="Cambria Math" w:eastAsia="SimSun" w:hAnsi="Cambria Math" w:cs="Times New Roman"/>
              </w:rPr>
              <m:t>α</m:t>
            </m:r>
          </m:e>
          <m:sub>
            <m:r>
              <w:rPr>
                <w:rFonts w:ascii="Cambria Math" w:eastAsia="SimSun" w:hAnsi="Cambria Math" w:cs="Times New Roman"/>
              </w:rPr>
              <m:t>i</m:t>
            </m:r>
          </m:sub>
        </m:sSub>
      </m:oMath>
      <w:r w:rsidRPr="00EE41C6">
        <w:rPr>
          <w:rFonts w:ascii="Times New Roman" w:eastAsia="SimSun" w:hAnsi="Times New Roman" w:cs="Times New Roman"/>
          <w:kern w:val="0"/>
          <w14:ligatures w14:val="none"/>
        </w:rPr>
        <w:t xml:space="preserve"> represent share weights in the Modified Logit model. There is also a new parameter, </w:t>
      </w:r>
      <m:oMath>
        <m:r>
          <w:rPr>
            <w:rFonts w:ascii="Cambria Math" w:eastAsia="SimSun" w:hAnsi="Cambria Math" w:cs="Times New Roman"/>
          </w:rPr>
          <m:t>γ</m:t>
        </m:r>
      </m:oMath>
      <w:r w:rsidRPr="00EE41C6">
        <w:rPr>
          <w:rFonts w:ascii="Times New Roman" w:eastAsia="SimSun" w:hAnsi="Times New Roman" w:cs="Times New Roman"/>
        </w:rPr>
        <w:t xml:space="preserve"> </w:t>
      </w:r>
      <w:r w:rsidRPr="00EE41C6">
        <w:rPr>
          <w:rFonts w:ascii="Times New Roman" w:eastAsia="SimSun" w:hAnsi="Times New Roman" w:cs="Times New Roman"/>
          <w:kern w:val="0"/>
          <w14:ligatures w14:val="none"/>
        </w:rPr>
        <w:t xml:space="preserve">called the logit exponent that plays a similar role to the logit coefficient in the Logit model. The ratio of shares between options </w:t>
      </w:r>
      <m:oMath>
        <m:r>
          <w:rPr>
            <w:rFonts w:ascii="Cambria Math" w:eastAsia="SimSun" w:hAnsi="Cambria Math" w:cs="Times New Roman"/>
          </w:rPr>
          <m:t>i</m:t>
        </m:r>
      </m:oMath>
      <w:r w:rsidRPr="00EE41C6">
        <w:rPr>
          <w:rFonts w:ascii="Times New Roman" w:eastAsia="SimSun" w:hAnsi="Times New Roman" w:cs="Times New Roman"/>
          <w:kern w:val="0"/>
          <w14:ligatures w14:val="none"/>
        </w:rPr>
        <w:t xml:space="preserve"> and </w:t>
      </w:r>
      <m:oMath>
        <m:r>
          <w:rPr>
            <w:rFonts w:ascii="Cambria Math" w:eastAsia="SimSun" w:hAnsi="Cambria Math" w:cs="Times New Roman"/>
          </w:rPr>
          <m:t>j</m:t>
        </m:r>
      </m:oMath>
      <w:r w:rsidRPr="00EE41C6">
        <w:rPr>
          <w:rFonts w:ascii="Times New Roman" w:eastAsia="SimSun" w:hAnsi="Times New Roman" w:cs="Times New Roman"/>
          <w:kern w:val="0"/>
          <w14:ligatures w14:val="none"/>
        </w:rPr>
        <w:t xml:space="preserve"> is:</w:t>
      </w:r>
    </w:p>
    <w:tbl>
      <w:tblPr>
        <w:tblStyle w:val="TableGrid1"/>
        <w:tblW w:w="90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454"/>
      </w:tblGrid>
      <w:tr w:rsidR="00D92895" w:rsidRPr="00EE41C6" w14:paraId="65642F11" w14:textId="77777777" w:rsidTr="00726652">
        <w:tc>
          <w:tcPr>
            <w:tcW w:w="4572" w:type="dxa"/>
          </w:tcPr>
          <w:p w14:paraId="64D304B7" w14:textId="77777777" w:rsidR="00D92895" w:rsidRPr="00EE41C6" w:rsidRDefault="00000000" w:rsidP="00D92895">
            <w:pPr>
              <w:spacing w:line="480" w:lineRule="auto"/>
              <w:jc w:val="both"/>
              <w:rPr>
                <w:rFonts w:ascii="Times New Roman" w:eastAsia="SimSun" w:hAnsi="Times New Roman" w:cs="Times New Roman"/>
              </w:rPr>
            </w:pPr>
            <m:oMathPara>
              <m:oMathParaPr>
                <m:jc m:val="left"/>
              </m:oMathParaPr>
              <m:oMath>
                <m:f>
                  <m:fPr>
                    <m:ctrlPr>
                      <w:rPr>
                        <w:rFonts w:ascii="Cambria Math" w:eastAsia="SimSun" w:hAnsi="Cambria Math" w:cs="Times New Roman"/>
                        <w:i/>
                      </w:rPr>
                    </m:ctrlPr>
                  </m:fPr>
                  <m:num>
                    <m:sSub>
                      <m:sSubPr>
                        <m:ctrlPr>
                          <w:rPr>
                            <w:rFonts w:ascii="Cambria Math" w:eastAsia="SimSun" w:hAnsi="Cambria Math" w:cs="Times New Roman"/>
                            <w:i/>
                          </w:rPr>
                        </m:ctrlPr>
                      </m:sSubPr>
                      <m:e>
                        <m:r>
                          <w:rPr>
                            <w:rFonts w:ascii="Cambria Math" w:eastAsia="SimSun" w:hAnsi="Cambria Math" w:cs="Times New Roman"/>
                          </w:rPr>
                          <m:t>s</m:t>
                        </m:r>
                      </m:e>
                      <m:sub>
                        <m:r>
                          <w:rPr>
                            <w:rFonts w:ascii="Cambria Math" w:eastAsia="SimSun" w:hAnsi="Cambria Math" w:cs="Times New Roman"/>
                          </w:rPr>
                          <m:t>i</m:t>
                        </m:r>
                      </m:sub>
                    </m:sSub>
                  </m:num>
                  <m:den>
                    <m:sSub>
                      <m:sSubPr>
                        <m:ctrlPr>
                          <w:rPr>
                            <w:rFonts w:ascii="Cambria Math" w:eastAsia="SimSun" w:hAnsi="Cambria Math" w:cs="Times New Roman"/>
                            <w:i/>
                          </w:rPr>
                        </m:ctrlPr>
                      </m:sSubPr>
                      <m:e>
                        <m:r>
                          <w:rPr>
                            <w:rFonts w:ascii="Cambria Math" w:eastAsia="SimSun" w:hAnsi="Cambria Math" w:cs="Times New Roman"/>
                          </w:rPr>
                          <m:t>s</m:t>
                        </m:r>
                      </m:e>
                      <m:sub>
                        <m:r>
                          <w:rPr>
                            <w:rFonts w:ascii="Cambria Math" w:eastAsia="SimSun" w:hAnsi="Cambria Math" w:cs="Times New Roman"/>
                          </w:rPr>
                          <m:t>j</m:t>
                        </m:r>
                      </m:sub>
                    </m:sSub>
                  </m:den>
                </m:f>
                <m:r>
                  <w:rPr>
                    <w:rFonts w:ascii="Cambria Math" w:eastAsia="SimSun" w:hAnsi="Cambria Math" w:cs="Times New Roman"/>
                  </w:rPr>
                  <m:t>=</m:t>
                </m:r>
                <m:f>
                  <m:fPr>
                    <m:ctrlPr>
                      <w:rPr>
                        <w:rFonts w:ascii="Cambria Math" w:eastAsia="SimSun" w:hAnsi="Cambria Math" w:cs="Times New Roman"/>
                        <w:i/>
                      </w:rPr>
                    </m:ctrlPr>
                  </m:fPr>
                  <m:num>
                    <m:sSub>
                      <m:sSubPr>
                        <m:ctrlPr>
                          <w:rPr>
                            <w:rFonts w:ascii="Cambria Math" w:eastAsia="SimSun" w:hAnsi="Cambria Math" w:cs="Times New Roman"/>
                            <w:i/>
                          </w:rPr>
                        </m:ctrlPr>
                      </m:sSubPr>
                      <m:e>
                        <m:r>
                          <w:rPr>
                            <w:rFonts w:ascii="Cambria Math" w:eastAsia="SimSun" w:hAnsi="Cambria Math" w:cs="Times New Roman"/>
                          </w:rPr>
                          <m:t>α</m:t>
                        </m:r>
                      </m:e>
                      <m:sub>
                        <m:r>
                          <w:rPr>
                            <w:rFonts w:ascii="Cambria Math" w:eastAsia="SimSun" w:hAnsi="Cambria Math" w:cs="Times New Roman"/>
                          </w:rPr>
                          <m:t>i</m:t>
                        </m:r>
                      </m:sub>
                    </m:sSub>
                  </m:num>
                  <m:den>
                    <m:sSub>
                      <m:sSubPr>
                        <m:ctrlPr>
                          <w:rPr>
                            <w:rFonts w:ascii="Cambria Math" w:eastAsia="SimSun" w:hAnsi="Cambria Math" w:cs="Times New Roman"/>
                            <w:i/>
                          </w:rPr>
                        </m:ctrlPr>
                      </m:sSubPr>
                      <m:e>
                        <m:r>
                          <w:rPr>
                            <w:rFonts w:ascii="Cambria Math" w:eastAsia="SimSun" w:hAnsi="Cambria Math" w:cs="Times New Roman"/>
                          </w:rPr>
                          <m:t>α</m:t>
                        </m:r>
                      </m:e>
                      <m:sub>
                        <m:r>
                          <w:rPr>
                            <w:rFonts w:ascii="Cambria Math" w:eastAsia="SimSun" w:hAnsi="Cambria Math" w:cs="Times New Roman"/>
                          </w:rPr>
                          <m:t>j</m:t>
                        </m:r>
                      </m:sub>
                    </m:sSub>
                  </m:den>
                </m:f>
                <m:sSup>
                  <m:sSupPr>
                    <m:ctrlPr>
                      <w:rPr>
                        <w:rFonts w:ascii="Cambria Math" w:eastAsia="SimSun" w:hAnsi="Cambria Math" w:cs="Times New Roman"/>
                        <w:i/>
                      </w:rPr>
                    </m:ctrlPr>
                  </m:sSupPr>
                  <m:e>
                    <m:d>
                      <m:dPr>
                        <m:ctrlPr>
                          <w:rPr>
                            <w:rFonts w:ascii="Cambria Math" w:eastAsia="SimSun" w:hAnsi="Cambria Math" w:cs="Times New Roman"/>
                            <w:i/>
                          </w:rPr>
                        </m:ctrlPr>
                      </m:dPr>
                      <m:e>
                        <m:f>
                          <m:fPr>
                            <m:ctrlPr>
                              <w:rPr>
                                <w:rFonts w:ascii="Cambria Math" w:eastAsia="SimSun" w:hAnsi="Cambria Math" w:cs="Times New Roman"/>
                                <w:i/>
                              </w:rPr>
                            </m:ctrlPr>
                          </m:fPr>
                          <m:num>
                            <m:sSub>
                              <m:sSubPr>
                                <m:ctrlPr>
                                  <w:rPr>
                                    <w:rFonts w:ascii="Cambria Math" w:eastAsia="SimSun" w:hAnsi="Cambria Math" w:cs="Times New Roman"/>
                                    <w:i/>
                                  </w:rPr>
                                </m:ctrlPr>
                              </m:sSubPr>
                              <m:e>
                                <m:r>
                                  <w:rPr>
                                    <w:rFonts w:ascii="Cambria Math" w:eastAsia="SimSun" w:hAnsi="Cambria Math" w:cs="Times New Roman"/>
                                  </w:rPr>
                                  <m:t>p</m:t>
                                </m:r>
                              </m:e>
                              <m:sub>
                                <m:r>
                                  <w:rPr>
                                    <w:rFonts w:ascii="Cambria Math" w:eastAsia="SimSun" w:hAnsi="Cambria Math" w:cs="Times New Roman"/>
                                  </w:rPr>
                                  <m:t>i</m:t>
                                </m:r>
                              </m:sub>
                            </m:sSub>
                          </m:num>
                          <m:den>
                            <m:sSub>
                              <m:sSubPr>
                                <m:ctrlPr>
                                  <w:rPr>
                                    <w:rFonts w:ascii="Cambria Math" w:eastAsia="SimSun" w:hAnsi="Cambria Math" w:cs="Times New Roman"/>
                                    <w:i/>
                                  </w:rPr>
                                </m:ctrlPr>
                              </m:sSubPr>
                              <m:e>
                                <m:r>
                                  <w:rPr>
                                    <w:rFonts w:ascii="Cambria Math" w:eastAsia="SimSun" w:hAnsi="Cambria Math" w:cs="Times New Roman"/>
                                  </w:rPr>
                                  <m:t>p</m:t>
                                </m:r>
                              </m:e>
                              <m:sub>
                                <m:r>
                                  <w:rPr>
                                    <w:rFonts w:ascii="Cambria Math" w:eastAsia="SimSun" w:hAnsi="Cambria Math" w:cs="Times New Roman"/>
                                  </w:rPr>
                                  <m:t>j</m:t>
                                </m:r>
                              </m:sub>
                            </m:sSub>
                          </m:den>
                        </m:f>
                      </m:e>
                    </m:d>
                  </m:e>
                  <m:sup>
                    <m:r>
                      <w:rPr>
                        <w:rFonts w:ascii="Cambria Math" w:eastAsia="SimSun" w:hAnsi="Cambria Math" w:cs="Times New Roman"/>
                      </w:rPr>
                      <m:t>γ</m:t>
                    </m:r>
                  </m:sup>
                </m:sSup>
              </m:oMath>
            </m:oMathPara>
          </w:p>
        </w:tc>
        <w:tc>
          <w:tcPr>
            <w:tcW w:w="4454" w:type="dxa"/>
          </w:tcPr>
          <w:p w14:paraId="0E68CBEE" w14:textId="568EFD64" w:rsidR="00D92895" w:rsidRPr="00EE41C6" w:rsidRDefault="00D92895" w:rsidP="00D92895">
            <w:pPr>
              <w:spacing w:after="160" w:line="480" w:lineRule="auto"/>
              <w:jc w:val="right"/>
              <w:rPr>
                <w:rFonts w:ascii="Times New Roman" w:eastAsia="SimSun" w:hAnsi="Times New Roman" w:cs="Times New Roman"/>
                <w:kern w:val="2"/>
                <w14:ligatures w14:val="standardContextual"/>
              </w:rPr>
            </w:pPr>
            <w:r w:rsidRPr="00EE41C6">
              <w:rPr>
                <w:rFonts w:ascii="Times New Roman" w:eastAsia="SimSun" w:hAnsi="Times New Roman" w:cs="Times New Roman"/>
                <w:kern w:val="2"/>
                <w14:ligatures w14:val="standardContextual"/>
              </w:rPr>
              <w:t>(</w:t>
            </w:r>
            <w:r w:rsidR="00707CFD" w:rsidRPr="00EE41C6">
              <w:rPr>
                <w:rFonts w:ascii="Times New Roman" w:eastAsia="SimSun" w:hAnsi="Times New Roman" w:cs="Times New Roman"/>
                <w:kern w:val="2"/>
                <w14:ligatures w14:val="standardContextual"/>
              </w:rPr>
              <w:t>12</w:t>
            </w:r>
            <w:r w:rsidRPr="00EE41C6">
              <w:rPr>
                <w:rFonts w:ascii="Times New Roman" w:eastAsia="SimSun" w:hAnsi="Times New Roman" w:cs="Times New Roman"/>
                <w:kern w:val="2"/>
                <w14:ligatures w14:val="standardContextual"/>
              </w:rPr>
              <w:t>)</w:t>
            </w:r>
          </w:p>
        </w:tc>
      </w:tr>
    </w:tbl>
    <w:p w14:paraId="4F6E9590" w14:textId="05AB56E8" w:rsidR="00D92895" w:rsidRPr="00EE41C6" w:rsidRDefault="00D92895" w:rsidP="00D92895">
      <w:pPr>
        <w:spacing w:after="200" w:line="480" w:lineRule="auto"/>
        <w:jc w:val="both"/>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 xml:space="preserve">The Modified Logit model in GCAM employs the ratio of choice indicators in a way that parallels the use of the difference in indicators in the standard Logit model. In </w:t>
      </w:r>
      <w:r w:rsidR="00FA652B" w:rsidRPr="00EE41C6">
        <w:rPr>
          <w:rFonts w:ascii="Times New Roman" w:eastAsia="SimSun" w:hAnsi="Times New Roman" w:cs="Times New Roman"/>
          <w:kern w:val="0"/>
          <w14:ligatures w14:val="none"/>
        </w:rPr>
        <w:t xml:space="preserve">Supplementary </w:t>
      </w:r>
      <w:r w:rsidRPr="00EE41C6">
        <w:rPr>
          <w:rFonts w:ascii="Times New Roman" w:eastAsia="SimSun" w:hAnsi="Times New Roman" w:cs="Times New Roman"/>
          <w:kern w:val="0"/>
          <w14:ligatures w14:val="none"/>
        </w:rPr>
        <w:t xml:space="preserve">Equation </w:t>
      </w:r>
      <w:r w:rsidR="00707CFD" w:rsidRPr="00EE41C6">
        <w:rPr>
          <w:rFonts w:ascii="Times New Roman" w:eastAsia="SimSun" w:hAnsi="Times New Roman" w:cs="Times New Roman"/>
          <w:kern w:val="0"/>
          <w14:ligatures w14:val="none"/>
        </w:rPr>
        <w:t>12</w:t>
      </w:r>
      <w:r w:rsidRPr="00EE41C6">
        <w:rPr>
          <w:rFonts w:ascii="Times New Roman" w:eastAsia="SimSun" w:hAnsi="Times New Roman" w:cs="Times New Roman"/>
          <w:kern w:val="0"/>
          <w14:ligatures w14:val="none"/>
        </w:rPr>
        <w:t xml:space="preserve">, the value of the logit exponent </w:t>
      </w:r>
      <m:oMath>
        <m:r>
          <w:rPr>
            <w:rFonts w:ascii="Cambria Math" w:eastAsia="SimSun" w:hAnsi="Cambria Math" w:cs="Times New Roman"/>
            <w:kern w:val="0"/>
            <w14:ligatures w14:val="none"/>
          </w:rPr>
          <m:t>γ</m:t>
        </m:r>
      </m:oMath>
      <w:r w:rsidRPr="00EE41C6">
        <w:rPr>
          <w:rFonts w:ascii="Times New Roman" w:eastAsia="SimSun" w:hAnsi="Times New Roman" w:cs="Times New Roman"/>
          <w:kern w:val="0"/>
          <w14:ligatures w14:val="none"/>
        </w:rPr>
        <w:t xml:space="preserve"> is critical in determining the extent to which the ratio of the choice indicators influences the market shares. A notable implication of this modeling approach is that the Modified Logit model can exhibit problematic behavior when any of the choice indicators approach zero. To address this issue, GCAM implements a practical solution by establishing a minimum threshold, or a 'floor', for the choice indicator values. Specifically, any alternative with a choice indicator </w:t>
      </w:r>
      <m:oMath>
        <m:sSub>
          <m:sSubPr>
            <m:ctrlPr>
              <w:rPr>
                <w:rFonts w:ascii="Cambria Math" w:eastAsia="SimSun" w:hAnsi="Cambria Math" w:cs="Times New Roman"/>
                <w:i/>
                <w:kern w:val="0"/>
                <w14:ligatures w14:val="none"/>
              </w:rPr>
            </m:ctrlPr>
          </m:sSubPr>
          <m:e>
            <m:r>
              <w:rPr>
                <w:rFonts w:ascii="Cambria Math" w:eastAsia="SimSun" w:hAnsi="Cambria Math" w:cs="Times New Roman"/>
                <w:kern w:val="0"/>
                <w14:ligatures w14:val="none"/>
              </w:rPr>
              <m:t>p</m:t>
            </m:r>
          </m:e>
          <m:sub>
            <m:r>
              <w:rPr>
                <w:rFonts w:ascii="Cambria Math" w:eastAsia="SimSun" w:hAnsi="Cambria Math" w:cs="Times New Roman"/>
                <w:kern w:val="0"/>
                <w14:ligatures w14:val="none"/>
              </w:rPr>
              <m:t>i</m:t>
            </m:r>
          </m:sub>
        </m:sSub>
        <m:r>
          <w:rPr>
            <w:rFonts w:ascii="Cambria Math" w:eastAsia="SimSun" w:hAnsi="Cambria Math" w:cs="Times New Roman"/>
            <w:kern w:val="0"/>
            <w14:ligatures w14:val="none"/>
          </w:rPr>
          <m:t>&lt;</m:t>
        </m:r>
      </m:oMath>
      <w:r w:rsidRPr="00EE41C6">
        <w:rPr>
          <w:rFonts w:ascii="Times New Roman" w:eastAsia="SimSun" w:hAnsi="Times New Roman" w:cs="Times New Roman"/>
          <w:kern w:val="0"/>
          <w14:ligatures w14:val="none"/>
        </w:rPr>
        <w:t xml:space="preserve">​ 0.001 is treated as its </w:t>
      </w:r>
      <m:oMath>
        <m:sSub>
          <m:sSubPr>
            <m:ctrlPr>
              <w:rPr>
                <w:rFonts w:ascii="Cambria Math" w:eastAsia="SimSun" w:hAnsi="Cambria Math" w:cs="Times New Roman"/>
                <w:i/>
                <w:kern w:val="0"/>
                <w14:ligatures w14:val="none"/>
              </w:rPr>
            </m:ctrlPr>
          </m:sSubPr>
          <m:e>
            <m:r>
              <w:rPr>
                <w:rFonts w:ascii="Cambria Math" w:eastAsia="SimSun" w:hAnsi="Cambria Math" w:cs="Times New Roman"/>
                <w:kern w:val="0"/>
                <w14:ligatures w14:val="none"/>
              </w:rPr>
              <m:t>p</m:t>
            </m:r>
          </m:e>
          <m:sub>
            <m:r>
              <w:rPr>
                <w:rFonts w:ascii="Cambria Math" w:eastAsia="SimSun" w:hAnsi="Cambria Math" w:cs="Times New Roman"/>
                <w:kern w:val="0"/>
                <w14:ligatures w14:val="none"/>
              </w:rPr>
              <m:t>i</m:t>
            </m:r>
          </m:sub>
        </m:sSub>
        <m:r>
          <w:rPr>
            <w:rFonts w:ascii="Cambria Math" w:eastAsia="SimSun" w:hAnsi="Cambria Math" w:cs="Times New Roman"/>
            <w:kern w:val="0"/>
            <w14:ligatures w14:val="none"/>
          </w:rPr>
          <m:t xml:space="preserve">= </m:t>
        </m:r>
      </m:oMath>
      <w:r w:rsidRPr="00EE41C6">
        <w:rPr>
          <w:rFonts w:ascii="Times New Roman" w:eastAsia="SimSun" w:hAnsi="Times New Roman" w:cs="Times New Roman"/>
          <w:kern w:val="0"/>
          <w14:ligatures w14:val="none"/>
        </w:rPr>
        <w:t>0.001. This floor ensures that the model can always compute a valid share value, preventing the calculation from becoming undefined or nonsensical due to very small indicator values.</w:t>
      </w:r>
    </w:p>
    <w:p w14:paraId="6500C8C5" w14:textId="768D8B8F" w:rsidR="009D269F" w:rsidRPr="00EE41C6" w:rsidRDefault="009D269F" w:rsidP="00176F76">
      <w:pPr>
        <w:pStyle w:val="Heading1"/>
        <w:rPr>
          <w:rFonts w:ascii="Times New Roman" w:hAnsi="Times New Roman" w:cs="Times New Roman"/>
        </w:rPr>
      </w:pPr>
      <w:bookmarkStart w:id="59" w:name="_Toc176517763"/>
      <w:r w:rsidRPr="00EE41C6">
        <w:rPr>
          <w:rFonts w:ascii="Times New Roman" w:hAnsi="Times New Roman" w:cs="Times New Roman"/>
        </w:rPr>
        <w:lastRenderedPageBreak/>
        <w:t xml:space="preserve">Supplementary </w:t>
      </w:r>
      <w:r w:rsidR="00176F76" w:rsidRPr="00EE41C6">
        <w:rPr>
          <w:rFonts w:ascii="Times New Roman" w:hAnsi="Times New Roman" w:cs="Times New Roman"/>
        </w:rPr>
        <w:t>Method 4: T</w:t>
      </w:r>
      <w:r w:rsidRPr="00EE41C6">
        <w:rPr>
          <w:rFonts w:ascii="Times New Roman" w:hAnsi="Times New Roman" w:cs="Times New Roman"/>
        </w:rPr>
        <w:t>otal technology cost in GCAM</w:t>
      </w:r>
      <w:bookmarkEnd w:id="59"/>
    </w:p>
    <w:p w14:paraId="5BD5DA11" w14:textId="77777777" w:rsidR="00176F76" w:rsidRPr="00EE41C6" w:rsidRDefault="00176F76" w:rsidP="00176F76"/>
    <w:p w14:paraId="3FB11D5C" w14:textId="2E315D9D" w:rsidR="00D92895" w:rsidRPr="00EE41C6" w:rsidRDefault="00D92895" w:rsidP="00D92895">
      <w:pPr>
        <w:spacing w:after="200" w:line="480" w:lineRule="auto"/>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 xml:space="preserve">The total cost of a technology is the sum of the cost of the technology, the cost of its inputs, and any </w:t>
      </w:r>
      <w:r w:rsidR="009D269F" w:rsidRPr="00EE41C6">
        <w:rPr>
          <w:rFonts w:ascii="Times New Roman" w:eastAsia="SimSun" w:hAnsi="Times New Roman" w:cs="Times New Roman"/>
          <w:kern w:val="0"/>
          <w14:ligatures w14:val="none"/>
        </w:rPr>
        <w:t>greenhouse gas (GHG)</w:t>
      </w:r>
      <w:r w:rsidRPr="00EE41C6">
        <w:rPr>
          <w:rFonts w:ascii="Times New Roman" w:eastAsia="SimSun" w:hAnsi="Times New Roman" w:cs="Times New Roman"/>
          <w:kern w:val="0"/>
          <w14:ligatures w14:val="none"/>
        </w:rPr>
        <w:t xml:space="preserve"> value (</w:t>
      </w:r>
      <w:r w:rsidR="00FA652B" w:rsidRPr="00EE41C6">
        <w:rPr>
          <w:rFonts w:ascii="Times New Roman" w:eastAsia="SimSun" w:hAnsi="Times New Roman" w:cs="Times New Roman"/>
          <w:kern w:val="0"/>
          <w14:ligatures w14:val="none"/>
        </w:rPr>
        <w:t xml:space="preserve">Supplementary </w:t>
      </w:r>
      <w:r w:rsidRPr="00EE41C6">
        <w:rPr>
          <w:rFonts w:ascii="Times New Roman" w:eastAsia="SimSun" w:hAnsi="Times New Roman" w:cs="Times New Roman"/>
          <w:kern w:val="0"/>
          <w14:ligatures w14:val="none"/>
        </w:rPr>
        <w:t xml:space="preserve">Equation </w:t>
      </w:r>
      <w:r w:rsidR="00707CFD" w:rsidRPr="00EE41C6">
        <w:rPr>
          <w:rFonts w:ascii="Times New Roman" w:eastAsia="SimSun" w:hAnsi="Times New Roman" w:cs="Times New Roman"/>
          <w:kern w:val="0"/>
          <w14:ligatures w14:val="none"/>
        </w:rPr>
        <w:t>13</w:t>
      </w:r>
      <w:r w:rsidRPr="00EE41C6">
        <w:rPr>
          <w:rFonts w:ascii="Times New Roman" w:eastAsia="SimSun" w:hAnsi="Times New Roman" w:cs="Times New Roman"/>
          <w:kern w:val="0"/>
          <w14:ligatures w14:val="none"/>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74"/>
      </w:tblGrid>
      <w:tr w:rsidR="00D92895" w:rsidRPr="00EE41C6" w14:paraId="0C6A8111" w14:textId="77777777" w:rsidTr="00726652">
        <w:tc>
          <w:tcPr>
            <w:tcW w:w="4788" w:type="dxa"/>
          </w:tcPr>
          <w:p w14:paraId="08C015F0" w14:textId="77777777" w:rsidR="00D92895" w:rsidRPr="00EE41C6" w:rsidRDefault="00D92895" w:rsidP="00D92895">
            <w:pPr>
              <w:spacing w:after="160" w:line="480" w:lineRule="auto"/>
              <w:rPr>
                <w:rFonts w:ascii="Times New Roman" w:eastAsia="SimSun" w:hAnsi="Times New Roman" w:cs="Times New Roman"/>
                <w:kern w:val="2"/>
                <w14:ligatures w14:val="standardContextual"/>
              </w:rPr>
            </w:pPr>
            <m:oMathPara>
              <m:oMathParaPr>
                <m:jc m:val="left"/>
              </m:oMathParaPr>
              <m:oMath>
                <m:r>
                  <w:rPr>
                    <w:rFonts w:ascii="Cambria Math" w:eastAsia="SimSun" w:hAnsi="Cambria Math" w:cs="Times New Roman"/>
                    <w:kern w:val="2"/>
                    <w14:ligatures w14:val="standardContextual"/>
                  </w:rPr>
                  <m:t>C=t+</m:t>
                </m:r>
                <m:nary>
                  <m:naryPr>
                    <m:chr m:val="∑"/>
                    <m:limLoc m:val="undOvr"/>
                    <m:ctrlPr>
                      <w:rPr>
                        <w:rFonts w:ascii="Cambria Math" w:eastAsia="SimSun" w:hAnsi="Cambria Math" w:cs="Times New Roman"/>
                        <w:i/>
                        <w:kern w:val="2"/>
                        <w14:ligatures w14:val="standardContextual"/>
                      </w:rPr>
                    </m:ctrlPr>
                  </m:naryPr>
                  <m:sub>
                    <m:r>
                      <w:rPr>
                        <w:rFonts w:ascii="Cambria Math" w:eastAsia="SimSun" w:hAnsi="Cambria Math" w:cs="Times New Roman"/>
                        <w:kern w:val="2"/>
                        <w14:ligatures w14:val="standardContextual"/>
                      </w:rPr>
                      <m:t>j=1</m:t>
                    </m:r>
                  </m:sub>
                  <m:sup>
                    <m:r>
                      <w:rPr>
                        <w:rFonts w:ascii="Cambria Math" w:eastAsia="SimSun" w:hAnsi="Cambria Math" w:cs="Times New Roman"/>
                        <w:kern w:val="2"/>
                        <w14:ligatures w14:val="standardContextual"/>
                      </w:rPr>
                      <m:t>n</m:t>
                    </m:r>
                  </m:sup>
                  <m:e>
                    <m:sSub>
                      <m:sSubPr>
                        <m:ctrlPr>
                          <w:rPr>
                            <w:rFonts w:ascii="Cambria Math" w:eastAsia="SimSun" w:hAnsi="Cambria Math" w:cs="Times New Roman"/>
                            <w:i/>
                            <w:kern w:val="2"/>
                            <w14:ligatures w14:val="standardContextual"/>
                          </w:rPr>
                        </m:ctrlPr>
                      </m:sSubPr>
                      <m:e>
                        <m:r>
                          <w:rPr>
                            <w:rFonts w:ascii="Cambria Math" w:eastAsia="SimSun" w:hAnsi="Cambria Math" w:cs="Times New Roman"/>
                            <w:kern w:val="2"/>
                            <w14:ligatures w14:val="standardContextual"/>
                          </w:rPr>
                          <m:t>i</m:t>
                        </m:r>
                      </m:e>
                      <m:sub>
                        <m:r>
                          <w:rPr>
                            <w:rFonts w:ascii="Cambria Math" w:eastAsia="SimSun" w:hAnsi="Cambria Math" w:cs="Times New Roman"/>
                            <w:kern w:val="2"/>
                            <w14:ligatures w14:val="standardContextual"/>
                          </w:rPr>
                          <m:t>j</m:t>
                        </m:r>
                      </m:sub>
                    </m:sSub>
                  </m:e>
                </m:nary>
                <m:r>
                  <w:rPr>
                    <w:rFonts w:ascii="Cambria Math" w:eastAsia="SimSun" w:hAnsi="Cambria Math" w:cs="Times New Roman"/>
                    <w:kern w:val="2"/>
                    <w14:ligatures w14:val="standardContextual"/>
                  </w:rPr>
                  <m:t>+</m:t>
                </m:r>
                <m:nary>
                  <m:naryPr>
                    <m:chr m:val="∑"/>
                    <m:limLoc m:val="undOvr"/>
                    <m:ctrlPr>
                      <w:rPr>
                        <w:rFonts w:ascii="Cambria Math" w:eastAsia="SimSun" w:hAnsi="Cambria Math" w:cs="Times New Roman"/>
                        <w:i/>
                        <w:kern w:val="2"/>
                        <w14:ligatures w14:val="standardContextual"/>
                      </w:rPr>
                    </m:ctrlPr>
                  </m:naryPr>
                  <m:sub>
                    <m:r>
                      <w:rPr>
                        <w:rFonts w:ascii="Cambria Math" w:eastAsia="SimSun" w:hAnsi="Cambria Math" w:cs="Times New Roman"/>
                        <w:kern w:val="2"/>
                        <w14:ligatures w14:val="standardContextual"/>
                      </w:rPr>
                      <m:t>k=1</m:t>
                    </m:r>
                  </m:sub>
                  <m:sup>
                    <m:r>
                      <w:rPr>
                        <w:rFonts w:ascii="Cambria Math" w:eastAsia="SimSun" w:hAnsi="Cambria Math" w:cs="Times New Roman"/>
                        <w:kern w:val="2"/>
                        <w14:ligatures w14:val="standardContextual"/>
                      </w:rPr>
                      <m:t>m</m:t>
                    </m:r>
                  </m:sup>
                  <m:e>
                    <m:sSub>
                      <m:sSubPr>
                        <m:ctrlPr>
                          <w:rPr>
                            <w:rFonts w:ascii="Cambria Math" w:eastAsia="SimSun" w:hAnsi="Cambria Math" w:cs="Times New Roman"/>
                            <w:i/>
                            <w:kern w:val="2"/>
                            <w14:ligatures w14:val="standardContextual"/>
                          </w:rPr>
                        </m:ctrlPr>
                      </m:sSubPr>
                      <m:e>
                        <m:r>
                          <w:rPr>
                            <w:rFonts w:ascii="Cambria Math" w:eastAsia="SimSun" w:hAnsi="Cambria Math" w:cs="Times New Roman"/>
                            <w:kern w:val="2"/>
                            <w14:ligatures w14:val="standardContextual"/>
                          </w:rPr>
                          <m:t>g</m:t>
                        </m:r>
                      </m:e>
                      <m:sub>
                        <m:r>
                          <w:rPr>
                            <w:rFonts w:ascii="Cambria Math" w:eastAsia="SimSun" w:hAnsi="Cambria Math" w:cs="Times New Roman"/>
                            <w:kern w:val="2"/>
                            <w14:ligatures w14:val="standardContextual"/>
                          </w:rPr>
                          <m:t>k</m:t>
                        </m:r>
                      </m:sub>
                    </m:sSub>
                  </m:e>
                </m:nary>
                <m:r>
                  <w:rPr>
                    <w:rFonts w:ascii="Cambria Math" w:eastAsia="SimSun" w:hAnsi="Cambria Math" w:cs="Times New Roman"/>
                    <w:kern w:val="2"/>
                    <w14:ligatures w14:val="standardContextual"/>
                  </w:rPr>
                  <m:t>-</m:t>
                </m:r>
                <m:nary>
                  <m:naryPr>
                    <m:chr m:val="∑"/>
                    <m:limLoc m:val="undOvr"/>
                    <m:ctrlPr>
                      <w:rPr>
                        <w:rFonts w:ascii="Cambria Math" w:eastAsia="SimSun" w:hAnsi="Cambria Math" w:cs="Times New Roman"/>
                        <w:i/>
                        <w:kern w:val="2"/>
                        <w14:ligatures w14:val="standardContextual"/>
                      </w:rPr>
                    </m:ctrlPr>
                  </m:naryPr>
                  <m:sub>
                    <m:r>
                      <w:rPr>
                        <w:rFonts w:ascii="Cambria Math" w:eastAsia="SimSun" w:hAnsi="Cambria Math" w:cs="Times New Roman"/>
                        <w:kern w:val="2"/>
                        <w14:ligatures w14:val="standardContextual"/>
                      </w:rPr>
                      <m:t>l=1</m:t>
                    </m:r>
                  </m:sub>
                  <m:sup>
                    <m:r>
                      <w:rPr>
                        <w:rFonts w:ascii="Cambria Math" w:eastAsia="SimSun" w:hAnsi="Cambria Math" w:cs="Times New Roman"/>
                        <w:kern w:val="2"/>
                        <w14:ligatures w14:val="standardContextual"/>
                      </w:rPr>
                      <m:t>o</m:t>
                    </m:r>
                  </m:sup>
                  <m:e>
                    <m:sSub>
                      <m:sSubPr>
                        <m:ctrlPr>
                          <w:rPr>
                            <w:rFonts w:ascii="Cambria Math" w:eastAsia="SimSun" w:hAnsi="Cambria Math" w:cs="Times New Roman"/>
                            <w:i/>
                            <w:kern w:val="2"/>
                            <w14:ligatures w14:val="standardContextual"/>
                          </w:rPr>
                        </m:ctrlPr>
                      </m:sSubPr>
                      <m:e>
                        <m:r>
                          <w:rPr>
                            <w:rFonts w:ascii="Cambria Math" w:eastAsia="SimSun" w:hAnsi="Cambria Math" w:cs="Times New Roman"/>
                            <w:kern w:val="2"/>
                            <w14:ligatures w14:val="standardContextual"/>
                          </w:rPr>
                          <m:t>v</m:t>
                        </m:r>
                      </m:e>
                      <m:sub>
                        <m:r>
                          <w:rPr>
                            <w:rFonts w:ascii="Cambria Math" w:eastAsia="SimSun" w:hAnsi="Cambria Math" w:cs="Times New Roman"/>
                            <w:kern w:val="2"/>
                            <w14:ligatures w14:val="standardContextual"/>
                          </w:rPr>
                          <m:t>l</m:t>
                        </m:r>
                      </m:sub>
                    </m:sSub>
                  </m:e>
                </m:nary>
              </m:oMath>
            </m:oMathPara>
          </w:p>
        </w:tc>
        <w:tc>
          <w:tcPr>
            <w:tcW w:w="4788" w:type="dxa"/>
          </w:tcPr>
          <w:p w14:paraId="4C163E8D" w14:textId="2BAAFD89" w:rsidR="00D92895" w:rsidRPr="00EE41C6" w:rsidRDefault="00D92895" w:rsidP="00D92895">
            <w:pPr>
              <w:spacing w:after="160" w:line="480" w:lineRule="auto"/>
              <w:jc w:val="right"/>
              <w:rPr>
                <w:rFonts w:ascii="Times New Roman" w:eastAsia="SimSun" w:hAnsi="Times New Roman" w:cs="Times New Roman"/>
                <w:kern w:val="2"/>
                <w14:ligatures w14:val="standardContextual"/>
              </w:rPr>
            </w:pPr>
            <w:r w:rsidRPr="00EE41C6">
              <w:rPr>
                <w:rFonts w:ascii="Times New Roman" w:eastAsia="SimSun" w:hAnsi="Times New Roman" w:cs="Times New Roman"/>
                <w:kern w:val="2"/>
                <w14:ligatures w14:val="standardContextual"/>
              </w:rPr>
              <w:t>(</w:t>
            </w:r>
            <w:r w:rsidR="00707CFD" w:rsidRPr="00EE41C6">
              <w:rPr>
                <w:rFonts w:ascii="Times New Roman" w:eastAsia="SimSun" w:hAnsi="Times New Roman" w:cs="Times New Roman"/>
                <w:kern w:val="2"/>
                <w14:ligatures w14:val="standardContextual"/>
              </w:rPr>
              <w:t>13</w:t>
            </w:r>
            <w:r w:rsidRPr="00EE41C6">
              <w:rPr>
                <w:rFonts w:ascii="Times New Roman" w:eastAsia="SimSun" w:hAnsi="Times New Roman" w:cs="Times New Roman"/>
                <w:kern w:val="2"/>
                <w14:ligatures w14:val="standardContextual"/>
              </w:rPr>
              <w:t>)</w:t>
            </w:r>
          </w:p>
        </w:tc>
      </w:tr>
    </w:tbl>
    <w:p w14:paraId="54CE203B" w14:textId="391905C8" w:rsidR="009D269F" w:rsidRPr="00EE41C6" w:rsidRDefault="00D92895" w:rsidP="00D92895">
      <w:pPr>
        <w:spacing w:after="200" w:line="480" w:lineRule="auto"/>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where </w:t>
      </w:r>
      <m:oMath>
        <m:r>
          <w:rPr>
            <w:rFonts w:ascii="Cambria Math" w:eastAsia="SimSun" w:hAnsi="Cambria Math" w:cs="Times New Roman"/>
            <w:kern w:val="0"/>
            <w14:ligatures w14:val="none"/>
          </w:rPr>
          <m:t>C</m:t>
        </m:r>
      </m:oMath>
      <w:r w:rsidRPr="00EE41C6">
        <w:rPr>
          <w:rFonts w:ascii="Times New Roman" w:eastAsia="SimSun" w:hAnsi="Times New Roman" w:cs="Times New Roman"/>
          <w:kern w:val="0"/>
          <w14:ligatures w14:val="none"/>
        </w:rPr>
        <w:t> is the total cost, </w:t>
      </w:r>
      <m:oMath>
        <m:r>
          <w:rPr>
            <w:rFonts w:ascii="Cambria Math" w:eastAsia="SimSun" w:hAnsi="Cambria Math" w:cs="Times New Roman"/>
            <w:kern w:val="0"/>
            <w14:ligatures w14:val="none"/>
          </w:rPr>
          <m:t>t</m:t>
        </m:r>
      </m:oMath>
      <w:r w:rsidRPr="00EE41C6">
        <w:rPr>
          <w:rFonts w:ascii="Times New Roman" w:eastAsia="SimSun" w:hAnsi="Times New Roman" w:cs="Times New Roman"/>
          <w:kern w:val="0"/>
          <w14:ligatures w14:val="none"/>
        </w:rPr>
        <w:t xml:space="preserve"> $ is the exogenously specified technology cost (capturing capital and O&amp;M costs), </w:t>
      </w:r>
      <m:oMath>
        <m:sSub>
          <m:sSubPr>
            <m:ctrlPr>
              <w:rPr>
                <w:rFonts w:ascii="Cambria Math" w:eastAsia="SimSun" w:hAnsi="Cambria Math" w:cs="Times New Roman"/>
                <w:i/>
                <w:kern w:val="0"/>
                <w14:ligatures w14:val="none"/>
              </w:rPr>
            </m:ctrlPr>
          </m:sSubPr>
          <m:e>
            <m:r>
              <w:rPr>
                <w:rFonts w:ascii="Cambria Math" w:eastAsia="SimSun" w:hAnsi="Cambria Math" w:cs="Times New Roman"/>
                <w:kern w:val="0"/>
                <w14:ligatures w14:val="none"/>
              </w:rPr>
              <m:t>i</m:t>
            </m:r>
          </m:e>
          <m:sub>
            <m:r>
              <w:rPr>
                <w:rFonts w:ascii="Cambria Math" w:eastAsia="SimSun" w:hAnsi="Cambria Math" w:cs="Times New Roman"/>
                <w:kern w:val="0"/>
                <w14:ligatures w14:val="none"/>
              </w:rPr>
              <m:t>j</m:t>
            </m:r>
          </m:sub>
        </m:sSub>
      </m:oMath>
      <w:r w:rsidRPr="00EE41C6">
        <w:rPr>
          <w:rFonts w:ascii="Times New Roman" w:eastAsia="SimSun" w:hAnsi="Times New Roman" w:cs="Times New Roman"/>
          <w:kern w:val="0"/>
          <w14:ligatures w14:val="none"/>
        </w:rPr>
        <w:t> is the cost of input </w:t>
      </w:r>
      <m:oMath>
        <m:r>
          <w:rPr>
            <w:rFonts w:ascii="Cambria Math" w:eastAsia="SimSun" w:hAnsi="Cambria Math" w:cs="Times New Roman"/>
            <w:kern w:val="0"/>
            <w14:ligatures w14:val="none"/>
          </w:rPr>
          <m:t>j</m:t>
        </m:r>
      </m:oMath>
      <w:r w:rsidRPr="00EE41C6">
        <w:rPr>
          <w:rFonts w:ascii="Times New Roman" w:eastAsia="SimSun" w:hAnsi="Times New Roman" w:cs="Times New Roman"/>
          <w:kern w:val="0"/>
          <w14:ligatures w14:val="none"/>
        </w:rPr>
        <w:t> (e.g., fuel), </w:t>
      </w:r>
      <m:oMath>
        <m:sSub>
          <m:sSubPr>
            <m:ctrlPr>
              <w:rPr>
                <w:rFonts w:ascii="Cambria Math" w:eastAsia="SimSun" w:hAnsi="Cambria Math" w:cs="Times New Roman"/>
                <w:i/>
                <w:kern w:val="0"/>
                <w14:ligatures w14:val="none"/>
              </w:rPr>
            </m:ctrlPr>
          </m:sSubPr>
          <m:e>
            <m:r>
              <w:rPr>
                <w:rFonts w:ascii="Cambria Math" w:eastAsia="SimSun" w:hAnsi="Cambria Math" w:cs="Times New Roman"/>
                <w:kern w:val="0"/>
                <w14:ligatures w14:val="none"/>
              </w:rPr>
              <m:t>g</m:t>
            </m:r>
          </m:e>
          <m:sub>
            <m:r>
              <w:rPr>
                <w:rFonts w:ascii="Cambria Math" w:eastAsia="SimSun" w:hAnsi="Cambria Math" w:cs="Times New Roman"/>
                <w:kern w:val="0"/>
                <w14:ligatures w14:val="none"/>
              </w:rPr>
              <m:t>k</m:t>
            </m:r>
          </m:sub>
        </m:sSub>
      </m:oMath>
      <w:r w:rsidRPr="00EE41C6">
        <w:rPr>
          <w:rFonts w:ascii="Times New Roman" w:eastAsia="SimSun" w:hAnsi="Times New Roman" w:cs="Times New Roman"/>
          <w:kern w:val="0"/>
          <w14:ligatures w14:val="none"/>
        </w:rPr>
        <w:t xml:space="preserve"> is the </w:t>
      </w:r>
      <w:r w:rsidR="009D269F" w:rsidRPr="00EE41C6">
        <w:rPr>
          <w:rFonts w:ascii="Times New Roman" w:eastAsia="SimSun" w:hAnsi="Times New Roman" w:cs="Times New Roman"/>
          <w:kern w:val="0"/>
          <w14:ligatures w14:val="none"/>
        </w:rPr>
        <w:t>GHG</w:t>
      </w:r>
      <w:r w:rsidRPr="00EE41C6">
        <w:rPr>
          <w:rFonts w:ascii="Times New Roman" w:eastAsia="SimSun" w:hAnsi="Times New Roman" w:cs="Times New Roman"/>
          <w:kern w:val="0"/>
          <w14:ligatures w14:val="none"/>
        </w:rPr>
        <w:t xml:space="preserve"> value of gas </w:t>
      </w:r>
      <m:oMath>
        <m:r>
          <w:rPr>
            <w:rFonts w:ascii="Cambria Math" w:eastAsia="SimSun" w:hAnsi="Cambria Math" w:cs="Times New Roman"/>
            <w:kern w:val="0"/>
            <w14:ligatures w14:val="none"/>
          </w:rPr>
          <m:t>k</m:t>
        </m:r>
      </m:oMath>
      <w:r w:rsidRPr="00EE41C6">
        <w:rPr>
          <w:rFonts w:ascii="Times New Roman" w:eastAsia="SimSun" w:hAnsi="Times New Roman" w:cs="Times New Roman"/>
          <w:kern w:val="0"/>
          <w14:ligatures w14:val="none"/>
        </w:rPr>
        <w:t>, and </w:t>
      </w:r>
      <m:oMath>
        <m:sSub>
          <m:sSubPr>
            <m:ctrlPr>
              <w:rPr>
                <w:rFonts w:ascii="Cambria Math" w:eastAsia="SimSun" w:hAnsi="Cambria Math" w:cs="Times New Roman"/>
                <w:i/>
                <w:kern w:val="0"/>
                <w14:ligatures w14:val="none"/>
              </w:rPr>
            </m:ctrlPr>
          </m:sSubPr>
          <m:e>
            <m:r>
              <w:rPr>
                <w:rFonts w:ascii="Cambria Math" w:eastAsia="SimSun" w:hAnsi="Cambria Math" w:cs="Times New Roman"/>
                <w:kern w:val="0"/>
                <w14:ligatures w14:val="none"/>
              </w:rPr>
              <m:t>v</m:t>
            </m:r>
          </m:e>
          <m:sub>
            <m:r>
              <w:rPr>
                <w:rFonts w:ascii="Cambria Math" w:eastAsia="SimSun" w:hAnsi="Cambria Math" w:cs="Times New Roman"/>
                <w:kern w:val="0"/>
                <w14:ligatures w14:val="none"/>
              </w:rPr>
              <m:t>l</m:t>
            </m:r>
          </m:sub>
        </m:sSub>
      </m:oMath>
      <w:r w:rsidRPr="00EE41C6">
        <w:rPr>
          <w:rFonts w:ascii="Times New Roman" w:eastAsia="SimSun" w:hAnsi="Times New Roman" w:cs="Times New Roman"/>
          <w:kern w:val="0"/>
          <w14:ligatures w14:val="none"/>
        </w:rPr>
        <w:t> is the value of secondary output </w:t>
      </w:r>
      <m:oMath>
        <m:r>
          <w:rPr>
            <w:rFonts w:ascii="Cambria Math" w:eastAsia="SimSun" w:hAnsi="Cambria Math" w:cs="Times New Roman"/>
            <w:kern w:val="0"/>
            <w14:ligatures w14:val="none"/>
          </w:rPr>
          <m:t>l</m:t>
        </m:r>
      </m:oMath>
      <w:r w:rsidRPr="00EE41C6">
        <w:rPr>
          <w:rFonts w:ascii="Times New Roman" w:eastAsia="SimSun" w:hAnsi="Times New Roman" w:cs="Times New Roman"/>
          <w:kern w:val="0"/>
          <w14:ligatures w14:val="none"/>
        </w:rPr>
        <w:t>. Costs vary by region, technology, and year.</w:t>
      </w:r>
    </w:p>
    <w:p w14:paraId="0E8E2462" w14:textId="2D0A8C12" w:rsidR="009D269F" w:rsidRPr="00EE41C6" w:rsidRDefault="009D269F" w:rsidP="00707CFD">
      <w:pPr>
        <w:pStyle w:val="Heading1"/>
        <w:rPr>
          <w:rFonts w:ascii="Times New Roman" w:hAnsi="Times New Roman" w:cs="Times New Roman"/>
        </w:rPr>
      </w:pPr>
      <w:bookmarkStart w:id="60" w:name="_Toc176517764"/>
      <w:r w:rsidRPr="00EE41C6">
        <w:rPr>
          <w:rFonts w:ascii="Times New Roman" w:hAnsi="Times New Roman" w:cs="Times New Roman"/>
        </w:rPr>
        <w:t xml:space="preserve">Supplementary </w:t>
      </w:r>
      <w:r w:rsidR="00707CFD" w:rsidRPr="00EE41C6">
        <w:rPr>
          <w:rFonts w:ascii="Times New Roman" w:hAnsi="Times New Roman" w:cs="Times New Roman"/>
        </w:rPr>
        <w:t>Method 5: R</w:t>
      </w:r>
      <w:r w:rsidRPr="00EE41C6">
        <w:rPr>
          <w:rFonts w:ascii="Times New Roman" w:hAnsi="Times New Roman" w:cs="Times New Roman"/>
        </w:rPr>
        <w:t>enewable resource supply in GCAM</w:t>
      </w:r>
      <w:bookmarkEnd w:id="60"/>
    </w:p>
    <w:p w14:paraId="7B7369A7" w14:textId="77777777" w:rsidR="00707CFD" w:rsidRPr="00EE41C6" w:rsidRDefault="00707CFD" w:rsidP="00707CFD"/>
    <w:p w14:paraId="694640FC" w14:textId="79617749" w:rsidR="00D92895" w:rsidRPr="00EE41C6" w:rsidRDefault="00D92895" w:rsidP="00D92895">
      <w:pPr>
        <w:spacing w:after="200" w:line="480" w:lineRule="auto"/>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The specific supply curve in each region for wind and solar energy is assigned three parameters, as detailed in the following equation (</w:t>
      </w:r>
      <w:r w:rsidR="00FA652B" w:rsidRPr="00EE41C6">
        <w:rPr>
          <w:rFonts w:ascii="Times New Roman" w:eastAsia="SimSun" w:hAnsi="Times New Roman" w:cs="Times New Roman"/>
          <w:kern w:val="0"/>
          <w14:ligatures w14:val="none"/>
        </w:rPr>
        <w:t xml:space="preserve">Supplementary </w:t>
      </w:r>
      <w:r w:rsidRPr="00EE41C6">
        <w:rPr>
          <w:rFonts w:ascii="Times New Roman" w:eastAsia="SimSun" w:hAnsi="Times New Roman" w:cs="Times New Roman"/>
          <w:kern w:val="0"/>
          <w14:ligatures w14:val="none"/>
        </w:rPr>
        <w:t xml:space="preserve">Equation </w:t>
      </w:r>
      <w:r w:rsidR="00707CFD" w:rsidRPr="00EE41C6">
        <w:rPr>
          <w:rFonts w:ascii="Times New Roman" w:eastAsia="SimSun" w:hAnsi="Times New Roman" w:cs="Times New Roman"/>
          <w:kern w:val="0"/>
          <w14:ligatures w14:val="none"/>
        </w:rPr>
        <w:t>14</w:t>
      </w:r>
      <w:r w:rsidRPr="00EE41C6">
        <w:rPr>
          <w:rFonts w:ascii="Times New Roman" w:eastAsia="SimSun" w:hAnsi="Times New Roman" w:cs="Times New Roman"/>
          <w:kern w:val="0"/>
          <w14:ligatures w14:val="none"/>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9"/>
        <w:gridCol w:w="1761"/>
      </w:tblGrid>
      <w:tr w:rsidR="00D92895" w:rsidRPr="00EE41C6" w14:paraId="3BB2F303" w14:textId="77777777" w:rsidTr="00726652">
        <w:tc>
          <w:tcPr>
            <w:tcW w:w="7758" w:type="dxa"/>
          </w:tcPr>
          <w:p w14:paraId="4737FCA2" w14:textId="77777777" w:rsidR="00D92895" w:rsidRPr="00EE41C6" w:rsidRDefault="00D92895" w:rsidP="00D92895">
            <w:pPr>
              <w:spacing w:line="480" w:lineRule="auto"/>
              <w:rPr>
                <w:rFonts w:ascii="Times New Roman" w:eastAsia="SimSun" w:hAnsi="Times New Roman" w:cs="Times New Roman"/>
                <w:kern w:val="2"/>
                <w14:ligatures w14:val="standardContextual"/>
              </w:rPr>
            </w:pPr>
            <m:oMathPara>
              <m:oMathParaPr>
                <m:jc m:val="left"/>
              </m:oMathParaPr>
              <m:oMath>
                <m:r>
                  <w:rPr>
                    <w:rFonts w:ascii="Cambria Math" w:eastAsia="SimSun" w:hAnsi="Cambria Math" w:cs="Times New Roman"/>
                    <w:kern w:val="2"/>
                    <w14:ligatures w14:val="standardContextual"/>
                  </w:rPr>
                  <m:t>Q=maxSubResource*</m:t>
                </m:r>
                <m:f>
                  <m:fPr>
                    <m:ctrlPr>
                      <w:rPr>
                        <w:rFonts w:ascii="Cambria Math" w:eastAsia="SimSun" w:hAnsi="Cambria Math" w:cs="Times New Roman"/>
                        <w:i/>
                        <w:kern w:val="2"/>
                        <w14:ligatures w14:val="standardContextual"/>
                      </w:rPr>
                    </m:ctrlPr>
                  </m:fPr>
                  <m:num>
                    <m:sSup>
                      <m:sSupPr>
                        <m:ctrlPr>
                          <w:rPr>
                            <w:rFonts w:ascii="Cambria Math" w:eastAsia="SimSun" w:hAnsi="Cambria Math" w:cs="Times New Roman"/>
                            <w:i/>
                            <w:kern w:val="2"/>
                            <w14:ligatures w14:val="standardContextual"/>
                          </w:rPr>
                        </m:ctrlPr>
                      </m:sSupPr>
                      <m:e>
                        <m:r>
                          <w:rPr>
                            <w:rFonts w:ascii="Cambria Math" w:eastAsia="SimSun" w:hAnsi="Cambria Math" w:cs="Times New Roman"/>
                            <w:kern w:val="2"/>
                            <w14:ligatures w14:val="standardContextual"/>
                          </w:rPr>
                          <m:t>P</m:t>
                        </m:r>
                      </m:e>
                      <m:sup>
                        <m:r>
                          <w:rPr>
                            <w:rFonts w:ascii="Cambria Math" w:eastAsia="SimSun" w:hAnsi="Cambria Math" w:cs="Times New Roman"/>
                            <w:kern w:val="2"/>
                            <w14:ligatures w14:val="standardContextual"/>
                          </w:rPr>
                          <m:t>CurveExponent</m:t>
                        </m:r>
                      </m:sup>
                    </m:sSup>
                  </m:num>
                  <m:den>
                    <m:r>
                      <w:rPr>
                        <w:rFonts w:ascii="Cambria Math" w:eastAsia="SimSun" w:hAnsi="Cambria Math" w:cs="Times New Roman"/>
                        <w:kern w:val="2"/>
                        <w14:ligatures w14:val="standardContextual"/>
                      </w:rPr>
                      <m:t>(</m:t>
                    </m:r>
                    <m:sSup>
                      <m:sSupPr>
                        <m:ctrlPr>
                          <w:rPr>
                            <w:rFonts w:ascii="Cambria Math" w:eastAsia="SimSun" w:hAnsi="Cambria Math" w:cs="Times New Roman"/>
                            <w:i/>
                            <w:kern w:val="2"/>
                            <w14:ligatures w14:val="standardContextual"/>
                          </w:rPr>
                        </m:ctrlPr>
                      </m:sSupPr>
                      <m:e>
                        <m:r>
                          <w:rPr>
                            <w:rFonts w:ascii="Cambria Math" w:eastAsia="SimSun" w:hAnsi="Cambria Math" w:cs="Times New Roman"/>
                            <w:kern w:val="2"/>
                            <w14:ligatures w14:val="standardContextual"/>
                          </w:rPr>
                          <m:t>MidPrice</m:t>
                        </m:r>
                      </m:e>
                      <m:sup>
                        <m:r>
                          <w:rPr>
                            <w:rFonts w:ascii="Cambria Math" w:eastAsia="SimSun" w:hAnsi="Cambria Math" w:cs="Times New Roman"/>
                            <w:kern w:val="2"/>
                            <w14:ligatures w14:val="standardContextual"/>
                          </w:rPr>
                          <m:t>CurveExponent</m:t>
                        </m:r>
                      </m:sup>
                    </m:sSup>
                    <m:r>
                      <w:rPr>
                        <w:rFonts w:ascii="Cambria Math" w:eastAsia="SimSun" w:hAnsi="Cambria Math" w:cs="Times New Roman"/>
                        <w:kern w:val="2"/>
                        <w14:ligatures w14:val="standardContextual"/>
                      </w:rPr>
                      <m:t>+</m:t>
                    </m:r>
                    <m:sSup>
                      <m:sSupPr>
                        <m:ctrlPr>
                          <w:rPr>
                            <w:rFonts w:ascii="Cambria Math" w:eastAsia="SimSun" w:hAnsi="Cambria Math" w:cs="Times New Roman"/>
                            <w:i/>
                            <w:kern w:val="2"/>
                            <w14:ligatures w14:val="standardContextual"/>
                          </w:rPr>
                        </m:ctrlPr>
                      </m:sSupPr>
                      <m:e>
                        <m:r>
                          <w:rPr>
                            <w:rFonts w:ascii="Cambria Math" w:eastAsia="SimSun" w:hAnsi="Cambria Math" w:cs="Times New Roman"/>
                            <w:kern w:val="2"/>
                            <w14:ligatures w14:val="standardContextual"/>
                          </w:rPr>
                          <m:t>P</m:t>
                        </m:r>
                      </m:e>
                      <m:sup>
                        <m:r>
                          <w:rPr>
                            <w:rFonts w:ascii="Cambria Math" w:eastAsia="SimSun" w:hAnsi="Cambria Math" w:cs="Times New Roman"/>
                            <w:kern w:val="2"/>
                            <w14:ligatures w14:val="standardContextual"/>
                          </w:rPr>
                          <m:t>CurveExponent</m:t>
                        </m:r>
                      </m:sup>
                    </m:sSup>
                    <m:r>
                      <w:rPr>
                        <w:rFonts w:ascii="Cambria Math" w:eastAsia="SimSun" w:hAnsi="Cambria Math" w:cs="Times New Roman"/>
                        <w:kern w:val="2"/>
                        <w14:ligatures w14:val="standardContextual"/>
                      </w:rPr>
                      <m:t>)</m:t>
                    </m:r>
                  </m:den>
                </m:f>
              </m:oMath>
            </m:oMathPara>
          </w:p>
        </w:tc>
        <w:tc>
          <w:tcPr>
            <w:tcW w:w="1818" w:type="dxa"/>
          </w:tcPr>
          <w:p w14:paraId="49E39AB5" w14:textId="33B9BAC5" w:rsidR="00D92895" w:rsidRPr="00EE41C6" w:rsidRDefault="00D92895" w:rsidP="00D92895">
            <w:pPr>
              <w:spacing w:after="160" w:line="480" w:lineRule="auto"/>
              <w:jc w:val="right"/>
              <w:rPr>
                <w:rFonts w:ascii="Times New Roman" w:eastAsia="SimSun" w:hAnsi="Times New Roman" w:cs="Times New Roman"/>
                <w:kern w:val="2"/>
                <w14:ligatures w14:val="standardContextual"/>
              </w:rPr>
            </w:pPr>
            <w:r w:rsidRPr="00EE41C6">
              <w:rPr>
                <w:rFonts w:ascii="Times New Roman" w:eastAsia="SimSun" w:hAnsi="Times New Roman" w:cs="Times New Roman"/>
                <w:kern w:val="2"/>
                <w14:ligatures w14:val="standardContextual"/>
              </w:rPr>
              <w:t>(</w:t>
            </w:r>
            <w:r w:rsidR="00707CFD" w:rsidRPr="00EE41C6">
              <w:rPr>
                <w:rFonts w:ascii="Times New Roman" w:eastAsia="SimSun" w:hAnsi="Times New Roman" w:cs="Times New Roman"/>
                <w:kern w:val="2"/>
                <w14:ligatures w14:val="standardContextual"/>
              </w:rPr>
              <w:t>14</w:t>
            </w:r>
            <w:r w:rsidRPr="00EE41C6">
              <w:rPr>
                <w:rFonts w:ascii="Times New Roman" w:eastAsia="SimSun" w:hAnsi="Times New Roman" w:cs="Times New Roman"/>
                <w:kern w:val="2"/>
                <w14:ligatures w14:val="standardContextual"/>
              </w:rPr>
              <w:t>)</w:t>
            </w:r>
          </w:p>
        </w:tc>
      </w:tr>
    </w:tbl>
    <w:p w14:paraId="3A16B196" w14:textId="13A791D3" w:rsidR="009D269F" w:rsidRPr="00EE41C6" w:rsidRDefault="00D92895" w:rsidP="00D92895">
      <w:pPr>
        <w:spacing w:after="200" w:line="480" w:lineRule="auto"/>
        <w:rPr>
          <w:rFonts w:ascii="Times New Roman" w:eastAsia="SimSun" w:hAnsi="Times New Roman" w:cs="Times New Roman"/>
          <w:kern w:val="0"/>
          <w14:ligatures w14:val="none"/>
        </w:rPr>
      </w:pPr>
      <w:r w:rsidRPr="00EE41C6">
        <w:rPr>
          <w:rFonts w:ascii="Times New Roman" w:eastAsia="SimSun" w:hAnsi="Times New Roman" w:cs="Times New Roman"/>
          <w:kern w:val="0"/>
          <w14:ligatures w14:val="none"/>
        </w:rPr>
        <w:t xml:space="preserve">where </w:t>
      </w:r>
      <m:oMath>
        <m:r>
          <w:rPr>
            <w:rFonts w:ascii="Cambria Math" w:eastAsia="SimSun" w:hAnsi="Cambria Math" w:cs="Times New Roman"/>
            <w:kern w:val="0"/>
            <w14:ligatures w14:val="none"/>
          </w:rPr>
          <m:t>Q</m:t>
        </m:r>
      </m:oMath>
      <w:r w:rsidRPr="00EE41C6">
        <w:rPr>
          <w:rFonts w:ascii="Times New Roman" w:eastAsia="SimSun" w:hAnsi="Times New Roman" w:cs="Times New Roman"/>
          <w:kern w:val="0"/>
          <w14:ligatures w14:val="none"/>
        </w:rPr>
        <w:t xml:space="preserve"> refers to the quantity of electricity produced, </w:t>
      </w:r>
      <m:oMath>
        <m:r>
          <w:rPr>
            <w:rFonts w:ascii="Cambria Math" w:eastAsia="SimSun" w:hAnsi="Cambria Math" w:cs="Times New Roman"/>
            <w:kern w:val="0"/>
            <w14:ligatures w14:val="none"/>
          </w:rPr>
          <m:t>P</m:t>
        </m:r>
      </m:oMath>
      <w:r w:rsidRPr="00EE41C6">
        <w:rPr>
          <w:rFonts w:ascii="Times New Roman" w:eastAsia="SimSun" w:hAnsi="Times New Roman" w:cs="Times New Roman"/>
          <w:kern w:val="0"/>
          <w14:ligatures w14:val="none"/>
        </w:rPr>
        <w:t xml:space="preserve"> is the price, and the remaining parameters are exogenous, with the names in the </w:t>
      </w:r>
      <w:r w:rsidR="000A0851" w:rsidRPr="00EE41C6">
        <w:rPr>
          <w:rFonts w:ascii="Times New Roman" w:eastAsia="SimSun" w:hAnsi="Times New Roman" w:cs="Times New Roman"/>
          <w:kern w:val="0"/>
          <w14:ligatures w14:val="none"/>
        </w:rPr>
        <w:t>Extensible Markup Language (</w:t>
      </w:r>
      <w:r w:rsidRPr="00EE41C6">
        <w:rPr>
          <w:rFonts w:ascii="Times New Roman" w:eastAsia="SimSun" w:hAnsi="Times New Roman" w:cs="Times New Roman"/>
          <w:kern w:val="0"/>
          <w14:ligatures w14:val="none"/>
        </w:rPr>
        <w:t>XML</w:t>
      </w:r>
      <w:r w:rsidR="000A0851" w:rsidRPr="00EE41C6">
        <w:rPr>
          <w:rFonts w:ascii="Times New Roman" w:eastAsia="SimSun" w:hAnsi="Times New Roman" w:cs="Times New Roman"/>
          <w:kern w:val="0"/>
          <w14:ligatures w14:val="none"/>
        </w:rPr>
        <w:t>)</w:t>
      </w:r>
      <w:r w:rsidRPr="00EE41C6">
        <w:rPr>
          <w:rFonts w:ascii="Times New Roman" w:eastAsia="SimSun" w:hAnsi="Times New Roman" w:cs="Times New Roman"/>
          <w:kern w:val="0"/>
          <w14:ligatures w14:val="none"/>
        </w:rPr>
        <w:t xml:space="preserve"> input files corresponding to the names in the equation above. </w:t>
      </w:r>
      <m:oMath>
        <m:r>
          <w:rPr>
            <w:rFonts w:ascii="Cambria Math" w:eastAsia="SimSun" w:hAnsi="Cambria Math" w:cs="Times New Roman"/>
            <w:kern w:val="0"/>
            <w14:ligatures w14:val="none"/>
          </w:rPr>
          <m:t>maxSubResource</m:t>
        </m:r>
      </m:oMath>
      <w:r w:rsidRPr="00EE41C6">
        <w:rPr>
          <w:rFonts w:ascii="Times New Roman" w:eastAsia="SimSun" w:hAnsi="Times New Roman" w:cs="Times New Roman"/>
          <w:kern w:val="0"/>
          <w14:ligatures w14:val="none"/>
        </w:rPr>
        <w:t xml:space="preserve"> indicates the maximum quantity of renewable energy that can be produced at any price, </w:t>
      </w:r>
      <m:oMath>
        <m:r>
          <w:rPr>
            <w:rFonts w:ascii="Cambria Math" w:eastAsia="SimSun" w:hAnsi="Cambria Math" w:cs="Times New Roman"/>
            <w:kern w:val="0"/>
            <w14:ligatures w14:val="none"/>
          </w:rPr>
          <m:t>CurveExponent</m:t>
        </m:r>
      </m:oMath>
      <w:r w:rsidRPr="00EE41C6">
        <w:rPr>
          <w:rFonts w:ascii="Times New Roman" w:eastAsia="SimSun" w:hAnsi="Times New Roman" w:cs="Times New Roman"/>
          <w:kern w:val="0"/>
          <w14:ligatures w14:val="none"/>
        </w:rPr>
        <w:t xml:space="preserve"> is a shape parameter, and </w:t>
      </w:r>
      <m:oMath>
        <m:r>
          <w:rPr>
            <w:rFonts w:ascii="Cambria Math" w:eastAsia="SimSun" w:hAnsi="Cambria Math" w:cs="Times New Roman"/>
            <w:kern w:val="0"/>
            <w14:ligatures w14:val="none"/>
          </w:rPr>
          <m:t>MidPrice</m:t>
        </m:r>
      </m:oMath>
      <w:r w:rsidRPr="00EE41C6">
        <w:rPr>
          <w:rFonts w:ascii="Times New Roman" w:eastAsia="SimSun" w:hAnsi="Times New Roman" w:cs="Times New Roman"/>
          <w:kern w:val="0"/>
          <w14:ligatures w14:val="none"/>
        </w:rPr>
        <w:t xml:space="preserve"> indicates the price at which 50% of the maximum available resource is produced.</w:t>
      </w:r>
    </w:p>
    <w:p w14:paraId="63D687D0" w14:textId="77777777" w:rsidR="00611BEE" w:rsidRPr="00EE41C6" w:rsidRDefault="00611BEE" w:rsidP="00D92895">
      <w:pPr>
        <w:spacing w:after="200" w:line="480" w:lineRule="auto"/>
        <w:rPr>
          <w:rFonts w:ascii="Times New Roman" w:eastAsia="SimSun" w:hAnsi="Times New Roman" w:cs="Times New Roman"/>
          <w:kern w:val="0"/>
          <w14:ligatures w14:val="none"/>
        </w:rPr>
      </w:pPr>
    </w:p>
    <w:p w14:paraId="0385537A" w14:textId="77777777" w:rsidR="00611BEE" w:rsidRPr="00EE41C6" w:rsidRDefault="00611BEE" w:rsidP="00D92895">
      <w:pPr>
        <w:spacing w:after="200" w:line="480" w:lineRule="auto"/>
        <w:rPr>
          <w:rFonts w:ascii="Times New Roman" w:eastAsia="SimSun" w:hAnsi="Times New Roman" w:cs="Times New Roman"/>
          <w:kern w:val="0"/>
          <w14:ligatures w14:val="none"/>
        </w:rPr>
      </w:pPr>
    </w:p>
    <w:p w14:paraId="77D835AC" w14:textId="77777777" w:rsidR="00611BEE" w:rsidRPr="00EE41C6" w:rsidRDefault="00611BEE" w:rsidP="00D92895">
      <w:pPr>
        <w:spacing w:after="200" w:line="480" w:lineRule="auto"/>
        <w:rPr>
          <w:rFonts w:ascii="Times New Roman" w:eastAsia="SimSun" w:hAnsi="Times New Roman" w:cs="Times New Roman"/>
          <w:kern w:val="0"/>
          <w14:ligatures w14:val="none"/>
        </w:rPr>
      </w:pPr>
    </w:p>
    <w:p w14:paraId="5A0F3063" w14:textId="1F03BC6D" w:rsidR="002660EC" w:rsidRPr="00EE41C6" w:rsidRDefault="00D257D6" w:rsidP="009D269F">
      <w:pPr>
        <w:pStyle w:val="Heading1"/>
        <w:rPr>
          <w:rFonts w:ascii="Times New Roman" w:hAnsi="Times New Roman" w:cs="Times New Roman"/>
        </w:rPr>
      </w:pPr>
      <w:bookmarkStart w:id="61" w:name="_Toc157938566"/>
      <w:bookmarkStart w:id="62" w:name="_Toc176517765"/>
      <w:r w:rsidRPr="00EE41C6">
        <w:rPr>
          <w:rFonts w:ascii="Times New Roman" w:hAnsi="Times New Roman" w:cs="Times New Roman"/>
        </w:rPr>
        <w:lastRenderedPageBreak/>
        <w:t xml:space="preserve">Supplementary </w:t>
      </w:r>
      <w:r w:rsidR="002660EC" w:rsidRPr="00EE41C6">
        <w:rPr>
          <w:rFonts w:ascii="Times New Roman" w:hAnsi="Times New Roman" w:cs="Times New Roman"/>
        </w:rPr>
        <w:t>References</w:t>
      </w:r>
      <w:bookmarkEnd w:id="61"/>
      <w:bookmarkEnd w:id="62"/>
    </w:p>
    <w:p w14:paraId="6905F0E2" w14:textId="77777777" w:rsidR="00775767" w:rsidRPr="00EE41C6" w:rsidRDefault="00775767" w:rsidP="00775767"/>
    <w:p w14:paraId="795A7D05" w14:textId="77777777" w:rsidR="00611BEE" w:rsidRPr="00EE41C6" w:rsidRDefault="002660EC" w:rsidP="00611BEE">
      <w:pPr>
        <w:pStyle w:val="Bibliography"/>
      </w:pPr>
      <w:r w:rsidRPr="00EE41C6">
        <w:fldChar w:fldCharType="begin"/>
      </w:r>
      <w:r w:rsidR="00611BEE" w:rsidRPr="00EE41C6">
        <w:instrText xml:space="preserve"> ADDIN ZOTERO_BIBL {"uncited":[],"omitted":[],"custom":[]} CSL_BIBLIOGRAPHY </w:instrText>
      </w:r>
      <w:r w:rsidRPr="00EE41C6">
        <w:fldChar w:fldCharType="separate"/>
      </w:r>
      <w:r w:rsidR="00611BEE" w:rsidRPr="00EE41C6">
        <w:t>1.</w:t>
      </w:r>
      <w:r w:rsidR="00611BEE" w:rsidRPr="00EE41C6">
        <w:tab/>
        <w:t xml:space="preserve">Ampah, J. D. </w:t>
      </w:r>
      <w:r w:rsidR="00611BEE" w:rsidRPr="00EE41C6">
        <w:rPr>
          <w:i/>
          <w:iCs/>
        </w:rPr>
        <w:t>et al.</w:t>
      </w:r>
      <w:r w:rsidR="00611BEE" w:rsidRPr="00EE41C6">
        <w:t xml:space="preserve"> Prioritizing Non-Carbon Dioxide Removal Mitigation Strategies Could Reduce the Negative Impacts Associated with Large-Scale Reliance on Negative Emissions. </w:t>
      </w:r>
      <w:r w:rsidR="00611BEE" w:rsidRPr="00EE41C6">
        <w:rPr>
          <w:i/>
          <w:iCs/>
        </w:rPr>
        <w:t>Environ. Sci. Technol.</w:t>
      </w:r>
      <w:r w:rsidR="00611BEE" w:rsidRPr="00EE41C6">
        <w:t xml:space="preserve"> (2024) doi:10.1021/acs.est.3c06866.</w:t>
      </w:r>
    </w:p>
    <w:p w14:paraId="1F7B1145" w14:textId="77777777" w:rsidR="00611BEE" w:rsidRPr="00EE41C6" w:rsidRDefault="00611BEE" w:rsidP="00611BEE">
      <w:pPr>
        <w:pStyle w:val="Bibliography"/>
      </w:pPr>
      <w:r w:rsidRPr="00EE41C6">
        <w:t>2.</w:t>
      </w:r>
      <w:r w:rsidRPr="00EE41C6">
        <w:tab/>
        <w:t xml:space="preserve">Liu, H. </w:t>
      </w:r>
      <w:r w:rsidRPr="00EE41C6">
        <w:rPr>
          <w:i/>
          <w:iCs/>
        </w:rPr>
        <w:t>et al.</w:t>
      </w:r>
      <w:r w:rsidRPr="00EE41C6">
        <w:t xml:space="preserve"> Deployment of hydrogen in hard-to-abate transport sectors under limited carbon dioxide removal (CDR): Implications on global energy-land-water system. </w:t>
      </w:r>
      <w:r w:rsidRPr="00EE41C6">
        <w:rPr>
          <w:i/>
          <w:iCs/>
        </w:rPr>
        <w:t>Renew. Sustain. Energy Rev.</w:t>
      </w:r>
      <w:r w:rsidRPr="00EE41C6">
        <w:t xml:space="preserve"> </w:t>
      </w:r>
      <w:r w:rsidRPr="00EE41C6">
        <w:rPr>
          <w:b/>
          <w:bCs/>
        </w:rPr>
        <w:t>184</w:t>
      </w:r>
      <w:r w:rsidRPr="00EE41C6">
        <w:t>, 113578 (2023).</w:t>
      </w:r>
    </w:p>
    <w:p w14:paraId="4F523FA2" w14:textId="77777777" w:rsidR="00611BEE" w:rsidRPr="00EE41C6" w:rsidRDefault="00611BEE" w:rsidP="00611BEE">
      <w:pPr>
        <w:pStyle w:val="Bibliography"/>
      </w:pPr>
      <w:r w:rsidRPr="00EE41C6">
        <w:t>3.</w:t>
      </w:r>
      <w:r w:rsidRPr="00EE41C6">
        <w:tab/>
        <w:t xml:space="preserve">Fyson, C. L., Baur, S., Gidden, M. &amp; Schleussner, C.-F. Fair-share carbon dioxide removal increases major emitter responsibility. </w:t>
      </w:r>
      <w:r w:rsidRPr="00EE41C6">
        <w:rPr>
          <w:i/>
          <w:iCs/>
        </w:rPr>
        <w:t>Nat. Clim. Change</w:t>
      </w:r>
      <w:r w:rsidRPr="00EE41C6">
        <w:t xml:space="preserve"> </w:t>
      </w:r>
      <w:r w:rsidRPr="00EE41C6">
        <w:rPr>
          <w:b/>
          <w:bCs/>
        </w:rPr>
        <w:t>10</w:t>
      </w:r>
      <w:r w:rsidRPr="00EE41C6">
        <w:t>, 836–841 (2020).</w:t>
      </w:r>
    </w:p>
    <w:p w14:paraId="21601334" w14:textId="77777777" w:rsidR="00611BEE" w:rsidRPr="00EE41C6" w:rsidRDefault="00611BEE" w:rsidP="00611BEE">
      <w:pPr>
        <w:pStyle w:val="Bibliography"/>
      </w:pPr>
      <w:r w:rsidRPr="00EE41C6">
        <w:t>4.</w:t>
      </w:r>
      <w:r w:rsidRPr="00EE41C6">
        <w:tab/>
        <w:t xml:space="preserve">Fuss, S. </w:t>
      </w:r>
      <w:r w:rsidRPr="00EE41C6">
        <w:rPr>
          <w:i/>
          <w:iCs/>
        </w:rPr>
        <w:t>et al.</w:t>
      </w:r>
      <w:r w:rsidRPr="00EE41C6">
        <w:t xml:space="preserve"> Negative emissions—Part 2: Costs, potentials and side effects. </w:t>
      </w:r>
      <w:r w:rsidRPr="00EE41C6">
        <w:rPr>
          <w:i/>
          <w:iCs/>
        </w:rPr>
        <w:t>Environ. Res. Lett.</w:t>
      </w:r>
      <w:r w:rsidRPr="00EE41C6">
        <w:t xml:space="preserve"> </w:t>
      </w:r>
      <w:r w:rsidRPr="00EE41C6">
        <w:rPr>
          <w:b/>
          <w:bCs/>
        </w:rPr>
        <w:t>13</w:t>
      </w:r>
      <w:r w:rsidRPr="00EE41C6">
        <w:t>, 063002 (2018).</w:t>
      </w:r>
    </w:p>
    <w:p w14:paraId="7DCD7433" w14:textId="77777777" w:rsidR="00611BEE" w:rsidRPr="00EE41C6" w:rsidRDefault="00611BEE" w:rsidP="00611BEE">
      <w:pPr>
        <w:pStyle w:val="Bibliography"/>
      </w:pPr>
      <w:r w:rsidRPr="00EE41C6">
        <w:t>5.</w:t>
      </w:r>
      <w:r w:rsidRPr="00EE41C6">
        <w:tab/>
        <w:t xml:space="preserve">Fuss, S. </w:t>
      </w:r>
      <w:r w:rsidRPr="00EE41C6">
        <w:rPr>
          <w:i/>
          <w:iCs/>
        </w:rPr>
        <w:t>et al.</w:t>
      </w:r>
      <w:r w:rsidRPr="00EE41C6">
        <w:t xml:space="preserve"> Betting on negative emissions. </w:t>
      </w:r>
      <w:r w:rsidRPr="00EE41C6">
        <w:rPr>
          <w:i/>
          <w:iCs/>
        </w:rPr>
        <w:t>Nat. Clim. Change</w:t>
      </w:r>
      <w:r w:rsidRPr="00EE41C6">
        <w:t xml:space="preserve"> </w:t>
      </w:r>
      <w:r w:rsidRPr="00EE41C6">
        <w:rPr>
          <w:b/>
          <w:bCs/>
        </w:rPr>
        <w:t>4</w:t>
      </w:r>
      <w:r w:rsidRPr="00EE41C6">
        <w:t>, 850–853 (2014).</w:t>
      </w:r>
    </w:p>
    <w:p w14:paraId="4DEFBF37" w14:textId="77777777" w:rsidR="00611BEE" w:rsidRPr="00EE41C6" w:rsidRDefault="00611BEE" w:rsidP="00611BEE">
      <w:pPr>
        <w:pStyle w:val="Bibliography"/>
      </w:pPr>
      <w:r w:rsidRPr="00EE41C6">
        <w:t>6.</w:t>
      </w:r>
      <w:r w:rsidRPr="00EE41C6">
        <w:tab/>
        <w:t xml:space="preserve">Bednar, J., Obersteiner, M. &amp; Wagner, F. On the financial viability of negative emissions. </w:t>
      </w:r>
      <w:r w:rsidRPr="00EE41C6">
        <w:rPr>
          <w:i/>
          <w:iCs/>
        </w:rPr>
        <w:t>Nat. Commun.</w:t>
      </w:r>
      <w:r w:rsidRPr="00EE41C6">
        <w:t xml:space="preserve"> </w:t>
      </w:r>
      <w:r w:rsidRPr="00EE41C6">
        <w:rPr>
          <w:b/>
          <w:bCs/>
        </w:rPr>
        <w:t>10</w:t>
      </w:r>
      <w:r w:rsidRPr="00EE41C6">
        <w:t>, 1783 (2019).</w:t>
      </w:r>
    </w:p>
    <w:p w14:paraId="01877009" w14:textId="77777777" w:rsidR="00611BEE" w:rsidRPr="00EE41C6" w:rsidRDefault="00611BEE" w:rsidP="00611BEE">
      <w:pPr>
        <w:pStyle w:val="Bibliography"/>
      </w:pPr>
      <w:r w:rsidRPr="00EE41C6">
        <w:t>7.</w:t>
      </w:r>
      <w:r w:rsidRPr="00EE41C6">
        <w:tab/>
        <w:t xml:space="preserve">Minx, J. C. </w:t>
      </w:r>
      <w:r w:rsidRPr="00EE41C6">
        <w:rPr>
          <w:i/>
          <w:iCs/>
        </w:rPr>
        <w:t>et al.</w:t>
      </w:r>
      <w:r w:rsidRPr="00EE41C6">
        <w:t xml:space="preserve"> Negative emissions—Part 1: Research landscape and synthesis. </w:t>
      </w:r>
      <w:r w:rsidRPr="00EE41C6">
        <w:rPr>
          <w:i/>
          <w:iCs/>
        </w:rPr>
        <w:t>Environ. Res. Lett.</w:t>
      </w:r>
      <w:r w:rsidRPr="00EE41C6">
        <w:t xml:space="preserve"> </w:t>
      </w:r>
      <w:r w:rsidRPr="00EE41C6">
        <w:rPr>
          <w:b/>
          <w:bCs/>
        </w:rPr>
        <w:t>13</w:t>
      </w:r>
      <w:r w:rsidRPr="00EE41C6">
        <w:t>, 063001 (2018).</w:t>
      </w:r>
    </w:p>
    <w:p w14:paraId="43E1AE95" w14:textId="77777777" w:rsidR="00611BEE" w:rsidRPr="00EE41C6" w:rsidRDefault="00611BEE" w:rsidP="00611BEE">
      <w:pPr>
        <w:pStyle w:val="Bibliography"/>
      </w:pPr>
      <w:r w:rsidRPr="00EE41C6">
        <w:t>8.</w:t>
      </w:r>
      <w:r w:rsidRPr="00EE41C6">
        <w:tab/>
        <w:t xml:space="preserve">Strefler, J. </w:t>
      </w:r>
      <w:r w:rsidRPr="00EE41C6">
        <w:rPr>
          <w:i/>
          <w:iCs/>
        </w:rPr>
        <w:t>et al.</w:t>
      </w:r>
      <w:r w:rsidRPr="00EE41C6">
        <w:t xml:space="preserve"> Carbon dioxide removal technologies are not born equal. </w:t>
      </w:r>
      <w:r w:rsidRPr="00EE41C6">
        <w:rPr>
          <w:i/>
          <w:iCs/>
        </w:rPr>
        <w:t>Environ. Res. Lett.</w:t>
      </w:r>
      <w:r w:rsidRPr="00EE41C6">
        <w:t xml:space="preserve"> </w:t>
      </w:r>
      <w:r w:rsidRPr="00EE41C6">
        <w:rPr>
          <w:b/>
          <w:bCs/>
        </w:rPr>
        <w:t>16</w:t>
      </w:r>
      <w:r w:rsidRPr="00EE41C6">
        <w:t>, 074021 (2021).</w:t>
      </w:r>
    </w:p>
    <w:p w14:paraId="43F37581" w14:textId="77777777" w:rsidR="00611BEE" w:rsidRPr="00EE41C6" w:rsidRDefault="00611BEE" w:rsidP="00611BEE">
      <w:pPr>
        <w:pStyle w:val="Bibliography"/>
      </w:pPr>
      <w:r w:rsidRPr="00EE41C6">
        <w:t>9.</w:t>
      </w:r>
      <w:r w:rsidRPr="00EE41C6">
        <w:tab/>
        <w:t xml:space="preserve">Luderer, G. </w:t>
      </w:r>
      <w:r w:rsidRPr="00EE41C6">
        <w:rPr>
          <w:i/>
          <w:iCs/>
        </w:rPr>
        <w:t>et al.</w:t>
      </w:r>
      <w:r w:rsidRPr="00EE41C6">
        <w:t xml:space="preserve"> Impact of declining renewable energy costs on electrification in low-emission scenarios. </w:t>
      </w:r>
      <w:r w:rsidRPr="00EE41C6">
        <w:rPr>
          <w:i/>
          <w:iCs/>
        </w:rPr>
        <w:t>Nat. Energy</w:t>
      </w:r>
      <w:r w:rsidRPr="00EE41C6">
        <w:t xml:space="preserve"> </w:t>
      </w:r>
      <w:r w:rsidRPr="00EE41C6">
        <w:rPr>
          <w:b/>
          <w:bCs/>
        </w:rPr>
        <w:t>7</w:t>
      </w:r>
      <w:r w:rsidRPr="00EE41C6">
        <w:t>, 32–42 (2022).</w:t>
      </w:r>
    </w:p>
    <w:p w14:paraId="6DEF9FF7" w14:textId="77777777" w:rsidR="00611BEE" w:rsidRPr="00EE41C6" w:rsidRDefault="00611BEE" w:rsidP="00611BEE">
      <w:pPr>
        <w:pStyle w:val="Bibliography"/>
      </w:pPr>
      <w:r w:rsidRPr="00EE41C6">
        <w:t>10.</w:t>
      </w:r>
      <w:r w:rsidRPr="00EE41C6">
        <w:tab/>
        <w:t xml:space="preserve">Wood, T., Reeve, A. &amp; Ha, J. Towards net zero: Practical policies to reduce industrial emissions. </w:t>
      </w:r>
      <w:r w:rsidRPr="00EE41C6">
        <w:rPr>
          <w:i/>
          <w:iCs/>
        </w:rPr>
        <w:t>Grathan Inst.</w:t>
      </w:r>
      <w:r w:rsidRPr="00EE41C6">
        <w:t xml:space="preserve"> (2021).</w:t>
      </w:r>
    </w:p>
    <w:p w14:paraId="1CD8B939" w14:textId="77777777" w:rsidR="00611BEE" w:rsidRPr="00EE41C6" w:rsidRDefault="00611BEE" w:rsidP="00611BEE">
      <w:pPr>
        <w:pStyle w:val="Bibliography"/>
      </w:pPr>
      <w:r w:rsidRPr="00EE41C6">
        <w:t>11.</w:t>
      </w:r>
      <w:r w:rsidRPr="00EE41C6">
        <w:tab/>
        <w:t xml:space="preserve">Bistline, J. E. T. &amp; Blanford, G. J. Impact of carbon dioxide removal technologies on deep decarbonization of the electric power sector. </w:t>
      </w:r>
      <w:r w:rsidRPr="00EE41C6">
        <w:rPr>
          <w:i/>
          <w:iCs/>
        </w:rPr>
        <w:t>Nat. Commun.</w:t>
      </w:r>
      <w:r w:rsidRPr="00EE41C6">
        <w:t xml:space="preserve"> </w:t>
      </w:r>
      <w:r w:rsidRPr="00EE41C6">
        <w:rPr>
          <w:b/>
          <w:bCs/>
        </w:rPr>
        <w:t>12</w:t>
      </w:r>
      <w:r w:rsidRPr="00EE41C6">
        <w:t>, 3732 (2021).</w:t>
      </w:r>
    </w:p>
    <w:p w14:paraId="4146882A" w14:textId="77777777" w:rsidR="00611BEE" w:rsidRPr="00EE41C6" w:rsidRDefault="00611BEE" w:rsidP="00611BEE">
      <w:pPr>
        <w:pStyle w:val="Bibliography"/>
      </w:pPr>
      <w:r w:rsidRPr="00EE41C6">
        <w:lastRenderedPageBreak/>
        <w:t>12.</w:t>
      </w:r>
      <w:r w:rsidRPr="00EE41C6">
        <w:tab/>
        <w:t xml:space="preserve">Shen, L. </w:t>
      </w:r>
      <w:r w:rsidRPr="00EE41C6">
        <w:rPr>
          <w:i/>
          <w:iCs/>
        </w:rPr>
        <w:t>et al.</w:t>
      </w:r>
      <w:r w:rsidRPr="00EE41C6">
        <w:t xml:space="preserve"> National quantifications of methane emissions from fuel exploitation using high resolution inversions of satellite observations. </w:t>
      </w:r>
      <w:r w:rsidRPr="00EE41C6">
        <w:rPr>
          <w:i/>
          <w:iCs/>
        </w:rPr>
        <w:t>Nat. Commun.</w:t>
      </w:r>
      <w:r w:rsidRPr="00EE41C6">
        <w:t xml:space="preserve"> </w:t>
      </w:r>
      <w:r w:rsidRPr="00EE41C6">
        <w:rPr>
          <w:b/>
          <w:bCs/>
        </w:rPr>
        <w:t>14</w:t>
      </w:r>
      <w:r w:rsidRPr="00EE41C6">
        <w:t>, 4948 (2023).</w:t>
      </w:r>
    </w:p>
    <w:p w14:paraId="49E27F89" w14:textId="77777777" w:rsidR="00611BEE" w:rsidRPr="00EE41C6" w:rsidRDefault="00611BEE" w:rsidP="00611BEE">
      <w:pPr>
        <w:pStyle w:val="Bibliography"/>
      </w:pPr>
      <w:r w:rsidRPr="00EE41C6">
        <w:t>13.</w:t>
      </w:r>
      <w:r w:rsidRPr="00EE41C6">
        <w:tab/>
        <w:t xml:space="preserve">Feng, R. &amp; Li, Z. Current investigations on global N2O emissions and reductions: Prospect and outlook. </w:t>
      </w:r>
      <w:r w:rsidRPr="00EE41C6">
        <w:rPr>
          <w:i/>
          <w:iCs/>
        </w:rPr>
        <w:t>Environ. Pollut.</w:t>
      </w:r>
      <w:r w:rsidRPr="00EE41C6">
        <w:t xml:space="preserve"> </w:t>
      </w:r>
      <w:r w:rsidRPr="00EE41C6">
        <w:rPr>
          <w:b/>
          <w:bCs/>
        </w:rPr>
        <w:t>338</w:t>
      </w:r>
      <w:r w:rsidRPr="00EE41C6">
        <w:t>, 122664 (2023).</w:t>
      </w:r>
    </w:p>
    <w:p w14:paraId="1143812A" w14:textId="77777777" w:rsidR="00611BEE" w:rsidRPr="00EE41C6" w:rsidRDefault="00611BEE" w:rsidP="00611BEE">
      <w:pPr>
        <w:pStyle w:val="Bibliography"/>
      </w:pPr>
      <w:r w:rsidRPr="00EE41C6">
        <w:t>14.</w:t>
      </w:r>
      <w:r w:rsidRPr="00EE41C6">
        <w:tab/>
        <w:t xml:space="preserve">Fauvel, C. </w:t>
      </w:r>
      <w:r w:rsidRPr="00EE41C6">
        <w:rPr>
          <w:i/>
          <w:iCs/>
        </w:rPr>
        <w:t>et al.</w:t>
      </w:r>
      <w:r w:rsidRPr="00EE41C6">
        <w:t xml:space="preserve"> Regional implications of carbon dioxide removal in meeting net zero targets for the United States. </w:t>
      </w:r>
      <w:r w:rsidRPr="00EE41C6">
        <w:rPr>
          <w:i/>
          <w:iCs/>
        </w:rPr>
        <w:t>Environ. Res. Lett.</w:t>
      </w:r>
      <w:r w:rsidRPr="00EE41C6">
        <w:t xml:space="preserve"> </w:t>
      </w:r>
      <w:r w:rsidRPr="00EE41C6">
        <w:rPr>
          <w:b/>
          <w:bCs/>
        </w:rPr>
        <w:t>18</w:t>
      </w:r>
      <w:r w:rsidRPr="00EE41C6">
        <w:t>, 094019 (2023).</w:t>
      </w:r>
    </w:p>
    <w:p w14:paraId="65BEEC4A" w14:textId="77777777" w:rsidR="00611BEE" w:rsidRPr="00EE41C6" w:rsidRDefault="00611BEE" w:rsidP="00611BEE">
      <w:pPr>
        <w:pStyle w:val="Bibliography"/>
      </w:pPr>
      <w:r w:rsidRPr="00EE41C6">
        <w:t>15.</w:t>
      </w:r>
      <w:r w:rsidRPr="00EE41C6">
        <w:tab/>
        <w:t xml:space="preserve">Fuhrman, J. </w:t>
      </w:r>
      <w:r w:rsidRPr="00EE41C6">
        <w:rPr>
          <w:i/>
          <w:iCs/>
        </w:rPr>
        <w:t>et al.</w:t>
      </w:r>
      <w:r w:rsidRPr="00EE41C6">
        <w:t xml:space="preserve"> Diverse carbon dioxide removal approaches could reduce impacts on the energy–water–land system. </w:t>
      </w:r>
      <w:r w:rsidRPr="00EE41C6">
        <w:rPr>
          <w:i/>
          <w:iCs/>
        </w:rPr>
        <w:t>Nat. Clim. Change</w:t>
      </w:r>
      <w:r w:rsidRPr="00EE41C6">
        <w:t xml:space="preserve"> (2023) doi:10.1038/s41558-023-01604-9.</w:t>
      </w:r>
    </w:p>
    <w:p w14:paraId="687BD063" w14:textId="77777777" w:rsidR="00611BEE" w:rsidRPr="00EE41C6" w:rsidRDefault="00611BEE" w:rsidP="00611BEE">
      <w:pPr>
        <w:pStyle w:val="Bibliography"/>
      </w:pPr>
      <w:r w:rsidRPr="00EE41C6">
        <w:t>16.</w:t>
      </w:r>
      <w:r w:rsidRPr="00EE41C6">
        <w:tab/>
        <w:t xml:space="preserve">Wise, M. </w:t>
      </w:r>
      <w:r w:rsidRPr="00EE41C6">
        <w:rPr>
          <w:i/>
          <w:iCs/>
        </w:rPr>
        <w:t>et al.</w:t>
      </w:r>
      <w:r w:rsidRPr="00EE41C6">
        <w:t xml:space="preserve"> Implications of Limiting CO2 Concentrations for Land Use and Energy. </w:t>
      </w:r>
      <w:r w:rsidRPr="00EE41C6">
        <w:rPr>
          <w:i/>
          <w:iCs/>
        </w:rPr>
        <w:t>Science</w:t>
      </w:r>
      <w:r w:rsidRPr="00EE41C6">
        <w:t xml:space="preserve"> </w:t>
      </w:r>
      <w:r w:rsidRPr="00EE41C6">
        <w:rPr>
          <w:b/>
          <w:bCs/>
        </w:rPr>
        <w:t>324</w:t>
      </w:r>
      <w:r w:rsidRPr="00EE41C6">
        <w:t>, 1183–1186 (2009).</w:t>
      </w:r>
    </w:p>
    <w:p w14:paraId="70F64951" w14:textId="77777777" w:rsidR="00611BEE" w:rsidRPr="00EE41C6" w:rsidRDefault="00611BEE" w:rsidP="00611BEE">
      <w:pPr>
        <w:pStyle w:val="Bibliography"/>
      </w:pPr>
      <w:r w:rsidRPr="00EE41C6">
        <w:t>17.</w:t>
      </w:r>
      <w:r w:rsidRPr="00EE41C6">
        <w:tab/>
        <w:t xml:space="preserve">Wise, M. A., McJeon, H. C., Calvin, K. V., Clarke, L. E. &amp; Kyle, P. Assessing the Interactions among U.S. Climate Policy, Biomass Energy, and Agricultural Trade. </w:t>
      </w:r>
      <w:r w:rsidRPr="00EE41C6">
        <w:rPr>
          <w:i/>
          <w:iCs/>
        </w:rPr>
        <w:t>Energy J.</w:t>
      </w:r>
      <w:r w:rsidRPr="00EE41C6">
        <w:t xml:space="preserve"> </w:t>
      </w:r>
      <w:r w:rsidRPr="00EE41C6">
        <w:rPr>
          <w:b/>
          <w:bCs/>
        </w:rPr>
        <w:t>35</w:t>
      </w:r>
      <w:r w:rsidRPr="00EE41C6">
        <w:t>, 165–180 (2014).</w:t>
      </w:r>
    </w:p>
    <w:p w14:paraId="3367A316" w14:textId="77777777" w:rsidR="00611BEE" w:rsidRPr="00EE41C6" w:rsidRDefault="00611BEE" w:rsidP="00611BEE">
      <w:pPr>
        <w:pStyle w:val="Bibliography"/>
      </w:pPr>
      <w:r w:rsidRPr="00EE41C6">
        <w:t>18.</w:t>
      </w:r>
      <w:r w:rsidRPr="00EE41C6">
        <w:tab/>
        <w:t xml:space="preserve">Muratori, M. </w:t>
      </w:r>
      <w:r w:rsidRPr="00EE41C6">
        <w:rPr>
          <w:i/>
          <w:iCs/>
        </w:rPr>
        <w:t>et al.</w:t>
      </w:r>
      <w:r w:rsidRPr="00EE41C6">
        <w:t xml:space="preserve"> Carbon capture and storage across fuels and sectors in energy system transformation pathways. </w:t>
      </w:r>
      <w:r w:rsidRPr="00EE41C6">
        <w:rPr>
          <w:i/>
          <w:iCs/>
        </w:rPr>
        <w:t>Int. J. Greenh. Gas Control</w:t>
      </w:r>
      <w:r w:rsidRPr="00EE41C6">
        <w:t xml:space="preserve"> </w:t>
      </w:r>
      <w:r w:rsidRPr="00EE41C6">
        <w:rPr>
          <w:b/>
          <w:bCs/>
        </w:rPr>
        <w:t>57</w:t>
      </w:r>
      <w:r w:rsidRPr="00EE41C6">
        <w:t>, 34–41 (2017).</w:t>
      </w:r>
    </w:p>
    <w:p w14:paraId="29E843CF" w14:textId="77777777" w:rsidR="00611BEE" w:rsidRPr="00EE41C6" w:rsidRDefault="00611BEE" w:rsidP="00611BEE">
      <w:pPr>
        <w:pStyle w:val="Bibliography"/>
      </w:pPr>
      <w:r w:rsidRPr="00EE41C6">
        <w:t>19.</w:t>
      </w:r>
      <w:r w:rsidRPr="00EE41C6">
        <w:tab/>
        <w:t xml:space="preserve">Fasihi, M., Efimova, O. &amp; Breyer, C. Techno-economic assessment of CO2 direct air capture plants. </w:t>
      </w:r>
      <w:r w:rsidRPr="00EE41C6">
        <w:rPr>
          <w:i/>
          <w:iCs/>
        </w:rPr>
        <w:t>J. Clean. Prod.</w:t>
      </w:r>
      <w:r w:rsidRPr="00EE41C6">
        <w:t xml:space="preserve"> </w:t>
      </w:r>
      <w:r w:rsidRPr="00EE41C6">
        <w:rPr>
          <w:b/>
          <w:bCs/>
        </w:rPr>
        <w:t>224</w:t>
      </w:r>
      <w:r w:rsidRPr="00EE41C6">
        <w:t>, 957–980 (2019).</w:t>
      </w:r>
    </w:p>
    <w:p w14:paraId="4E7E143F" w14:textId="77777777" w:rsidR="00611BEE" w:rsidRPr="00EE41C6" w:rsidRDefault="00611BEE" w:rsidP="00611BEE">
      <w:pPr>
        <w:pStyle w:val="Bibliography"/>
      </w:pPr>
      <w:r w:rsidRPr="00EE41C6">
        <w:t>20.</w:t>
      </w:r>
      <w:r w:rsidRPr="00EE41C6">
        <w:tab/>
        <w:t xml:space="preserve">Shiraki, H. &amp; Sugiyama, M. Back to the basic: toward improvement of technoeconomic representation in integrated assessment models. </w:t>
      </w:r>
      <w:r w:rsidRPr="00EE41C6">
        <w:rPr>
          <w:i/>
          <w:iCs/>
        </w:rPr>
        <w:t>Clim. Change</w:t>
      </w:r>
      <w:r w:rsidRPr="00EE41C6">
        <w:t xml:space="preserve"> </w:t>
      </w:r>
      <w:r w:rsidRPr="00EE41C6">
        <w:rPr>
          <w:b/>
          <w:bCs/>
        </w:rPr>
        <w:t>162</w:t>
      </w:r>
      <w:r w:rsidRPr="00EE41C6">
        <w:t>, 13–24 (2020).</w:t>
      </w:r>
    </w:p>
    <w:p w14:paraId="55DB89A1" w14:textId="77777777" w:rsidR="00611BEE" w:rsidRPr="00EE41C6" w:rsidRDefault="00611BEE" w:rsidP="00611BEE">
      <w:pPr>
        <w:pStyle w:val="Bibliography"/>
      </w:pPr>
      <w:r w:rsidRPr="00EE41C6">
        <w:t>21.</w:t>
      </w:r>
      <w:r w:rsidRPr="00EE41C6">
        <w:tab/>
        <w:t xml:space="preserve">Breyer, C., Fasihi, M. &amp; Aghahosseini, A. Carbon dioxide direct air capture for effective climate change mitigation based on renewable electricity: a new type of energy system sector coupling. </w:t>
      </w:r>
      <w:r w:rsidRPr="00EE41C6">
        <w:rPr>
          <w:i/>
          <w:iCs/>
        </w:rPr>
        <w:t>Mitig. Adapt. Strateg. Glob. Change</w:t>
      </w:r>
      <w:r w:rsidRPr="00EE41C6">
        <w:t xml:space="preserve"> </w:t>
      </w:r>
      <w:r w:rsidRPr="00EE41C6">
        <w:rPr>
          <w:b/>
          <w:bCs/>
        </w:rPr>
        <w:t>25</w:t>
      </w:r>
      <w:r w:rsidRPr="00EE41C6">
        <w:t>, 43–65 (2020).</w:t>
      </w:r>
    </w:p>
    <w:p w14:paraId="623BD009" w14:textId="77777777" w:rsidR="00611BEE" w:rsidRPr="00EE41C6" w:rsidRDefault="00611BEE" w:rsidP="00611BEE">
      <w:pPr>
        <w:pStyle w:val="Bibliography"/>
      </w:pPr>
      <w:r w:rsidRPr="00EE41C6">
        <w:t>22.</w:t>
      </w:r>
      <w:r w:rsidRPr="00EE41C6">
        <w:tab/>
        <w:t xml:space="preserve">Goddéris, Y. </w:t>
      </w:r>
      <w:r w:rsidRPr="00EE41C6">
        <w:rPr>
          <w:i/>
          <w:iCs/>
        </w:rPr>
        <w:t>et al.</w:t>
      </w:r>
      <w:r w:rsidRPr="00EE41C6">
        <w:t xml:space="preserve"> Onset and ending of the late Palaeozoic ice age triggered by tectonically paced rock weathering. </w:t>
      </w:r>
      <w:r w:rsidRPr="00EE41C6">
        <w:rPr>
          <w:i/>
          <w:iCs/>
        </w:rPr>
        <w:t>Nat. Geosci.</w:t>
      </w:r>
      <w:r w:rsidRPr="00EE41C6">
        <w:t xml:space="preserve"> </w:t>
      </w:r>
      <w:r w:rsidRPr="00EE41C6">
        <w:rPr>
          <w:b/>
          <w:bCs/>
        </w:rPr>
        <w:t>10</w:t>
      </w:r>
      <w:r w:rsidRPr="00EE41C6">
        <w:t>, 382–386 (2017).</w:t>
      </w:r>
    </w:p>
    <w:p w14:paraId="2BA8CE59" w14:textId="77777777" w:rsidR="00611BEE" w:rsidRPr="00EE41C6" w:rsidRDefault="00611BEE" w:rsidP="00611BEE">
      <w:pPr>
        <w:pStyle w:val="Bibliography"/>
      </w:pPr>
      <w:r w:rsidRPr="00EE41C6">
        <w:lastRenderedPageBreak/>
        <w:t>23.</w:t>
      </w:r>
      <w:r w:rsidRPr="00EE41C6">
        <w:tab/>
        <w:t xml:space="preserve">Walker, J. C. G., Hays, P. B. &amp; Kasting, J. F. A negative feedback mechanism for the long-term stabilization of Earth’s surface temperature. </w:t>
      </w:r>
      <w:r w:rsidRPr="00EE41C6">
        <w:rPr>
          <w:i/>
          <w:iCs/>
        </w:rPr>
        <w:t>J. Geophys. Res. Oceans</w:t>
      </w:r>
      <w:r w:rsidRPr="00EE41C6">
        <w:t xml:space="preserve"> </w:t>
      </w:r>
      <w:r w:rsidRPr="00EE41C6">
        <w:rPr>
          <w:b/>
          <w:bCs/>
        </w:rPr>
        <w:t>86</w:t>
      </w:r>
      <w:r w:rsidRPr="00EE41C6">
        <w:t>, 9776–9782 (1981).</w:t>
      </w:r>
    </w:p>
    <w:p w14:paraId="06010773" w14:textId="77777777" w:rsidR="00611BEE" w:rsidRPr="00EE41C6" w:rsidRDefault="00611BEE" w:rsidP="00611BEE">
      <w:pPr>
        <w:pStyle w:val="Bibliography"/>
      </w:pPr>
      <w:r w:rsidRPr="00EE41C6">
        <w:t>24.</w:t>
      </w:r>
      <w:r w:rsidRPr="00EE41C6">
        <w:tab/>
        <w:t xml:space="preserve">Schuiling, R. D. &amp; Krijgsman, P. Enhanced Weathering: An Effective and Cheap Tool to Sequester Co2. </w:t>
      </w:r>
      <w:r w:rsidRPr="00EE41C6">
        <w:rPr>
          <w:i/>
          <w:iCs/>
        </w:rPr>
        <w:t>Clim. Change</w:t>
      </w:r>
      <w:r w:rsidRPr="00EE41C6">
        <w:t xml:space="preserve"> </w:t>
      </w:r>
      <w:r w:rsidRPr="00EE41C6">
        <w:rPr>
          <w:b/>
          <w:bCs/>
        </w:rPr>
        <w:t>74</w:t>
      </w:r>
      <w:r w:rsidRPr="00EE41C6">
        <w:t>, 349–354 (2006).</w:t>
      </w:r>
    </w:p>
    <w:p w14:paraId="70877574" w14:textId="77777777" w:rsidR="00611BEE" w:rsidRPr="00EE41C6" w:rsidRDefault="00611BEE" w:rsidP="00611BEE">
      <w:pPr>
        <w:pStyle w:val="Bibliography"/>
      </w:pPr>
      <w:r w:rsidRPr="00EE41C6">
        <w:t>25.</w:t>
      </w:r>
      <w:r w:rsidRPr="00EE41C6">
        <w:tab/>
        <w:t xml:space="preserve">Renforth, P. The negative emission potential of alkaline materials. </w:t>
      </w:r>
      <w:r w:rsidRPr="00EE41C6">
        <w:rPr>
          <w:i/>
          <w:iCs/>
        </w:rPr>
        <w:t>Nat. Commun.</w:t>
      </w:r>
      <w:r w:rsidRPr="00EE41C6">
        <w:t xml:space="preserve"> </w:t>
      </w:r>
      <w:r w:rsidRPr="00EE41C6">
        <w:rPr>
          <w:b/>
          <w:bCs/>
        </w:rPr>
        <w:t>10</w:t>
      </w:r>
      <w:r w:rsidRPr="00EE41C6">
        <w:t>, 1401 (2019).</w:t>
      </w:r>
    </w:p>
    <w:p w14:paraId="17B1E991" w14:textId="77777777" w:rsidR="00611BEE" w:rsidRPr="00EE41C6" w:rsidRDefault="00611BEE" w:rsidP="00611BEE">
      <w:pPr>
        <w:pStyle w:val="Bibliography"/>
      </w:pPr>
      <w:r w:rsidRPr="00EE41C6">
        <w:t>26.</w:t>
      </w:r>
      <w:r w:rsidRPr="00EE41C6">
        <w:tab/>
        <w:t xml:space="preserve">Beerling, D. J. </w:t>
      </w:r>
      <w:r w:rsidRPr="00EE41C6">
        <w:rPr>
          <w:i/>
          <w:iCs/>
        </w:rPr>
        <w:t>et al.</w:t>
      </w:r>
      <w:r w:rsidRPr="00EE41C6">
        <w:t xml:space="preserve"> Potential for large-scale CO2 removal via enhanced rock weathering with croplands. </w:t>
      </w:r>
      <w:r w:rsidRPr="00EE41C6">
        <w:rPr>
          <w:i/>
          <w:iCs/>
        </w:rPr>
        <w:t>Nature</w:t>
      </w:r>
      <w:r w:rsidRPr="00EE41C6">
        <w:t xml:space="preserve"> </w:t>
      </w:r>
      <w:r w:rsidRPr="00EE41C6">
        <w:rPr>
          <w:b/>
          <w:bCs/>
        </w:rPr>
        <w:t>583</w:t>
      </w:r>
      <w:r w:rsidRPr="00EE41C6">
        <w:t>, 242–248 (2020).</w:t>
      </w:r>
    </w:p>
    <w:p w14:paraId="1F5A0E0F" w14:textId="77777777" w:rsidR="00611BEE" w:rsidRPr="00EE41C6" w:rsidRDefault="00611BEE" w:rsidP="00611BEE">
      <w:pPr>
        <w:pStyle w:val="Bibliography"/>
      </w:pPr>
      <w:r w:rsidRPr="00EE41C6">
        <w:t>27.</w:t>
      </w:r>
      <w:r w:rsidRPr="00EE41C6">
        <w:tab/>
        <w:t xml:space="preserve">Hartmann, J. </w:t>
      </w:r>
      <w:r w:rsidRPr="00EE41C6">
        <w:rPr>
          <w:i/>
          <w:iCs/>
        </w:rPr>
        <w:t>et al.</w:t>
      </w:r>
      <w:r w:rsidRPr="00EE41C6">
        <w:t xml:space="preserve"> Enhanced chemical weathering as a geoengineering strategy to reduce atmospheric carbon dioxide, supply nutrients, and mitigate ocean acidification. </w:t>
      </w:r>
      <w:r w:rsidRPr="00EE41C6">
        <w:rPr>
          <w:i/>
          <w:iCs/>
        </w:rPr>
        <w:t>Rev. Geophys.</w:t>
      </w:r>
      <w:r w:rsidRPr="00EE41C6">
        <w:t xml:space="preserve"> </w:t>
      </w:r>
      <w:r w:rsidRPr="00EE41C6">
        <w:rPr>
          <w:b/>
          <w:bCs/>
        </w:rPr>
        <w:t>51</w:t>
      </w:r>
      <w:r w:rsidRPr="00EE41C6">
        <w:t>, 113–149 (2013).</w:t>
      </w:r>
    </w:p>
    <w:p w14:paraId="5CDA19A2" w14:textId="77777777" w:rsidR="00611BEE" w:rsidRPr="00EE41C6" w:rsidRDefault="00611BEE" w:rsidP="00611BEE">
      <w:pPr>
        <w:pStyle w:val="Bibliography"/>
      </w:pPr>
      <w:r w:rsidRPr="00EE41C6">
        <w:t>28.</w:t>
      </w:r>
      <w:r w:rsidRPr="00EE41C6">
        <w:tab/>
        <w:t xml:space="preserve">Renforth, P., Pogge von Strandmann, P. A. E. &amp; Henderson, G. M. The dissolution of olivine added to soil: Implications for enhanced weathering. </w:t>
      </w:r>
      <w:r w:rsidRPr="00EE41C6">
        <w:rPr>
          <w:i/>
          <w:iCs/>
        </w:rPr>
        <w:t>Appl. Geochem.</w:t>
      </w:r>
      <w:r w:rsidRPr="00EE41C6">
        <w:t xml:space="preserve"> </w:t>
      </w:r>
      <w:r w:rsidRPr="00EE41C6">
        <w:rPr>
          <w:b/>
          <w:bCs/>
        </w:rPr>
        <w:t>61</w:t>
      </w:r>
      <w:r w:rsidRPr="00EE41C6">
        <w:t>, 109–118 (2015).</w:t>
      </w:r>
    </w:p>
    <w:p w14:paraId="361640EE" w14:textId="77777777" w:rsidR="00611BEE" w:rsidRPr="00EE41C6" w:rsidRDefault="00611BEE" w:rsidP="00611BEE">
      <w:pPr>
        <w:pStyle w:val="Bibliography"/>
      </w:pPr>
      <w:r w:rsidRPr="00EE41C6">
        <w:t>29.</w:t>
      </w:r>
      <w:r w:rsidRPr="00EE41C6">
        <w:tab/>
        <w:t xml:space="preserve">Amann, T. </w:t>
      </w:r>
      <w:r w:rsidRPr="00EE41C6">
        <w:rPr>
          <w:i/>
          <w:iCs/>
        </w:rPr>
        <w:t>et al.</w:t>
      </w:r>
      <w:r w:rsidRPr="00EE41C6">
        <w:t xml:space="preserve"> Enhanced Weathering and related element fluxes – a cropland mesocosm approach. </w:t>
      </w:r>
      <w:r w:rsidRPr="00EE41C6">
        <w:rPr>
          <w:i/>
          <w:iCs/>
        </w:rPr>
        <w:t>Biogeosciences</w:t>
      </w:r>
      <w:r w:rsidRPr="00EE41C6">
        <w:t xml:space="preserve"> </w:t>
      </w:r>
      <w:r w:rsidRPr="00EE41C6">
        <w:rPr>
          <w:b/>
          <w:bCs/>
        </w:rPr>
        <w:t>17</w:t>
      </w:r>
      <w:r w:rsidRPr="00EE41C6">
        <w:t>, 103–119 (2020).</w:t>
      </w:r>
    </w:p>
    <w:p w14:paraId="0EC5C594" w14:textId="77777777" w:rsidR="00611BEE" w:rsidRPr="00EE41C6" w:rsidRDefault="00611BEE" w:rsidP="00611BEE">
      <w:pPr>
        <w:pStyle w:val="Bibliography"/>
      </w:pPr>
      <w:r w:rsidRPr="00EE41C6">
        <w:t>30.</w:t>
      </w:r>
      <w:r w:rsidRPr="00EE41C6">
        <w:tab/>
        <w:t xml:space="preserve">Kantzas, E. P. </w:t>
      </w:r>
      <w:r w:rsidRPr="00EE41C6">
        <w:rPr>
          <w:i/>
          <w:iCs/>
        </w:rPr>
        <w:t>et al.</w:t>
      </w:r>
      <w:r w:rsidRPr="00EE41C6">
        <w:t xml:space="preserve"> Substantial carbon drawdown potential from enhanced rock weathering in the United Kingdom. </w:t>
      </w:r>
      <w:r w:rsidRPr="00EE41C6">
        <w:rPr>
          <w:i/>
          <w:iCs/>
        </w:rPr>
        <w:t>Nat. Geosci.</w:t>
      </w:r>
      <w:r w:rsidRPr="00EE41C6">
        <w:t xml:space="preserve"> </w:t>
      </w:r>
      <w:r w:rsidRPr="00EE41C6">
        <w:rPr>
          <w:b/>
          <w:bCs/>
        </w:rPr>
        <w:t>15</w:t>
      </w:r>
      <w:r w:rsidRPr="00EE41C6">
        <w:t>, 382–389 (2022).</w:t>
      </w:r>
    </w:p>
    <w:p w14:paraId="54396D72" w14:textId="77777777" w:rsidR="00611BEE" w:rsidRPr="00EE41C6" w:rsidRDefault="00611BEE" w:rsidP="00611BEE">
      <w:pPr>
        <w:pStyle w:val="Bibliography"/>
      </w:pPr>
      <w:r w:rsidRPr="00EE41C6">
        <w:t>31.</w:t>
      </w:r>
      <w:r w:rsidRPr="00EE41C6">
        <w:tab/>
        <w:t xml:space="preserve">Goll, D. S. </w:t>
      </w:r>
      <w:r w:rsidRPr="00EE41C6">
        <w:rPr>
          <w:i/>
          <w:iCs/>
        </w:rPr>
        <w:t>et al.</w:t>
      </w:r>
      <w:r w:rsidRPr="00EE41C6">
        <w:t xml:space="preserve"> Potential CO2 removal from enhanced weathering by ecosystem responses to powdered rock. </w:t>
      </w:r>
      <w:r w:rsidRPr="00EE41C6">
        <w:rPr>
          <w:i/>
          <w:iCs/>
        </w:rPr>
        <w:t>Nat. Geosci.</w:t>
      </w:r>
      <w:r w:rsidRPr="00EE41C6">
        <w:t xml:space="preserve"> </w:t>
      </w:r>
      <w:r w:rsidRPr="00EE41C6">
        <w:rPr>
          <w:b/>
          <w:bCs/>
        </w:rPr>
        <w:t>14</w:t>
      </w:r>
      <w:r w:rsidRPr="00EE41C6">
        <w:t>, 545–549 (2021).</w:t>
      </w:r>
    </w:p>
    <w:p w14:paraId="3A288E79" w14:textId="77777777" w:rsidR="00611BEE" w:rsidRPr="00EE41C6" w:rsidRDefault="00611BEE" w:rsidP="00611BEE">
      <w:pPr>
        <w:pStyle w:val="Bibliography"/>
      </w:pPr>
      <w:r w:rsidRPr="00EE41C6">
        <w:t>32.</w:t>
      </w:r>
      <w:r w:rsidRPr="00EE41C6">
        <w:tab/>
        <w:t xml:space="preserve">Strefler, J., Amann, T., Bauer, N., Kriegler, E. &amp; Hartmann, J. Potential and costs of carbon dioxide removal by enhanced weathering of rocks. </w:t>
      </w:r>
      <w:r w:rsidRPr="00EE41C6">
        <w:rPr>
          <w:i/>
          <w:iCs/>
        </w:rPr>
        <w:t>Environ. Res. Lett.</w:t>
      </w:r>
      <w:r w:rsidRPr="00EE41C6">
        <w:t xml:space="preserve"> </w:t>
      </w:r>
      <w:r w:rsidRPr="00EE41C6">
        <w:rPr>
          <w:b/>
          <w:bCs/>
        </w:rPr>
        <w:t>13</w:t>
      </w:r>
      <w:r w:rsidRPr="00EE41C6">
        <w:t>, 034010 (2018).</w:t>
      </w:r>
    </w:p>
    <w:p w14:paraId="40EE8C8D" w14:textId="77777777" w:rsidR="00611BEE" w:rsidRPr="00EE41C6" w:rsidRDefault="00611BEE" w:rsidP="00611BEE">
      <w:pPr>
        <w:pStyle w:val="Bibliography"/>
      </w:pPr>
      <w:r w:rsidRPr="00EE41C6">
        <w:t>33.</w:t>
      </w:r>
      <w:r w:rsidRPr="00EE41C6">
        <w:tab/>
        <w:t xml:space="preserve">Keith, D. W., Holmes, G., Angelo, D. S. &amp; Heidel, K. A Process for Capturing CO2 from the Atmosphere. </w:t>
      </w:r>
      <w:r w:rsidRPr="00EE41C6">
        <w:rPr>
          <w:i/>
          <w:iCs/>
        </w:rPr>
        <w:t>Joule</w:t>
      </w:r>
      <w:r w:rsidRPr="00EE41C6">
        <w:t xml:space="preserve"> </w:t>
      </w:r>
      <w:r w:rsidRPr="00EE41C6">
        <w:rPr>
          <w:b/>
          <w:bCs/>
        </w:rPr>
        <w:t>2</w:t>
      </w:r>
      <w:r w:rsidRPr="00EE41C6">
        <w:t>, 1573–1594 (2018).</w:t>
      </w:r>
    </w:p>
    <w:p w14:paraId="1A92D9D6" w14:textId="77777777" w:rsidR="00611BEE" w:rsidRPr="00EE41C6" w:rsidRDefault="00611BEE" w:rsidP="00611BEE">
      <w:pPr>
        <w:pStyle w:val="Bibliography"/>
      </w:pPr>
      <w:r w:rsidRPr="00EE41C6">
        <w:t>34.</w:t>
      </w:r>
      <w:r w:rsidRPr="00EE41C6">
        <w:tab/>
        <w:t xml:space="preserve">Beuttler, C., Charles, L. &amp; Wurzbacher, J. The Role of Direct Air Capture in Mitigation of Anthropogenic Greenhouse Gas Emissions. </w:t>
      </w:r>
      <w:r w:rsidRPr="00EE41C6">
        <w:rPr>
          <w:i/>
          <w:iCs/>
        </w:rPr>
        <w:t>Front. Clim.</w:t>
      </w:r>
      <w:r w:rsidRPr="00EE41C6">
        <w:t xml:space="preserve"> </w:t>
      </w:r>
      <w:r w:rsidRPr="00EE41C6">
        <w:rPr>
          <w:b/>
          <w:bCs/>
        </w:rPr>
        <w:t>1</w:t>
      </w:r>
      <w:r w:rsidRPr="00EE41C6">
        <w:t>, 10 (2019).</w:t>
      </w:r>
    </w:p>
    <w:p w14:paraId="0EBBADB4" w14:textId="77777777" w:rsidR="00611BEE" w:rsidRPr="00EE41C6" w:rsidRDefault="00611BEE" w:rsidP="00611BEE">
      <w:pPr>
        <w:pStyle w:val="Bibliography"/>
      </w:pPr>
      <w:r w:rsidRPr="00EE41C6">
        <w:lastRenderedPageBreak/>
        <w:t>35.</w:t>
      </w:r>
      <w:r w:rsidRPr="00EE41C6">
        <w:tab/>
        <w:t xml:space="preserve">Beerling, D. J. </w:t>
      </w:r>
      <w:r w:rsidRPr="00EE41C6">
        <w:rPr>
          <w:i/>
          <w:iCs/>
        </w:rPr>
        <w:t>et al.</w:t>
      </w:r>
      <w:r w:rsidRPr="00EE41C6">
        <w:t xml:space="preserve"> Farming with crops and rocks to address global climate, food and soil security. </w:t>
      </w:r>
      <w:r w:rsidRPr="00EE41C6">
        <w:rPr>
          <w:i/>
          <w:iCs/>
        </w:rPr>
        <w:t>Nat. Plants</w:t>
      </w:r>
      <w:r w:rsidRPr="00EE41C6">
        <w:t xml:space="preserve"> </w:t>
      </w:r>
      <w:r w:rsidRPr="00EE41C6">
        <w:rPr>
          <w:b/>
          <w:bCs/>
        </w:rPr>
        <w:t>4</w:t>
      </w:r>
      <w:r w:rsidRPr="00EE41C6">
        <w:t>, 138–147 (2018).</w:t>
      </w:r>
    </w:p>
    <w:p w14:paraId="51038664" w14:textId="77777777" w:rsidR="00611BEE" w:rsidRPr="00EE41C6" w:rsidRDefault="00611BEE" w:rsidP="00611BEE">
      <w:pPr>
        <w:pStyle w:val="Bibliography"/>
      </w:pPr>
      <w:r w:rsidRPr="00EE41C6">
        <w:t>36.</w:t>
      </w:r>
      <w:r w:rsidRPr="00EE41C6">
        <w:tab/>
        <w:t xml:space="preserve">Kantola, I. B., Masters, M. D., Beerling, D. J., Long, S. P. &amp; DeLucia, E. H. Potential of global croplands and bioenergy crops for climate change mitigation through deployment for enhanced weathering. </w:t>
      </w:r>
      <w:r w:rsidRPr="00EE41C6">
        <w:rPr>
          <w:i/>
          <w:iCs/>
        </w:rPr>
        <w:t>Biol. Lett.</w:t>
      </w:r>
      <w:r w:rsidRPr="00EE41C6">
        <w:t xml:space="preserve"> </w:t>
      </w:r>
      <w:r w:rsidRPr="00EE41C6">
        <w:rPr>
          <w:b/>
          <w:bCs/>
        </w:rPr>
        <w:t>13</w:t>
      </w:r>
      <w:r w:rsidRPr="00EE41C6">
        <w:t>, 20160714 (2017).</w:t>
      </w:r>
    </w:p>
    <w:p w14:paraId="0F47866B" w14:textId="77777777" w:rsidR="00611BEE" w:rsidRPr="00EE41C6" w:rsidRDefault="00611BEE" w:rsidP="00611BEE">
      <w:pPr>
        <w:pStyle w:val="Bibliography"/>
      </w:pPr>
      <w:r w:rsidRPr="00EE41C6">
        <w:t>37.</w:t>
      </w:r>
      <w:r w:rsidRPr="00EE41C6">
        <w:tab/>
        <w:t xml:space="preserve">Taylor, L. L. </w:t>
      </w:r>
      <w:r w:rsidRPr="00EE41C6">
        <w:rPr>
          <w:i/>
          <w:iCs/>
        </w:rPr>
        <w:t>et al.</w:t>
      </w:r>
      <w:r w:rsidRPr="00EE41C6">
        <w:t xml:space="preserve"> Enhanced weathering strategies for stabilizing climate and averting ocean acidification. </w:t>
      </w:r>
      <w:r w:rsidRPr="00EE41C6">
        <w:rPr>
          <w:i/>
          <w:iCs/>
        </w:rPr>
        <w:t>Nat. Clim. Change</w:t>
      </w:r>
      <w:r w:rsidRPr="00EE41C6">
        <w:t xml:space="preserve"> </w:t>
      </w:r>
      <w:r w:rsidRPr="00EE41C6">
        <w:rPr>
          <w:b/>
          <w:bCs/>
        </w:rPr>
        <w:t>6</w:t>
      </w:r>
      <w:r w:rsidRPr="00EE41C6">
        <w:t>, 402–406 (2016).</w:t>
      </w:r>
    </w:p>
    <w:p w14:paraId="45FC736A" w14:textId="77777777" w:rsidR="00611BEE" w:rsidRPr="00EE41C6" w:rsidRDefault="00611BEE" w:rsidP="00611BEE">
      <w:pPr>
        <w:pStyle w:val="Bibliography"/>
      </w:pPr>
      <w:r w:rsidRPr="00EE41C6">
        <w:t>38.</w:t>
      </w:r>
      <w:r w:rsidRPr="00EE41C6">
        <w:tab/>
        <w:t xml:space="preserve">Bertagni, M. B. &amp; Porporato, A. The Carbon-Capture Efficiency of Natural Water Alkalinization: Implications For Enhanced weathering. </w:t>
      </w:r>
      <w:r w:rsidRPr="00EE41C6">
        <w:rPr>
          <w:i/>
          <w:iCs/>
        </w:rPr>
        <w:t>Sci. Total Environ.</w:t>
      </w:r>
      <w:r w:rsidRPr="00EE41C6">
        <w:t xml:space="preserve"> </w:t>
      </w:r>
      <w:r w:rsidRPr="00EE41C6">
        <w:rPr>
          <w:b/>
          <w:bCs/>
        </w:rPr>
        <w:t>838</w:t>
      </w:r>
      <w:r w:rsidRPr="00EE41C6">
        <w:t>, 156524 (2022).</w:t>
      </w:r>
    </w:p>
    <w:p w14:paraId="00E47A5C" w14:textId="77777777" w:rsidR="00611BEE" w:rsidRPr="00EE41C6" w:rsidRDefault="00611BEE" w:rsidP="00611BEE">
      <w:pPr>
        <w:pStyle w:val="Bibliography"/>
      </w:pPr>
      <w:r w:rsidRPr="00EE41C6">
        <w:t>39.</w:t>
      </w:r>
      <w:r w:rsidRPr="00EE41C6">
        <w:tab/>
        <w:t xml:space="preserve">Smith, P. </w:t>
      </w:r>
      <w:r w:rsidRPr="00EE41C6">
        <w:rPr>
          <w:i/>
          <w:iCs/>
        </w:rPr>
        <w:t>et al.</w:t>
      </w:r>
      <w:r w:rsidRPr="00EE41C6">
        <w:t xml:space="preserve"> Land-Management Options for Greenhouse Gas Removal and Their Impacts on Ecosystem Services and the Sustainable Development Goals. </w:t>
      </w:r>
      <w:r w:rsidRPr="00EE41C6">
        <w:rPr>
          <w:i/>
          <w:iCs/>
        </w:rPr>
        <w:t>Annu. Rev. Environ. Resour.</w:t>
      </w:r>
      <w:r w:rsidRPr="00EE41C6">
        <w:t xml:space="preserve"> </w:t>
      </w:r>
      <w:r w:rsidRPr="00EE41C6">
        <w:rPr>
          <w:b/>
          <w:bCs/>
        </w:rPr>
        <w:t>44</w:t>
      </w:r>
      <w:r w:rsidRPr="00EE41C6">
        <w:t>, 255–286 (2019).</w:t>
      </w:r>
    </w:p>
    <w:p w14:paraId="5836CE86" w14:textId="77777777" w:rsidR="00611BEE" w:rsidRPr="00EE41C6" w:rsidRDefault="00611BEE" w:rsidP="00611BEE">
      <w:pPr>
        <w:pStyle w:val="Bibliography"/>
      </w:pPr>
      <w:r w:rsidRPr="00EE41C6">
        <w:t>40.</w:t>
      </w:r>
      <w:r w:rsidRPr="00EE41C6">
        <w:tab/>
        <w:t xml:space="preserve">Wise, M., Calvin, K., Kyle, P., Luckow, P. &amp; Edmonds, J. ECONOMIC AND PHYSICAL MODELING OF LAND USE IN GCAM 3.0 AND AN APPLICATION TO AGRICULTURAL PRODUCTIVITY, LAND, AND TERRESTRIAL CARBON. </w:t>
      </w:r>
      <w:r w:rsidRPr="00EE41C6">
        <w:rPr>
          <w:i/>
          <w:iCs/>
        </w:rPr>
        <w:t>Clim. Change Econ.</w:t>
      </w:r>
      <w:r w:rsidRPr="00EE41C6">
        <w:t xml:space="preserve"> </w:t>
      </w:r>
      <w:r w:rsidRPr="00EE41C6">
        <w:rPr>
          <w:b/>
          <w:bCs/>
        </w:rPr>
        <w:t>05</w:t>
      </w:r>
      <w:r w:rsidRPr="00EE41C6">
        <w:t>, 1450003 (2014).</w:t>
      </w:r>
    </w:p>
    <w:p w14:paraId="499DBFE0" w14:textId="77777777" w:rsidR="00611BEE" w:rsidRPr="00EE41C6" w:rsidRDefault="00611BEE" w:rsidP="00611BEE">
      <w:pPr>
        <w:pStyle w:val="Bibliography"/>
      </w:pPr>
      <w:r w:rsidRPr="00EE41C6">
        <w:t>41.</w:t>
      </w:r>
      <w:r w:rsidRPr="00EE41C6">
        <w:tab/>
        <w:t xml:space="preserve">Zhao, X., Calvin, K. V. &amp; Wise, M. A. THE CRITICAL ROLE OF CONVERSION COST AND COMPARATIVE ADVANTAGE IN MODELING AGRICULTURAL LAND USE CHANGE. </w:t>
      </w:r>
      <w:r w:rsidRPr="00EE41C6">
        <w:rPr>
          <w:i/>
          <w:iCs/>
        </w:rPr>
        <w:t>Clim. Change Econ.</w:t>
      </w:r>
      <w:r w:rsidRPr="00EE41C6">
        <w:t xml:space="preserve"> </w:t>
      </w:r>
      <w:r w:rsidRPr="00EE41C6">
        <w:rPr>
          <w:b/>
          <w:bCs/>
        </w:rPr>
        <w:t>11</w:t>
      </w:r>
      <w:r w:rsidRPr="00EE41C6">
        <w:t>, 2050004 (2020).</w:t>
      </w:r>
    </w:p>
    <w:p w14:paraId="43D6C778" w14:textId="77777777" w:rsidR="00611BEE" w:rsidRPr="00EE41C6" w:rsidRDefault="00611BEE" w:rsidP="00611BEE">
      <w:pPr>
        <w:pStyle w:val="Bibliography"/>
      </w:pPr>
      <w:r w:rsidRPr="00EE41C6">
        <w:t>42.</w:t>
      </w:r>
      <w:r w:rsidRPr="00EE41C6">
        <w:tab/>
        <w:t xml:space="preserve">Rohwer, J., Gerten, D. &amp; Lucht, W. Development of functional irrigation types for improved global crop modelling. </w:t>
      </w:r>
      <w:r w:rsidRPr="00EE41C6">
        <w:rPr>
          <w:i/>
          <w:iCs/>
        </w:rPr>
        <w:t>PIK Rep.</w:t>
      </w:r>
      <w:r w:rsidRPr="00EE41C6">
        <w:t xml:space="preserve"> 1–61 (2007).</w:t>
      </w:r>
    </w:p>
    <w:p w14:paraId="21AF314B" w14:textId="77777777" w:rsidR="00611BEE" w:rsidRPr="00EE41C6" w:rsidRDefault="00611BEE" w:rsidP="00611BEE">
      <w:pPr>
        <w:pStyle w:val="Bibliography"/>
      </w:pPr>
      <w:r w:rsidRPr="00EE41C6">
        <w:t>43.</w:t>
      </w:r>
      <w:r w:rsidRPr="00EE41C6">
        <w:tab/>
        <w:t xml:space="preserve">Chaturvedi, V. </w:t>
      </w:r>
      <w:r w:rsidRPr="00EE41C6">
        <w:rPr>
          <w:i/>
          <w:iCs/>
        </w:rPr>
        <w:t>et al.</w:t>
      </w:r>
      <w:r w:rsidRPr="00EE41C6">
        <w:t xml:space="preserve"> Climate mitigation policy implications for global irrigation water demand. </w:t>
      </w:r>
      <w:r w:rsidRPr="00EE41C6">
        <w:rPr>
          <w:i/>
          <w:iCs/>
        </w:rPr>
        <w:t>Mitig. Adapt. Strateg. Glob. Change</w:t>
      </w:r>
      <w:r w:rsidRPr="00EE41C6">
        <w:t xml:space="preserve"> </w:t>
      </w:r>
      <w:r w:rsidRPr="00EE41C6">
        <w:rPr>
          <w:b/>
          <w:bCs/>
        </w:rPr>
        <w:t>20</w:t>
      </w:r>
      <w:r w:rsidRPr="00EE41C6">
        <w:t>, 389–407 (2015).</w:t>
      </w:r>
    </w:p>
    <w:p w14:paraId="5902D6E6" w14:textId="77777777" w:rsidR="00611BEE" w:rsidRPr="00EE41C6" w:rsidRDefault="00611BEE" w:rsidP="00611BEE">
      <w:pPr>
        <w:pStyle w:val="Bibliography"/>
      </w:pPr>
      <w:r w:rsidRPr="00EE41C6">
        <w:t>44.</w:t>
      </w:r>
      <w:r w:rsidRPr="00EE41C6">
        <w:tab/>
        <w:t xml:space="preserve">Hejazi, M. </w:t>
      </w:r>
      <w:r w:rsidRPr="00EE41C6">
        <w:rPr>
          <w:i/>
          <w:iCs/>
        </w:rPr>
        <w:t>et al.</w:t>
      </w:r>
      <w:r w:rsidRPr="00EE41C6">
        <w:t xml:space="preserve"> Long-term global water projections using six socioeconomic scenarios in an integrated assessment modeling framework. </w:t>
      </w:r>
      <w:r w:rsidRPr="00EE41C6">
        <w:rPr>
          <w:i/>
          <w:iCs/>
        </w:rPr>
        <w:t>Technol. Forecast. Soc. Change</w:t>
      </w:r>
      <w:r w:rsidRPr="00EE41C6">
        <w:t xml:space="preserve"> </w:t>
      </w:r>
      <w:r w:rsidRPr="00EE41C6">
        <w:rPr>
          <w:b/>
          <w:bCs/>
        </w:rPr>
        <w:t>81</w:t>
      </w:r>
      <w:r w:rsidRPr="00EE41C6">
        <w:t>, 205–226 (2014).</w:t>
      </w:r>
    </w:p>
    <w:p w14:paraId="5CFB086D" w14:textId="77777777" w:rsidR="00611BEE" w:rsidRPr="00EE41C6" w:rsidRDefault="00611BEE" w:rsidP="00611BEE">
      <w:pPr>
        <w:pStyle w:val="Bibliography"/>
      </w:pPr>
      <w:r w:rsidRPr="00EE41C6">
        <w:lastRenderedPageBreak/>
        <w:t>45.</w:t>
      </w:r>
      <w:r w:rsidRPr="00EE41C6">
        <w:tab/>
        <w:t xml:space="preserve">NETL. </w:t>
      </w:r>
      <w:r w:rsidRPr="00EE41C6">
        <w:rPr>
          <w:i/>
          <w:iCs/>
        </w:rPr>
        <w:t>Water Requirements for Existing and Emerging  Thermoelectric Plant Technologies</w:t>
      </w:r>
      <w:r w:rsidRPr="00EE41C6">
        <w:t>. (2008).</w:t>
      </w:r>
    </w:p>
    <w:p w14:paraId="257F1364" w14:textId="77777777" w:rsidR="00611BEE" w:rsidRPr="00EE41C6" w:rsidRDefault="00611BEE" w:rsidP="00611BEE">
      <w:pPr>
        <w:pStyle w:val="Bibliography"/>
      </w:pPr>
      <w:r w:rsidRPr="00EE41C6">
        <w:t>46.</w:t>
      </w:r>
      <w:r w:rsidRPr="00EE41C6">
        <w:tab/>
        <w:t xml:space="preserve">Macknick, J., Newmark, R., Heath, G. &amp; Hallet, K. </w:t>
      </w:r>
      <w:r w:rsidRPr="00EE41C6">
        <w:rPr>
          <w:i/>
          <w:iCs/>
        </w:rPr>
        <w:t>A Review of Operational Water  Consumption and Withdrawal  Factors for Electricity  Generating Technologies</w:t>
      </w:r>
      <w:r w:rsidRPr="00EE41C6">
        <w:t>. (2011).</w:t>
      </w:r>
    </w:p>
    <w:p w14:paraId="1717BC59" w14:textId="77777777" w:rsidR="00611BEE" w:rsidRPr="00EE41C6" w:rsidRDefault="00611BEE" w:rsidP="00611BEE">
      <w:pPr>
        <w:pStyle w:val="Bibliography"/>
      </w:pPr>
      <w:r w:rsidRPr="00EE41C6">
        <w:t>47.</w:t>
      </w:r>
      <w:r w:rsidRPr="00EE41C6">
        <w:tab/>
        <w:t xml:space="preserve">Davies, E. G. R., Kyle, P. &amp; Edmonds, J. A. An integrated assessment of global and regional water demands for electricity generation to 2095. </w:t>
      </w:r>
      <w:r w:rsidRPr="00EE41C6">
        <w:rPr>
          <w:i/>
          <w:iCs/>
        </w:rPr>
        <w:t>Adv. Water Resour.</w:t>
      </w:r>
      <w:r w:rsidRPr="00EE41C6">
        <w:t xml:space="preserve"> </w:t>
      </w:r>
      <w:r w:rsidRPr="00EE41C6">
        <w:rPr>
          <w:b/>
          <w:bCs/>
        </w:rPr>
        <w:t>52</w:t>
      </w:r>
      <w:r w:rsidRPr="00EE41C6">
        <w:t>, 296–313 (2013).</w:t>
      </w:r>
    </w:p>
    <w:p w14:paraId="04A14DB8" w14:textId="77777777" w:rsidR="00611BEE" w:rsidRPr="00EE41C6" w:rsidRDefault="00611BEE" w:rsidP="00611BEE">
      <w:pPr>
        <w:pStyle w:val="Bibliography"/>
      </w:pPr>
      <w:r w:rsidRPr="00EE41C6">
        <w:t>48.</w:t>
      </w:r>
      <w:r w:rsidRPr="00EE41C6">
        <w:tab/>
        <w:t xml:space="preserve">Kyle, P. </w:t>
      </w:r>
      <w:r w:rsidRPr="00EE41C6">
        <w:rPr>
          <w:i/>
          <w:iCs/>
        </w:rPr>
        <w:t>et al.</w:t>
      </w:r>
      <w:r w:rsidRPr="00EE41C6">
        <w:t xml:space="preserve"> Influence of climate change mitigation technology on global demands of water for electricity generation. </w:t>
      </w:r>
      <w:r w:rsidRPr="00EE41C6">
        <w:rPr>
          <w:i/>
          <w:iCs/>
        </w:rPr>
        <w:t>Int. J. Greenh. Gas Control</w:t>
      </w:r>
      <w:r w:rsidRPr="00EE41C6">
        <w:t xml:space="preserve"> </w:t>
      </w:r>
      <w:r w:rsidRPr="00EE41C6">
        <w:rPr>
          <w:b/>
          <w:bCs/>
        </w:rPr>
        <w:t>13</w:t>
      </w:r>
      <w:r w:rsidRPr="00EE41C6">
        <w:t>, 112–123 (2013).</w:t>
      </w:r>
    </w:p>
    <w:p w14:paraId="3B2F45D7" w14:textId="77777777" w:rsidR="00611BEE" w:rsidRPr="00EE41C6" w:rsidRDefault="00611BEE" w:rsidP="00611BEE">
      <w:pPr>
        <w:pStyle w:val="Bibliography"/>
      </w:pPr>
      <w:r w:rsidRPr="00EE41C6">
        <w:t>49.</w:t>
      </w:r>
      <w:r w:rsidRPr="00EE41C6">
        <w:tab/>
        <w:t xml:space="preserve">Mekonnen, M. M. &amp; Hoekstra, A. Y. A Global Assessment of the Water Footprint of Farm Animal Products. </w:t>
      </w:r>
      <w:r w:rsidRPr="00EE41C6">
        <w:rPr>
          <w:i/>
          <w:iCs/>
        </w:rPr>
        <w:t>Ecosystems</w:t>
      </w:r>
      <w:r w:rsidRPr="00EE41C6">
        <w:t xml:space="preserve"> </w:t>
      </w:r>
      <w:r w:rsidRPr="00EE41C6">
        <w:rPr>
          <w:b/>
          <w:bCs/>
        </w:rPr>
        <w:t>15</w:t>
      </w:r>
      <w:r w:rsidRPr="00EE41C6">
        <w:t>, 401–415 (2012).</w:t>
      </w:r>
    </w:p>
    <w:p w14:paraId="1F971336" w14:textId="77777777" w:rsidR="00611BEE" w:rsidRPr="00EE41C6" w:rsidRDefault="00611BEE" w:rsidP="00611BEE">
      <w:pPr>
        <w:pStyle w:val="Bibliography"/>
      </w:pPr>
      <w:r w:rsidRPr="00EE41C6">
        <w:t>50.</w:t>
      </w:r>
      <w:r w:rsidRPr="00EE41C6">
        <w:tab/>
        <w:t>FAOSTAT. FAOSTAT Statistics Database. https://data.apps.fao.org/aquastat/?lang=en (2016).</w:t>
      </w:r>
    </w:p>
    <w:p w14:paraId="01C8CAC0" w14:textId="77777777" w:rsidR="00611BEE" w:rsidRPr="00EE41C6" w:rsidRDefault="00611BEE" w:rsidP="00611BEE">
      <w:pPr>
        <w:pStyle w:val="Bibliography"/>
      </w:pPr>
      <w:r w:rsidRPr="00EE41C6">
        <w:t>51.</w:t>
      </w:r>
      <w:r w:rsidRPr="00EE41C6">
        <w:tab/>
        <w:t xml:space="preserve">Maheu, A. </w:t>
      </w:r>
      <w:r w:rsidRPr="00EE41C6">
        <w:rPr>
          <w:i/>
          <w:iCs/>
        </w:rPr>
        <w:t>Energy Choices and Their Impacts on Demand for Water Resources: An Assessment of Current and Projected Water Consumption in Global Energy Production</w:t>
      </w:r>
      <w:r w:rsidRPr="00EE41C6">
        <w:t>. https://unisfera.org/sn_uploads/0Energy_demand_on_water_Finalversion.pdf (2009).</w:t>
      </w:r>
    </w:p>
    <w:p w14:paraId="0F16C9D8" w14:textId="77777777" w:rsidR="00611BEE" w:rsidRPr="00EE41C6" w:rsidRDefault="00611BEE" w:rsidP="00611BEE">
      <w:pPr>
        <w:pStyle w:val="Bibliography"/>
      </w:pPr>
      <w:r w:rsidRPr="00EE41C6">
        <w:t>52.</w:t>
      </w:r>
      <w:r w:rsidRPr="00EE41C6">
        <w:tab/>
        <w:t xml:space="preserve">Keeny, J. F. </w:t>
      </w:r>
      <w:r w:rsidRPr="00EE41C6">
        <w:rPr>
          <w:i/>
          <w:iCs/>
        </w:rPr>
        <w:t>et al.</w:t>
      </w:r>
      <w:r w:rsidRPr="00EE41C6">
        <w:t xml:space="preserve"> </w:t>
      </w:r>
      <w:r w:rsidRPr="00EE41C6">
        <w:rPr>
          <w:i/>
          <w:iCs/>
        </w:rPr>
        <w:t>Estimated Use of Water in the United States in 2005</w:t>
      </w:r>
      <w:r w:rsidRPr="00EE41C6">
        <w:t>. (2009).</w:t>
      </w:r>
    </w:p>
    <w:p w14:paraId="784A2FBF" w14:textId="77777777" w:rsidR="00611BEE" w:rsidRPr="00EE41C6" w:rsidRDefault="00611BEE" w:rsidP="00611BEE">
      <w:pPr>
        <w:pStyle w:val="Bibliography"/>
      </w:pPr>
      <w:r w:rsidRPr="00EE41C6">
        <w:t>53.</w:t>
      </w:r>
      <w:r w:rsidRPr="00EE41C6">
        <w:tab/>
        <w:t xml:space="preserve">Solley, W. B., Pierce, R. R. &amp; Perlman, H. A. </w:t>
      </w:r>
      <w:r w:rsidRPr="00EE41C6">
        <w:rPr>
          <w:i/>
          <w:iCs/>
        </w:rPr>
        <w:t>Estimated Use of Water in the United States in 1995</w:t>
      </w:r>
      <w:r w:rsidRPr="00EE41C6">
        <w:t>. https://pubs.usgs.gov/publication/cir1200 (1998) doi:10.3133/cir1200.</w:t>
      </w:r>
    </w:p>
    <w:p w14:paraId="51169FC8" w14:textId="77777777" w:rsidR="00611BEE" w:rsidRPr="00EE41C6" w:rsidRDefault="00611BEE" w:rsidP="00611BEE">
      <w:pPr>
        <w:pStyle w:val="Bibliography"/>
      </w:pPr>
      <w:r w:rsidRPr="00EE41C6">
        <w:t>54.</w:t>
      </w:r>
      <w:r w:rsidRPr="00EE41C6">
        <w:tab/>
        <w:t xml:space="preserve">FAO. </w:t>
      </w:r>
      <w:r w:rsidRPr="00EE41C6">
        <w:rPr>
          <w:i/>
          <w:iCs/>
        </w:rPr>
        <w:t>AQUASTAT Main Database</w:t>
      </w:r>
      <w:r w:rsidRPr="00EE41C6">
        <w:t>. https://www.fao.org/faostat/en/#home (2016).</w:t>
      </w:r>
    </w:p>
    <w:p w14:paraId="6BFC9CFC" w14:textId="77777777" w:rsidR="00611BEE" w:rsidRPr="00EE41C6" w:rsidRDefault="00611BEE" w:rsidP="00611BEE">
      <w:pPr>
        <w:pStyle w:val="Bibliography"/>
      </w:pPr>
      <w:r w:rsidRPr="00EE41C6">
        <w:t>55.</w:t>
      </w:r>
      <w:r w:rsidRPr="00EE41C6">
        <w:tab/>
        <w:t xml:space="preserve">IBNET. </w:t>
      </w:r>
      <w:r w:rsidRPr="00EE41C6">
        <w:rPr>
          <w:i/>
          <w:iCs/>
        </w:rPr>
        <w:t>Benchmarking Database</w:t>
      </w:r>
      <w:r w:rsidRPr="00EE41C6">
        <w:t>. https://www.ib-net.org/ (2016).</w:t>
      </w:r>
    </w:p>
    <w:p w14:paraId="551F6DE0" w14:textId="77777777" w:rsidR="00611BEE" w:rsidRPr="00EE41C6" w:rsidRDefault="00611BEE" w:rsidP="00611BEE">
      <w:pPr>
        <w:pStyle w:val="Bibliography"/>
      </w:pPr>
      <w:r w:rsidRPr="00EE41C6">
        <w:t>56.</w:t>
      </w:r>
      <w:r w:rsidRPr="00EE41C6">
        <w:tab/>
        <w:t xml:space="preserve">Shiklomanov, I. A. </w:t>
      </w:r>
      <w:r w:rsidRPr="00EE41C6">
        <w:rPr>
          <w:i/>
          <w:iCs/>
        </w:rPr>
        <w:t>World Water Resources and Water Use: Present Assessment and Outlook for 2025</w:t>
      </w:r>
      <w:r w:rsidRPr="00EE41C6">
        <w:t>. (2000).</w:t>
      </w:r>
    </w:p>
    <w:p w14:paraId="31C70DCE" w14:textId="77777777" w:rsidR="00611BEE" w:rsidRPr="00EE41C6" w:rsidRDefault="00611BEE" w:rsidP="00611BEE">
      <w:pPr>
        <w:pStyle w:val="Bibliography"/>
      </w:pPr>
      <w:r w:rsidRPr="00EE41C6">
        <w:t>57.</w:t>
      </w:r>
      <w:r w:rsidRPr="00EE41C6">
        <w:tab/>
        <w:t xml:space="preserve">Hejazi, M., Edmonds, J., Chaturvedi, V., Davies, E. &amp; Eom, J. Scenarios of global municipal water-use demand projections over the 21st century. </w:t>
      </w:r>
      <w:r w:rsidRPr="00EE41C6">
        <w:rPr>
          <w:i/>
          <w:iCs/>
        </w:rPr>
        <w:t>Hydrol. Sci. J.</w:t>
      </w:r>
      <w:r w:rsidRPr="00EE41C6">
        <w:t xml:space="preserve"> </w:t>
      </w:r>
      <w:r w:rsidRPr="00EE41C6">
        <w:rPr>
          <w:b/>
          <w:bCs/>
        </w:rPr>
        <w:t>58</w:t>
      </w:r>
      <w:r w:rsidRPr="00EE41C6">
        <w:t>, 519–538 (2013).</w:t>
      </w:r>
    </w:p>
    <w:p w14:paraId="3C697319" w14:textId="77777777" w:rsidR="00611BEE" w:rsidRPr="00EE41C6" w:rsidRDefault="00611BEE" w:rsidP="00611BEE">
      <w:pPr>
        <w:pStyle w:val="Bibliography"/>
      </w:pPr>
      <w:r w:rsidRPr="00EE41C6">
        <w:t>58.</w:t>
      </w:r>
      <w:r w:rsidRPr="00EE41C6">
        <w:tab/>
        <w:t xml:space="preserve">Bond-Lamberty, B. </w:t>
      </w:r>
      <w:r w:rsidRPr="00EE41C6">
        <w:rPr>
          <w:i/>
          <w:iCs/>
        </w:rPr>
        <w:t>et al.</w:t>
      </w:r>
      <w:r w:rsidRPr="00EE41C6">
        <w:t xml:space="preserve"> </w:t>
      </w:r>
      <w:r w:rsidRPr="00EE41C6">
        <w:rPr>
          <w:i/>
          <w:iCs/>
        </w:rPr>
        <w:t>JGCRI/Gcam-Core: GCAM 6.0</w:t>
      </w:r>
      <w:r w:rsidRPr="00EE41C6">
        <w:t>. https://zenodo.org/record/6619287 (2022) doi:10.5281/ZENODO.6619287.</w:t>
      </w:r>
    </w:p>
    <w:p w14:paraId="34716910" w14:textId="77777777" w:rsidR="00611BEE" w:rsidRPr="00EE41C6" w:rsidRDefault="00611BEE" w:rsidP="00611BEE">
      <w:pPr>
        <w:pStyle w:val="Bibliography"/>
      </w:pPr>
      <w:r w:rsidRPr="00EE41C6">
        <w:lastRenderedPageBreak/>
        <w:t>59.</w:t>
      </w:r>
      <w:r w:rsidRPr="00EE41C6">
        <w:tab/>
        <w:t xml:space="preserve">Fuhrman, J. </w:t>
      </w:r>
      <w:r w:rsidRPr="00EE41C6">
        <w:rPr>
          <w:i/>
          <w:iCs/>
        </w:rPr>
        <w:t>et al.</w:t>
      </w:r>
      <w:r w:rsidRPr="00EE41C6">
        <w:t xml:space="preserve"> The role of direct air capture and negative emissions technologies in the shared socioeconomic pathways towards +1.5 °C and +2 °C futures. </w:t>
      </w:r>
      <w:r w:rsidRPr="00EE41C6">
        <w:rPr>
          <w:i/>
          <w:iCs/>
        </w:rPr>
        <w:t>Environ. Res. Lett.</w:t>
      </w:r>
      <w:r w:rsidRPr="00EE41C6">
        <w:t xml:space="preserve"> </w:t>
      </w:r>
      <w:r w:rsidRPr="00EE41C6">
        <w:rPr>
          <w:b/>
          <w:bCs/>
        </w:rPr>
        <w:t>16</w:t>
      </w:r>
      <w:r w:rsidRPr="00EE41C6">
        <w:t>, 114012 (2021).</w:t>
      </w:r>
    </w:p>
    <w:p w14:paraId="7DD862A0" w14:textId="77777777" w:rsidR="00611BEE" w:rsidRPr="00EE41C6" w:rsidRDefault="00611BEE" w:rsidP="00611BEE">
      <w:pPr>
        <w:pStyle w:val="Bibliography"/>
      </w:pPr>
      <w:r w:rsidRPr="00EE41C6">
        <w:t>60.</w:t>
      </w:r>
      <w:r w:rsidRPr="00EE41C6">
        <w:tab/>
        <w:t xml:space="preserve">Kyle, G. P. </w:t>
      </w:r>
      <w:r w:rsidRPr="00EE41C6">
        <w:rPr>
          <w:i/>
          <w:iCs/>
        </w:rPr>
        <w:t>et al.</w:t>
      </w:r>
      <w:r w:rsidRPr="00EE41C6">
        <w:t xml:space="preserve"> </w:t>
      </w:r>
      <w:r w:rsidRPr="00EE41C6">
        <w:rPr>
          <w:i/>
          <w:iCs/>
        </w:rPr>
        <w:t>GCAM 3.0 Agriculture and Land Use: Data Sources and Methods</w:t>
      </w:r>
      <w:r w:rsidRPr="00EE41C6">
        <w:t>. PNNL-21025, 1036082 http://www.osti.gov/servlets/purl/1036082/ (2011) doi:10.2172/1036082.</w:t>
      </w:r>
    </w:p>
    <w:p w14:paraId="714C8FD4" w14:textId="77777777" w:rsidR="00611BEE" w:rsidRPr="00EE41C6" w:rsidRDefault="00611BEE" w:rsidP="00611BEE">
      <w:pPr>
        <w:pStyle w:val="Bibliography"/>
      </w:pPr>
      <w:r w:rsidRPr="00EE41C6">
        <w:t>61.</w:t>
      </w:r>
      <w:r w:rsidRPr="00EE41C6">
        <w:tab/>
        <w:t xml:space="preserve">Bond-Lamberty, B. </w:t>
      </w:r>
      <w:r w:rsidRPr="00EE41C6">
        <w:rPr>
          <w:i/>
          <w:iCs/>
        </w:rPr>
        <w:t>et al.</w:t>
      </w:r>
      <w:r w:rsidRPr="00EE41C6">
        <w:t xml:space="preserve"> JGCRI/gcam-core: GCAM 5.4. (2021) doi:10.5281/zenodo.5093192.</w:t>
      </w:r>
    </w:p>
    <w:p w14:paraId="2136B406" w14:textId="77777777" w:rsidR="00611BEE" w:rsidRPr="00EE41C6" w:rsidRDefault="00611BEE" w:rsidP="00611BEE">
      <w:pPr>
        <w:pStyle w:val="Bibliography"/>
      </w:pPr>
      <w:r w:rsidRPr="00EE41C6">
        <w:t>62.</w:t>
      </w:r>
      <w:r w:rsidRPr="00EE41C6">
        <w:tab/>
        <w:t xml:space="preserve">Ma, X., Peng, T., Zhang, Y., Wang, L. &amp; Pan, X. Accelerating carbon neutrality could help China’s energy system align with below 1.5 °C. </w:t>
      </w:r>
      <w:r w:rsidRPr="00EE41C6">
        <w:rPr>
          <w:i/>
          <w:iCs/>
        </w:rPr>
        <w:t>J. Environ. Manage.</w:t>
      </w:r>
      <w:r w:rsidRPr="00EE41C6">
        <w:t xml:space="preserve"> </w:t>
      </w:r>
      <w:r w:rsidRPr="00EE41C6">
        <w:rPr>
          <w:b/>
          <w:bCs/>
        </w:rPr>
        <w:t>337</w:t>
      </w:r>
      <w:r w:rsidRPr="00EE41C6">
        <w:t>, 117753 (2023).</w:t>
      </w:r>
    </w:p>
    <w:p w14:paraId="4AA51555" w14:textId="77777777" w:rsidR="00611BEE" w:rsidRPr="00EE41C6" w:rsidRDefault="00611BEE" w:rsidP="00611BEE">
      <w:pPr>
        <w:pStyle w:val="Bibliography"/>
      </w:pPr>
      <w:r w:rsidRPr="00EE41C6">
        <w:t>63.</w:t>
      </w:r>
      <w:r w:rsidRPr="00EE41C6">
        <w:tab/>
        <w:t xml:space="preserve">Train, K. </w:t>
      </w:r>
      <w:r w:rsidRPr="00EE41C6">
        <w:rPr>
          <w:i/>
          <w:iCs/>
        </w:rPr>
        <w:t>Discrete Choice Methods with Simulation</w:t>
      </w:r>
      <w:r w:rsidRPr="00EE41C6">
        <w:t>. (Cambridge University Press, New York, 2003).</w:t>
      </w:r>
    </w:p>
    <w:p w14:paraId="3A303ED6" w14:textId="77777777" w:rsidR="00611BEE" w:rsidRPr="00EE41C6" w:rsidRDefault="00611BEE" w:rsidP="00611BEE">
      <w:pPr>
        <w:pStyle w:val="Bibliography"/>
      </w:pPr>
      <w:r w:rsidRPr="00EE41C6">
        <w:t>64.</w:t>
      </w:r>
      <w:r w:rsidRPr="00EE41C6">
        <w:tab/>
        <w:t xml:space="preserve">Mcfadden, D. L. </w:t>
      </w:r>
      <w:r w:rsidRPr="00EE41C6">
        <w:rPr>
          <w:i/>
          <w:iCs/>
        </w:rPr>
        <w:t>Conditional Logit Analysis of Qualitative Choice Behavior</w:t>
      </w:r>
      <w:r w:rsidRPr="00EE41C6">
        <w:t>. (Frontiers in Econometrics, Academic Press: New York, 1973).</w:t>
      </w:r>
    </w:p>
    <w:p w14:paraId="67E7733A" w14:textId="77777777" w:rsidR="00611BEE" w:rsidRPr="00EE41C6" w:rsidRDefault="00611BEE" w:rsidP="00611BEE">
      <w:pPr>
        <w:pStyle w:val="Bibliography"/>
      </w:pPr>
      <w:r w:rsidRPr="00EE41C6">
        <w:t>65.</w:t>
      </w:r>
      <w:r w:rsidRPr="00EE41C6">
        <w:tab/>
        <w:t xml:space="preserve">Clarke, J. F. &amp; Edmonds, J. A. Modelling energy technologies in a competitive market. </w:t>
      </w:r>
      <w:r w:rsidRPr="00EE41C6">
        <w:rPr>
          <w:i/>
          <w:iCs/>
        </w:rPr>
        <w:t>Energy Econ.</w:t>
      </w:r>
      <w:r w:rsidRPr="00EE41C6">
        <w:t xml:space="preserve"> </w:t>
      </w:r>
      <w:r w:rsidRPr="00EE41C6">
        <w:rPr>
          <w:b/>
          <w:bCs/>
        </w:rPr>
        <w:t>15</w:t>
      </w:r>
      <w:r w:rsidRPr="00EE41C6">
        <w:t>, 123–129 (1993).</w:t>
      </w:r>
    </w:p>
    <w:p w14:paraId="7ECFB22B" w14:textId="6A9FD574" w:rsidR="008F0E69" w:rsidRPr="00026D3E" w:rsidRDefault="002660EC" w:rsidP="00AE608C">
      <w:pPr>
        <w:spacing w:line="480" w:lineRule="auto"/>
        <w:jc w:val="both"/>
        <w:rPr>
          <w:rFonts w:ascii="Times New Roman" w:hAnsi="Times New Roman" w:cs="Times New Roman"/>
          <w:sz w:val="24"/>
          <w:szCs w:val="24"/>
        </w:rPr>
      </w:pPr>
      <w:r w:rsidRPr="00EE41C6">
        <w:rPr>
          <w:rFonts w:ascii="Times New Roman" w:hAnsi="Times New Roman" w:cs="Times New Roman"/>
        </w:rPr>
        <w:fldChar w:fldCharType="end"/>
      </w:r>
    </w:p>
    <w:sectPr w:rsidR="008F0E69" w:rsidRPr="00026D3E">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3B678C" w14:textId="77777777" w:rsidR="004A7AB3" w:rsidRDefault="004A7AB3" w:rsidP="00A06CF2">
      <w:pPr>
        <w:spacing w:after="0" w:line="240" w:lineRule="auto"/>
      </w:pPr>
      <w:r>
        <w:separator/>
      </w:r>
    </w:p>
  </w:endnote>
  <w:endnote w:type="continuationSeparator" w:id="0">
    <w:p w14:paraId="34310C5B" w14:textId="77777777" w:rsidR="004A7AB3" w:rsidRDefault="004A7AB3" w:rsidP="00A06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dvOT2e364b11">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1133017"/>
      <w:docPartObj>
        <w:docPartGallery w:val="Page Numbers (Bottom of Page)"/>
        <w:docPartUnique/>
      </w:docPartObj>
    </w:sdtPr>
    <w:sdtEndPr>
      <w:rPr>
        <w:noProof/>
      </w:rPr>
    </w:sdtEndPr>
    <w:sdtContent>
      <w:p w14:paraId="58778F4F" w14:textId="1DC63F67" w:rsidR="003436A8" w:rsidRDefault="003436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CB0222" w14:textId="7648B68C" w:rsidR="003436A8" w:rsidRDefault="00F02FE6" w:rsidP="00F02FE6">
    <w:pPr>
      <w:pStyle w:val="Footer"/>
      <w:tabs>
        <w:tab w:val="clear" w:pos="4680"/>
        <w:tab w:val="clear" w:pos="9360"/>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6EE1AA" w14:textId="77777777" w:rsidR="004A7AB3" w:rsidRDefault="004A7AB3" w:rsidP="00A06CF2">
      <w:pPr>
        <w:spacing w:after="0" w:line="240" w:lineRule="auto"/>
      </w:pPr>
      <w:r>
        <w:separator/>
      </w:r>
    </w:p>
  </w:footnote>
  <w:footnote w:type="continuationSeparator" w:id="0">
    <w:p w14:paraId="11F2AD43" w14:textId="77777777" w:rsidR="004A7AB3" w:rsidRDefault="004A7AB3" w:rsidP="00A06C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A6E44"/>
    <w:multiLevelType w:val="hybridMultilevel"/>
    <w:tmpl w:val="4A807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4027CF"/>
    <w:multiLevelType w:val="multilevel"/>
    <w:tmpl w:val="E96ED0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1386225B"/>
    <w:multiLevelType w:val="multilevel"/>
    <w:tmpl w:val="E96ED0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15:restartNumberingAfterBreak="0">
    <w:nsid w:val="14BA6986"/>
    <w:multiLevelType w:val="multilevel"/>
    <w:tmpl w:val="E96ED0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15:restartNumberingAfterBreak="0">
    <w:nsid w:val="1E6367C8"/>
    <w:multiLevelType w:val="multilevel"/>
    <w:tmpl w:val="4E1E4A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5840296"/>
    <w:multiLevelType w:val="multilevel"/>
    <w:tmpl w:val="E96ED0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2B313DBD"/>
    <w:multiLevelType w:val="hybridMultilevel"/>
    <w:tmpl w:val="57782B68"/>
    <w:lvl w:ilvl="0" w:tplc="8B84F114">
      <w:start w:val="1"/>
      <w:numFmt w:val="decimal"/>
      <w:lvlText w:val="%1."/>
      <w:lvlJc w:val="left"/>
      <w:pPr>
        <w:ind w:left="720" w:hanging="360"/>
      </w:pPr>
    </w:lvl>
    <w:lvl w:ilvl="1" w:tplc="370072E6">
      <w:start w:val="1"/>
      <w:numFmt w:val="decimal"/>
      <w:lvlText w:val="%2."/>
      <w:lvlJc w:val="left"/>
      <w:pPr>
        <w:ind w:left="720" w:hanging="360"/>
      </w:pPr>
    </w:lvl>
    <w:lvl w:ilvl="2" w:tplc="3DEE3CE8">
      <w:start w:val="1"/>
      <w:numFmt w:val="decimal"/>
      <w:lvlText w:val="%3."/>
      <w:lvlJc w:val="left"/>
      <w:pPr>
        <w:ind w:left="720" w:hanging="360"/>
      </w:pPr>
    </w:lvl>
    <w:lvl w:ilvl="3" w:tplc="FAAE76FE">
      <w:start w:val="1"/>
      <w:numFmt w:val="decimal"/>
      <w:lvlText w:val="%4."/>
      <w:lvlJc w:val="left"/>
      <w:pPr>
        <w:ind w:left="720" w:hanging="360"/>
      </w:pPr>
    </w:lvl>
    <w:lvl w:ilvl="4" w:tplc="8CEA92D6">
      <w:start w:val="1"/>
      <w:numFmt w:val="decimal"/>
      <w:lvlText w:val="%5."/>
      <w:lvlJc w:val="left"/>
      <w:pPr>
        <w:ind w:left="720" w:hanging="360"/>
      </w:pPr>
    </w:lvl>
    <w:lvl w:ilvl="5" w:tplc="8FB0B9F2">
      <w:start w:val="1"/>
      <w:numFmt w:val="decimal"/>
      <w:lvlText w:val="%6."/>
      <w:lvlJc w:val="left"/>
      <w:pPr>
        <w:ind w:left="720" w:hanging="360"/>
      </w:pPr>
    </w:lvl>
    <w:lvl w:ilvl="6" w:tplc="24AC5298">
      <w:start w:val="1"/>
      <w:numFmt w:val="decimal"/>
      <w:lvlText w:val="%7."/>
      <w:lvlJc w:val="left"/>
      <w:pPr>
        <w:ind w:left="720" w:hanging="360"/>
      </w:pPr>
    </w:lvl>
    <w:lvl w:ilvl="7" w:tplc="E51E501A">
      <w:start w:val="1"/>
      <w:numFmt w:val="decimal"/>
      <w:lvlText w:val="%8."/>
      <w:lvlJc w:val="left"/>
      <w:pPr>
        <w:ind w:left="720" w:hanging="360"/>
      </w:pPr>
    </w:lvl>
    <w:lvl w:ilvl="8" w:tplc="676035DA">
      <w:start w:val="1"/>
      <w:numFmt w:val="decimal"/>
      <w:lvlText w:val="%9."/>
      <w:lvlJc w:val="left"/>
      <w:pPr>
        <w:ind w:left="720" w:hanging="360"/>
      </w:pPr>
    </w:lvl>
  </w:abstractNum>
  <w:abstractNum w:abstractNumId="7" w15:restartNumberingAfterBreak="0">
    <w:nsid w:val="2C207A90"/>
    <w:multiLevelType w:val="hybridMultilevel"/>
    <w:tmpl w:val="58B22E94"/>
    <w:lvl w:ilvl="0" w:tplc="5D02A21A">
      <w:start w:val="1"/>
      <w:numFmt w:val="decimal"/>
      <w:lvlText w:val="%1."/>
      <w:lvlJc w:val="left"/>
      <w:pPr>
        <w:ind w:left="720" w:hanging="360"/>
      </w:pPr>
    </w:lvl>
    <w:lvl w:ilvl="1" w:tplc="6FC67DAE">
      <w:start w:val="1"/>
      <w:numFmt w:val="decimal"/>
      <w:lvlText w:val="%2."/>
      <w:lvlJc w:val="left"/>
      <w:pPr>
        <w:ind w:left="720" w:hanging="360"/>
      </w:pPr>
    </w:lvl>
    <w:lvl w:ilvl="2" w:tplc="E4B225EC">
      <w:start w:val="1"/>
      <w:numFmt w:val="decimal"/>
      <w:lvlText w:val="%3."/>
      <w:lvlJc w:val="left"/>
      <w:pPr>
        <w:ind w:left="720" w:hanging="360"/>
      </w:pPr>
    </w:lvl>
    <w:lvl w:ilvl="3" w:tplc="41B6420E">
      <w:start w:val="1"/>
      <w:numFmt w:val="decimal"/>
      <w:lvlText w:val="%4."/>
      <w:lvlJc w:val="left"/>
      <w:pPr>
        <w:ind w:left="720" w:hanging="360"/>
      </w:pPr>
    </w:lvl>
    <w:lvl w:ilvl="4" w:tplc="9508D70A">
      <w:start w:val="1"/>
      <w:numFmt w:val="decimal"/>
      <w:lvlText w:val="%5."/>
      <w:lvlJc w:val="left"/>
      <w:pPr>
        <w:ind w:left="720" w:hanging="360"/>
      </w:pPr>
    </w:lvl>
    <w:lvl w:ilvl="5" w:tplc="171E2A24">
      <w:start w:val="1"/>
      <w:numFmt w:val="decimal"/>
      <w:lvlText w:val="%6."/>
      <w:lvlJc w:val="left"/>
      <w:pPr>
        <w:ind w:left="720" w:hanging="360"/>
      </w:pPr>
    </w:lvl>
    <w:lvl w:ilvl="6" w:tplc="F2E83FF6">
      <w:start w:val="1"/>
      <w:numFmt w:val="decimal"/>
      <w:lvlText w:val="%7."/>
      <w:lvlJc w:val="left"/>
      <w:pPr>
        <w:ind w:left="720" w:hanging="360"/>
      </w:pPr>
    </w:lvl>
    <w:lvl w:ilvl="7" w:tplc="17D2429A">
      <w:start w:val="1"/>
      <w:numFmt w:val="decimal"/>
      <w:lvlText w:val="%8."/>
      <w:lvlJc w:val="left"/>
      <w:pPr>
        <w:ind w:left="720" w:hanging="360"/>
      </w:pPr>
    </w:lvl>
    <w:lvl w:ilvl="8" w:tplc="6E60F462">
      <w:start w:val="1"/>
      <w:numFmt w:val="decimal"/>
      <w:lvlText w:val="%9."/>
      <w:lvlJc w:val="left"/>
      <w:pPr>
        <w:ind w:left="720" w:hanging="360"/>
      </w:pPr>
    </w:lvl>
  </w:abstractNum>
  <w:abstractNum w:abstractNumId="8" w15:restartNumberingAfterBreak="0">
    <w:nsid w:val="2CAD2CB1"/>
    <w:multiLevelType w:val="hybridMultilevel"/>
    <w:tmpl w:val="7C9620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A87DDC"/>
    <w:multiLevelType w:val="multilevel"/>
    <w:tmpl w:val="4476D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166D2E"/>
    <w:multiLevelType w:val="hybridMultilevel"/>
    <w:tmpl w:val="444A5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523E96"/>
    <w:multiLevelType w:val="multilevel"/>
    <w:tmpl w:val="E96ED0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15:restartNumberingAfterBreak="0">
    <w:nsid w:val="37587475"/>
    <w:multiLevelType w:val="multilevel"/>
    <w:tmpl w:val="E96ED0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15:restartNumberingAfterBreak="0">
    <w:nsid w:val="48E240E0"/>
    <w:multiLevelType w:val="multilevel"/>
    <w:tmpl w:val="E96ED0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15:restartNumberingAfterBreak="0">
    <w:nsid w:val="53802CE9"/>
    <w:multiLevelType w:val="hybridMultilevel"/>
    <w:tmpl w:val="98846C44"/>
    <w:lvl w:ilvl="0" w:tplc="09E620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5E312E"/>
    <w:multiLevelType w:val="multilevel"/>
    <w:tmpl w:val="734242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68217ED9"/>
    <w:multiLevelType w:val="hybridMultilevel"/>
    <w:tmpl w:val="B1F23122"/>
    <w:lvl w:ilvl="0" w:tplc="DAD6ED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1F2DCB"/>
    <w:multiLevelType w:val="multilevel"/>
    <w:tmpl w:val="E96ED0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15:restartNumberingAfterBreak="0">
    <w:nsid w:val="7E636A76"/>
    <w:multiLevelType w:val="hybridMultilevel"/>
    <w:tmpl w:val="F2FAFA80"/>
    <w:lvl w:ilvl="0" w:tplc="D56E5F42">
      <w:start w:val="1"/>
      <w:numFmt w:val="decimal"/>
      <w:lvlText w:val="(%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15:restartNumberingAfterBreak="0">
    <w:nsid w:val="7EB54168"/>
    <w:multiLevelType w:val="multilevel"/>
    <w:tmpl w:val="E96ED0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16cid:durableId="1059597895">
    <w:abstractNumId w:val="3"/>
  </w:num>
  <w:num w:numId="2" w16cid:durableId="1528445778">
    <w:abstractNumId w:val="1"/>
  </w:num>
  <w:num w:numId="3" w16cid:durableId="494491079">
    <w:abstractNumId w:val="18"/>
  </w:num>
  <w:num w:numId="4" w16cid:durableId="1907757810">
    <w:abstractNumId w:val="12"/>
  </w:num>
  <w:num w:numId="5" w16cid:durableId="596402019">
    <w:abstractNumId w:val="0"/>
  </w:num>
  <w:num w:numId="6" w16cid:durableId="1380322171">
    <w:abstractNumId w:val="10"/>
  </w:num>
  <w:num w:numId="7" w16cid:durableId="1284772827">
    <w:abstractNumId w:val="11"/>
  </w:num>
  <w:num w:numId="8" w16cid:durableId="1100685252">
    <w:abstractNumId w:val="2"/>
  </w:num>
  <w:num w:numId="9" w16cid:durableId="1400447004">
    <w:abstractNumId w:val="5"/>
  </w:num>
  <w:num w:numId="10" w16cid:durableId="2007051386">
    <w:abstractNumId w:val="17"/>
  </w:num>
  <w:num w:numId="11" w16cid:durableId="7365854">
    <w:abstractNumId w:val="13"/>
  </w:num>
  <w:num w:numId="12" w16cid:durableId="1750729377">
    <w:abstractNumId w:val="19"/>
  </w:num>
  <w:num w:numId="13" w16cid:durableId="821966470">
    <w:abstractNumId w:val="9"/>
  </w:num>
  <w:num w:numId="14" w16cid:durableId="1888101246">
    <w:abstractNumId w:val="7"/>
  </w:num>
  <w:num w:numId="15" w16cid:durableId="814568793">
    <w:abstractNumId w:val="6"/>
  </w:num>
  <w:num w:numId="16" w16cid:durableId="722364922">
    <w:abstractNumId w:val="16"/>
  </w:num>
  <w:num w:numId="17" w16cid:durableId="1646005248">
    <w:abstractNumId w:val="4"/>
  </w:num>
  <w:num w:numId="18" w16cid:durableId="783960432">
    <w:abstractNumId w:val="14"/>
  </w:num>
  <w:num w:numId="19" w16cid:durableId="2116702996">
    <w:abstractNumId w:val="15"/>
  </w:num>
  <w:num w:numId="20" w16cid:durableId="19824220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51E"/>
    <w:rsid w:val="00002DAA"/>
    <w:rsid w:val="00003056"/>
    <w:rsid w:val="000044E2"/>
    <w:rsid w:val="00004590"/>
    <w:rsid w:val="00005AF3"/>
    <w:rsid w:val="00011104"/>
    <w:rsid w:val="0001226A"/>
    <w:rsid w:val="00012914"/>
    <w:rsid w:val="0001306C"/>
    <w:rsid w:val="00016635"/>
    <w:rsid w:val="0001687F"/>
    <w:rsid w:val="00017B82"/>
    <w:rsid w:val="00022734"/>
    <w:rsid w:val="00024B87"/>
    <w:rsid w:val="000268CE"/>
    <w:rsid w:val="00026D3E"/>
    <w:rsid w:val="00032363"/>
    <w:rsid w:val="00032ED3"/>
    <w:rsid w:val="00033B5E"/>
    <w:rsid w:val="0003443D"/>
    <w:rsid w:val="000360C5"/>
    <w:rsid w:val="000367D2"/>
    <w:rsid w:val="00037EE3"/>
    <w:rsid w:val="000405B7"/>
    <w:rsid w:val="0004298C"/>
    <w:rsid w:val="00045132"/>
    <w:rsid w:val="00050B2B"/>
    <w:rsid w:val="00050B60"/>
    <w:rsid w:val="00056A95"/>
    <w:rsid w:val="00056B65"/>
    <w:rsid w:val="00060416"/>
    <w:rsid w:val="0006228E"/>
    <w:rsid w:val="0006284F"/>
    <w:rsid w:val="00062A93"/>
    <w:rsid w:val="000636ED"/>
    <w:rsid w:val="000702E4"/>
    <w:rsid w:val="00074A83"/>
    <w:rsid w:val="00075CC6"/>
    <w:rsid w:val="00077FE2"/>
    <w:rsid w:val="00080056"/>
    <w:rsid w:val="00080289"/>
    <w:rsid w:val="00083CED"/>
    <w:rsid w:val="00090033"/>
    <w:rsid w:val="0009050B"/>
    <w:rsid w:val="00090AA1"/>
    <w:rsid w:val="00091409"/>
    <w:rsid w:val="00092050"/>
    <w:rsid w:val="00093FF2"/>
    <w:rsid w:val="00097EEA"/>
    <w:rsid w:val="000A0851"/>
    <w:rsid w:val="000A5F7F"/>
    <w:rsid w:val="000B0349"/>
    <w:rsid w:val="000B2A6B"/>
    <w:rsid w:val="000B704E"/>
    <w:rsid w:val="000B7F53"/>
    <w:rsid w:val="000C4953"/>
    <w:rsid w:val="000C5F5F"/>
    <w:rsid w:val="000C6B75"/>
    <w:rsid w:val="000D2873"/>
    <w:rsid w:val="000D4172"/>
    <w:rsid w:val="000D499F"/>
    <w:rsid w:val="000D6C37"/>
    <w:rsid w:val="000E059D"/>
    <w:rsid w:val="000E3327"/>
    <w:rsid w:val="000E686D"/>
    <w:rsid w:val="000F6242"/>
    <w:rsid w:val="000F676D"/>
    <w:rsid w:val="000F751D"/>
    <w:rsid w:val="001019AF"/>
    <w:rsid w:val="001039FF"/>
    <w:rsid w:val="001041F9"/>
    <w:rsid w:val="00105834"/>
    <w:rsid w:val="00111A15"/>
    <w:rsid w:val="001123DD"/>
    <w:rsid w:val="00123462"/>
    <w:rsid w:val="001246D2"/>
    <w:rsid w:val="00125608"/>
    <w:rsid w:val="00125BB7"/>
    <w:rsid w:val="00125FBD"/>
    <w:rsid w:val="001276EC"/>
    <w:rsid w:val="0012777C"/>
    <w:rsid w:val="00131EEF"/>
    <w:rsid w:val="00134F04"/>
    <w:rsid w:val="00135801"/>
    <w:rsid w:val="0013584E"/>
    <w:rsid w:val="001458A8"/>
    <w:rsid w:val="00145AA4"/>
    <w:rsid w:val="001461A0"/>
    <w:rsid w:val="00150F6A"/>
    <w:rsid w:val="00154748"/>
    <w:rsid w:val="00155C69"/>
    <w:rsid w:val="001578E8"/>
    <w:rsid w:val="001621DD"/>
    <w:rsid w:val="001629FA"/>
    <w:rsid w:val="001637E4"/>
    <w:rsid w:val="00164508"/>
    <w:rsid w:val="00165F40"/>
    <w:rsid w:val="00170F5C"/>
    <w:rsid w:val="00176F76"/>
    <w:rsid w:val="00180789"/>
    <w:rsid w:val="001814BB"/>
    <w:rsid w:val="00181595"/>
    <w:rsid w:val="0018238D"/>
    <w:rsid w:val="00182F79"/>
    <w:rsid w:val="001842AA"/>
    <w:rsid w:val="00186553"/>
    <w:rsid w:val="00190257"/>
    <w:rsid w:val="00192F7B"/>
    <w:rsid w:val="001977F3"/>
    <w:rsid w:val="001A1750"/>
    <w:rsid w:val="001A555C"/>
    <w:rsid w:val="001C481C"/>
    <w:rsid w:val="001C4D2F"/>
    <w:rsid w:val="001C51FC"/>
    <w:rsid w:val="001C6AEE"/>
    <w:rsid w:val="001D0249"/>
    <w:rsid w:val="001D0A85"/>
    <w:rsid w:val="001D3A0D"/>
    <w:rsid w:val="001D5CF8"/>
    <w:rsid w:val="001D63E4"/>
    <w:rsid w:val="001D6F7B"/>
    <w:rsid w:val="001E0568"/>
    <w:rsid w:val="001F04C2"/>
    <w:rsid w:val="001F0567"/>
    <w:rsid w:val="001F35C7"/>
    <w:rsid w:val="001F47CE"/>
    <w:rsid w:val="00203774"/>
    <w:rsid w:val="00203C25"/>
    <w:rsid w:val="00205C3D"/>
    <w:rsid w:val="002072EA"/>
    <w:rsid w:val="0020784A"/>
    <w:rsid w:val="00210175"/>
    <w:rsid w:val="00213363"/>
    <w:rsid w:val="002167A9"/>
    <w:rsid w:val="00220783"/>
    <w:rsid w:val="0022236C"/>
    <w:rsid w:val="0022238E"/>
    <w:rsid w:val="002244E8"/>
    <w:rsid w:val="00225A59"/>
    <w:rsid w:val="00230D36"/>
    <w:rsid w:val="0023662F"/>
    <w:rsid w:val="002366AC"/>
    <w:rsid w:val="00236BDC"/>
    <w:rsid w:val="002370FF"/>
    <w:rsid w:val="002429E6"/>
    <w:rsid w:val="00243484"/>
    <w:rsid w:val="00243BF7"/>
    <w:rsid w:val="002443E4"/>
    <w:rsid w:val="00246031"/>
    <w:rsid w:val="00246A2D"/>
    <w:rsid w:val="00250984"/>
    <w:rsid w:val="002509D1"/>
    <w:rsid w:val="00250C04"/>
    <w:rsid w:val="00251716"/>
    <w:rsid w:val="002524B1"/>
    <w:rsid w:val="00252CD9"/>
    <w:rsid w:val="002536A8"/>
    <w:rsid w:val="00256874"/>
    <w:rsid w:val="0026107C"/>
    <w:rsid w:val="00261C42"/>
    <w:rsid w:val="00263127"/>
    <w:rsid w:val="00263978"/>
    <w:rsid w:val="002646C2"/>
    <w:rsid w:val="002653EF"/>
    <w:rsid w:val="002660EC"/>
    <w:rsid w:val="002676AD"/>
    <w:rsid w:val="0027477F"/>
    <w:rsid w:val="002752DE"/>
    <w:rsid w:val="00275365"/>
    <w:rsid w:val="0027543C"/>
    <w:rsid w:val="0027667E"/>
    <w:rsid w:val="00280048"/>
    <w:rsid w:val="002805C1"/>
    <w:rsid w:val="00282484"/>
    <w:rsid w:val="0028282E"/>
    <w:rsid w:val="00282E3E"/>
    <w:rsid w:val="00291E2A"/>
    <w:rsid w:val="00293921"/>
    <w:rsid w:val="002939AC"/>
    <w:rsid w:val="002A2B7E"/>
    <w:rsid w:val="002A4995"/>
    <w:rsid w:val="002B0959"/>
    <w:rsid w:val="002B252F"/>
    <w:rsid w:val="002B78C5"/>
    <w:rsid w:val="002C58C8"/>
    <w:rsid w:val="002D02F1"/>
    <w:rsid w:val="002D412D"/>
    <w:rsid w:val="002D6B95"/>
    <w:rsid w:val="002E3B1A"/>
    <w:rsid w:val="002E542D"/>
    <w:rsid w:val="002E61A3"/>
    <w:rsid w:val="002F1F96"/>
    <w:rsid w:val="002F2155"/>
    <w:rsid w:val="00300107"/>
    <w:rsid w:val="003043B7"/>
    <w:rsid w:val="00310F8B"/>
    <w:rsid w:val="003112A3"/>
    <w:rsid w:val="00314765"/>
    <w:rsid w:val="00316F95"/>
    <w:rsid w:val="00320B66"/>
    <w:rsid w:val="00325590"/>
    <w:rsid w:val="00334E2F"/>
    <w:rsid w:val="00336A1A"/>
    <w:rsid w:val="003379F1"/>
    <w:rsid w:val="00337A86"/>
    <w:rsid w:val="00343073"/>
    <w:rsid w:val="003436A8"/>
    <w:rsid w:val="00344A7A"/>
    <w:rsid w:val="00344C43"/>
    <w:rsid w:val="00351A0B"/>
    <w:rsid w:val="003520FB"/>
    <w:rsid w:val="0035269E"/>
    <w:rsid w:val="003553EA"/>
    <w:rsid w:val="003555E8"/>
    <w:rsid w:val="00357731"/>
    <w:rsid w:val="00363182"/>
    <w:rsid w:val="00371157"/>
    <w:rsid w:val="003725E6"/>
    <w:rsid w:val="00373A00"/>
    <w:rsid w:val="00374B32"/>
    <w:rsid w:val="00375D21"/>
    <w:rsid w:val="00376910"/>
    <w:rsid w:val="00381516"/>
    <w:rsid w:val="00384824"/>
    <w:rsid w:val="003916A7"/>
    <w:rsid w:val="003A05D4"/>
    <w:rsid w:val="003A1932"/>
    <w:rsid w:val="003A26B6"/>
    <w:rsid w:val="003A2A59"/>
    <w:rsid w:val="003A482E"/>
    <w:rsid w:val="003A48FF"/>
    <w:rsid w:val="003A50A6"/>
    <w:rsid w:val="003B4342"/>
    <w:rsid w:val="003B63D1"/>
    <w:rsid w:val="003B72C1"/>
    <w:rsid w:val="003C0DD8"/>
    <w:rsid w:val="003C1B40"/>
    <w:rsid w:val="003D1DB4"/>
    <w:rsid w:val="003D2048"/>
    <w:rsid w:val="003D21B9"/>
    <w:rsid w:val="003D41DE"/>
    <w:rsid w:val="003D577C"/>
    <w:rsid w:val="003E17A4"/>
    <w:rsid w:val="003E1C5C"/>
    <w:rsid w:val="003E4C55"/>
    <w:rsid w:val="003F15EF"/>
    <w:rsid w:val="003F6981"/>
    <w:rsid w:val="00400F2F"/>
    <w:rsid w:val="004026DE"/>
    <w:rsid w:val="00402BBA"/>
    <w:rsid w:val="00403D54"/>
    <w:rsid w:val="00405DA1"/>
    <w:rsid w:val="004138EE"/>
    <w:rsid w:val="00415F25"/>
    <w:rsid w:val="00416BF3"/>
    <w:rsid w:val="0041752D"/>
    <w:rsid w:val="00423305"/>
    <w:rsid w:val="0043481A"/>
    <w:rsid w:val="004359DB"/>
    <w:rsid w:val="0044004A"/>
    <w:rsid w:val="00440289"/>
    <w:rsid w:val="004405C4"/>
    <w:rsid w:val="00441A92"/>
    <w:rsid w:val="004502F8"/>
    <w:rsid w:val="0045332B"/>
    <w:rsid w:val="004533D2"/>
    <w:rsid w:val="00457CD0"/>
    <w:rsid w:val="004647DB"/>
    <w:rsid w:val="00466FF6"/>
    <w:rsid w:val="00474F52"/>
    <w:rsid w:val="0047695F"/>
    <w:rsid w:val="00476B7A"/>
    <w:rsid w:val="004801F3"/>
    <w:rsid w:val="0048121F"/>
    <w:rsid w:val="00483B6E"/>
    <w:rsid w:val="00483BA0"/>
    <w:rsid w:val="0048435F"/>
    <w:rsid w:val="00485121"/>
    <w:rsid w:val="00494204"/>
    <w:rsid w:val="00494E50"/>
    <w:rsid w:val="004A1FD4"/>
    <w:rsid w:val="004A3BA1"/>
    <w:rsid w:val="004A5550"/>
    <w:rsid w:val="004A60BA"/>
    <w:rsid w:val="004A7AB3"/>
    <w:rsid w:val="004B3B1A"/>
    <w:rsid w:val="004B3BA7"/>
    <w:rsid w:val="004C4C92"/>
    <w:rsid w:val="004C60E3"/>
    <w:rsid w:val="004C7E19"/>
    <w:rsid w:val="004D032F"/>
    <w:rsid w:val="004D363E"/>
    <w:rsid w:val="004D66E9"/>
    <w:rsid w:val="004D7DAC"/>
    <w:rsid w:val="004E5A2F"/>
    <w:rsid w:val="004E672A"/>
    <w:rsid w:val="004E6930"/>
    <w:rsid w:val="004F004D"/>
    <w:rsid w:val="004F3DCB"/>
    <w:rsid w:val="004F46F9"/>
    <w:rsid w:val="004F4BD6"/>
    <w:rsid w:val="004F523E"/>
    <w:rsid w:val="004F557C"/>
    <w:rsid w:val="004F6526"/>
    <w:rsid w:val="004F7822"/>
    <w:rsid w:val="005003B2"/>
    <w:rsid w:val="00500A03"/>
    <w:rsid w:val="00501367"/>
    <w:rsid w:val="00502EC8"/>
    <w:rsid w:val="00503671"/>
    <w:rsid w:val="00503BAD"/>
    <w:rsid w:val="00504B4A"/>
    <w:rsid w:val="0050576D"/>
    <w:rsid w:val="00505D1A"/>
    <w:rsid w:val="00507BA7"/>
    <w:rsid w:val="0051071C"/>
    <w:rsid w:val="00511B6C"/>
    <w:rsid w:val="0052410E"/>
    <w:rsid w:val="00526105"/>
    <w:rsid w:val="00526A5F"/>
    <w:rsid w:val="0052700F"/>
    <w:rsid w:val="005303C0"/>
    <w:rsid w:val="00532F6E"/>
    <w:rsid w:val="00534CD6"/>
    <w:rsid w:val="005361FD"/>
    <w:rsid w:val="00540DEB"/>
    <w:rsid w:val="00541673"/>
    <w:rsid w:val="005430FA"/>
    <w:rsid w:val="005470CD"/>
    <w:rsid w:val="0055052A"/>
    <w:rsid w:val="00551C55"/>
    <w:rsid w:val="005541D3"/>
    <w:rsid w:val="00560D1D"/>
    <w:rsid w:val="0056100B"/>
    <w:rsid w:val="0056387E"/>
    <w:rsid w:val="00563C16"/>
    <w:rsid w:val="005647E6"/>
    <w:rsid w:val="005737BF"/>
    <w:rsid w:val="00574815"/>
    <w:rsid w:val="005757AC"/>
    <w:rsid w:val="0057712D"/>
    <w:rsid w:val="00585526"/>
    <w:rsid w:val="005901E2"/>
    <w:rsid w:val="005903DF"/>
    <w:rsid w:val="005915A8"/>
    <w:rsid w:val="00592500"/>
    <w:rsid w:val="00594FCE"/>
    <w:rsid w:val="005A18EC"/>
    <w:rsid w:val="005A280E"/>
    <w:rsid w:val="005A4A98"/>
    <w:rsid w:val="005A4B17"/>
    <w:rsid w:val="005A59ED"/>
    <w:rsid w:val="005B30BA"/>
    <w:rsid w:val="005C100D"/>
    <w:rsid w:val="005C25E9"/>
    <w:rsid w:val="005C3BDC"/>
    <w:rsid w:val="005C3E4D"/>
    <w:rsid w:val="005C6205"/>
    <w:rsid w:val="005C721E"/>
    <w:rsid w:val="005D12A5"/>
    <w:rsid w:val="005D16F7"/>
    <w:rsid w:val="005D2CD3"/>
    <w:rsid w:val="005D4E27"/>
    <w:rsid w:val="005D7736"/>
    <w:rsid w:val="005D7BC4"/>
    <w:rsid w:val="005E0D8C"/>
    <w:rsid w:val="005E205E"/>
    <w:rsid w:val="005E26DC"/>
    <w:rsid w:val="005E49AF"/>
    <w:rsid w:val="005E6754"/>
    <w:rsid w:val="005E74B0"/>
    <w:rsid w:val="005E7B5A"/>
    <w:rsid w:val="005F2FB4"/>
    <w:rsid w:val="005F665D"/>
    <w:rsid w:val="00601E59"/>
    <w:rsid w:val="00603C4C"/>
    <w:rsid w:val="00611BEE"/>
    <w:rsid w:val="00622C5D"/>
    <w:rsid w:val="006241A2"/>
    <w:rsid w:val="00624D2F"/>
    <w:rsid w:val="00625F4E"/>
    <w:rsid w:val="0063342B"/>
    <w:rsid w:val="00637C4F"/>
    <w:rsid w:val="00640F65"/>
    <w:rsid w:val="0064605E"/>
    <w:rsid w:val="006478D6"/>
    <w:rsid w:val="00652C19"/>
    <w:rsid w:val="00655784"/>
    <w:rsid w:val="00655ACB"/>
    <w:rsid w:val="00655EB6"/>
    <w:rsid w:val="0065700C"/>
    <w:rsid w:val="006639D1"/>
    <w:rsid w:val="00667E3A"/>
    <w:rsid w:val="00672616"/>
    <w:rsid w:val="00673B35"/>
    <w:rsid w:val="00677C49"/>
    <w:rsid w:val="0068007A"/>
    <w:rsid w:val="006802B3"/>
    <w:rsid w:val="00683EC7"/>
    <w:rsid w:val="00687F0F"/>
    <w:rsid w:val="00690E7D"/>
    <w:rsid w:val="006936D0"/>
    <w:rsid w:val="0069426B"/>
    <w:rsid w:val="00697935"/>
    <w:rsid w:val="006A02E8"/>
    <w:rsid w:val="006A2EEE"/>
    <w:rsid w:val="006A4250"/>
    <w:rsid w:val="006A4BF4"/>
    <w:rsid w:val="006A65C1"/>
    <w:rsid w:val="006B0AF3"/>
    <w:rsid w:val="006B2318"/>
    <w:rsid w:val="006B2350"/>
    <w:rsid w:val="006B3154"/>
    <w:rsid w:val="006B56AE"/>
    <w:rsid w:val="006C3442"/>
    <w:rsid w:val="006D21B1"/>
    <w:rsid w:val="006D2845"/>
    <w:rsid w:val="006D45C5"/>
    <w:rsid w:val="006D6FE9"/>
    <w:rsid w:val="006E48C4"/>
    <w:rsid w:val="006E5B35"/>
    <w:rsid w:val="006F1568"/>
    <w:rsid w:val="006F6AAC"/>
    <w:rsid w:val="006F7195"/>
    <w:rsid w:val="00700CE2"/>
    <w:rsid w:val="0070250C"/>
    <w:rsid w:val="00703DE8"/>
    <w:rsid w:val="00707CFD"/>
    <w:rsid w:val="00707D74"/>
    <w:rsid w:val="007100BD"/>
    <w:rsid w:val="00710345"/>
    <w:rsid w:val="00710822"/>
    <w:rsid w:val="00712CEE"/>
    <w:rsid w:val="00713311"/>
    <w:rsid w:val="0071452A"/>
    <w:rsid w:val="0071468F"/>
    <w:rsid w:val="00714A9B"/>
    <w:rsid w:val="0072031E"/>
    <w:rsid w:val="00720A7B"/>
    <w:rsid w:val="00722F6E"/>
    <w:rsid w:val="00726652"/>
    <w:rsid w:val="007272E3"/>
    <w:rsid w:val="007328FB"/>
    <w:rsid w:val="00732BF4"/>
    <w:rsid w:val="007506BC"/>
    <w:rsid w:val="00750A03"/>
    <w:rsid w:val="007511E1"/>
    <w:rsid w:val="00754D79"/>
    <w:rsid w:val="00762F57"/>
    <w:rsid w:val="00763D8E"/>
    <w:rsid w:val="00765089"/>
    <w:rsid w:val="007652A2"/>
    <w:rsid w:val="00770388"/>
    <w:rsid w:val="00775767"/>
    <w:rsid w:val="00776BEF"/>
    <w:rsid w:val="00781908"/>
    <w:rsid w:val="007871DE"/>
    <w:rsid w:val="00787E20"/>
    <w:rsid w:val="00791779"/>
    <w:rsid w:val="0079242B"/>
    <w:rsid w:val="00793B5E"/>
    <w:rsid w:val="00795A80"/>
    <w:rsid w:val="007979AB"/>
    <w:rsid w:val="007A1123"/>
    <w:rsid w:val="007A1A97"/>
    <w:rsid w:val="007B2E0C"/>
    <w:rsid w:val="007C1E3A"/>
    <w:rsid w:val="007C30E5"/>
    <w:rsid w:val="007C38F4"/>
    <w:rsid w:val="007D052D"/>
    <w:rsid w:val="007D060A"/>
    <w:rsid w:val="007E0386"/>
    <w:rsid w:val="007E1090"/>
    <w:rsid w:val="007E2583"/>
    <w:rsid w:val="007E34CA"/>
    <w:rsid w:val="007E45D1"/>
    <w:rsid w:val="007F098E"/>
    <w:rsid w:val="007F2D24"/>
    <w:rsid w:val="007F3A75"/>
    <w:rsid w:val="00804426"/>
    <w:rsid w:val="008104E5"/>
    <w:rsid w:val="00814A66"/>
    <w:rsid w:val="00815132"/>
    <w:rsid w:val="00815FEF"/>
    <w:rsid w:val="0081782D"/>
    <w:rsid w:val="0082004B"/>
    <w:rsid w:val="00820C99"/>
    <w:rsid w:val="00826BD7"/>
    <w:rsid w:val="00827A61"/>
    <w:rsid w:val="00830047"/>
    <w:rsid w:val="00830B7B"/>
    <w:rsid w:val="00837E2A"/>
    <w:rsid w:val="008409AF"/>
    <w:rsid w:val="00847FD8"/>
    <w:rsid w:val="008501D5"/>
    <w:rsid w:val="00852118"/>
    <w:rsid w:val="0085218B"/>
    <w:rsid w:val="00852ABC"/>
    <w:rsid w:val="00854EE6"/>
    <w:rsid w:val="008555B5"/>
    <w:rsid w:val="008613C1"/>
    <w:rsid w:val="008628F3"/>
    <w:rsid w:val="00864518"/>
    <w:rsid w:val="00867558"/>
    <w:rsid w:val="008721D4"/>
    <w:rsid w:val="00877EF3"/>
    <w:rsid w:val="00880973"/>
    <w:rsid w:val="00884504"/>
    <w:rsid w:val="00884BBB"/>
    <w:rsid w:val="008861FC"/>
    <w:rsid w:val="00892B47"/>
    <w:rsid w:val="008952AC"/>
    <w:rsid w:val="008958C3"/>
    <w:rsid w:val="008A1820"/>
    <w:rsid w:val="008A19A1"/>
    <w:rsid w:val="008A5F61"/>
    <w:rsid w:val="008A6D59"/>
    <w:rsid w:val="008B0A37"/>
    <w:rsid w:val="008B1883"/>
    <w:rsid w:val="008B341E"/>
    <w:rsid w:val="008B5181"/>
    <w:rsid w:val="008B5958"/>
    <w:rsid w:val="008C064B"/>
    <w:rsid w:val="008C5DF6"/>
    <w:rsid w:val="008D1859"/>
    <w:rsid w:val="008D1BF3"/>
    <w:rsid w:val="008D21A4"/>
    <w:rsid w:val="008D2B23"/>
    <w:rsid w:val="008D47F7"/>
    <w:rsid w:val="008D62E0"/>
    <w:rsid w:val="008D6BD9"/>
    <w:rsid w:val="008E06F4"/>
    <w:rsid w:val="008E0D17"/>
    <w:rsid w:val="008E3398"/>
    <w:rsid w:val="008E6A87"/>
    <w:rsid w:val="008E6AEA"/>
    <w:rsid w:val="008F0A73"/>
    <w:rsid w:val="008F0E69"/>
    <w:rsid w:val="008F1B9B"/>
    <w:rsid w:val="008F343C"/>
    <w:rsid w:val="008F6EF0"/>
    <w:rsid w:val="009006A7"/>
    <w:rsid w:val="009017CB"/>
    <w:rsid w:val="00902C60"/>
    <w:rsid w:val="00902D8F"/>
    <w:rsid w:val="00906F31"/>
    <w:rsid w:val="009076F4"/>
    <w:rsid w:val="00910D24"/>
    <w:rsid w:val="009119CD"/>
    <w:rsid w:val="00917B45"/>
    <w:rsid w:val="00922CB2"/>
    <w:rsid w:val="00923383"/>
    <w:rsid w:val="00926270"/>
    <w:rsid w:val="00926ED6"/>
    <w:rsid w:val="00927CC3"/>
    <w:rsid w:val="00933AF4"/>
    <w:rsid w:val="00936143"/>
    <w:rsid w:val="00936535"/>
    <w:rsid w:val="00937013"/>
    <w:rsid w:val="0093704F"/>
    <w:rsid w:val="0094184B"/>
    <w:rsid w:val="0094751E"/>
    <w:rsid w:val="00951F12"/>
    <w:rsid w:val="00953976"/>
    <w:rsid w:val="00954E31"/>
    <w:rsid w:val="00956866"/>
    <w:rsid w:val="0095763E"/>
    <w:rsid w:val="00961C10"/>
    <w:rsid w:val="00965C84"/>
    <w:rsid w:val="00966121"/>
    <w:rsid w:val="0096774F"/>
    <w:rsid w:val="00973009"/>
    <w:rsid w:val="00975B2D"/>
    <w:rsid w:val="00976A6E"/>
    <w:rsid w:val="0098428B"/>
    <w:rsid w:val="00984A33"/>
    <w:rsid w:val="00985A38"/>
    <w:rsid w:val="00986E18"/>
    <w:rsid w:val="00991FFA"/>
    <w:rsid w:val="00993666"/>
    <w:rsid w:val="00995B82"/>
    <w:rsid w:val="00996D0F"/>
    <w:rsid w:val="009A38AA"/>
    <w:rsid w:val="009A45EB"/>
    <w:rsid w:val="009A6DAD"/>
    <w:rsid w:val="009A7A16"/>
    <w:rsid w:val="009B350A"/>
    <w:rsid w:val="009B6AD1"/>
    <w:rsid w:val="009B7809"/>
    <w:rsid w:val="009C023D"/>
    <w:rsid w:val="009C3EBD"/>
    <w:rsid w:val="009C53DD"/>
    <w:rsid w:val="009D0FFF"/>
    <w:rsid w:val="009D1208"/>
    <w:rsid w:val="009D154C"/>
    <w:rsid w:val="009D269F"/>
    <w:rsid w:val="009D4055"/>
    <w:rsid w:val="009D7DD4"/>
    <w:rsid w:val="009E04D1"/>
    <w:rsid w:val="009E2124"/>
    <w:rsid w:val="009E2B1B"/>
    <w:rsid w:val="009E3432"/>
    <w:rsid w:val="009E523C"/>
    <w:rsid w:val="009E56AD"/>
    <w:rsid w:val="009F10D4"/>
    <w:rsid w:val="009F3D28"/>
    <w:rsid w:val="009F472C"/>
    <w:rsid w:val="009F5C03"/>
    <w:rsid w:val="009F5CC4"/>
    <w:rsid w:val="00A017C7"/>
    <w:rsid w:val="00A05E40"/>
    <w:rsid w:val="00A06CF2"/>
    <w:rsid w:val="00A10218"/>
    <w:rsid w:val="00A1091A"/>
    <w:rsid w:val="00A11267"/>
    <w:rsid w:val="00A13F30"/>
    <w:rsid w:val="00A14CF9"/>
    <w:rsid w:val="00A219A3"/>
    <w:rsid w:val="00A24623"/>
    <w:rsid w:val="00A24B6F"/>
    <w:rsid w:val="00A25F5B"/>
    <w:rsid w:val="00A31D9F"/>
    <w:rsid w:val="00A34588"/>
    <w:rsid w:val="00A35615"/>
    <w:rsid w:val="00A37278"/>
    <w:rsid w:val="00A413B7"/>
    <w:rsid w:val="00A45982"/>
    <w:rsid w:val="00A45DDF"/>
    <w:rsid w:val="00A51A7D"/>
    <w:rsid w:val="00A53737"/>
    <w:rsid w:val="00A55AA1"/>
    <w:rsid w:val="00A632AE"/>
    <w:rsid w:val="00A63716"/>
    <w:rsid w:val="00A6699D"/>
    <w:rsid w:val="00A753FC"/>
    <w:rsid w:val="00A81DD7"/>
    <w:rsid w:val="00A844E0"/>
    <w:rsid w:val="00A85BBE"/>
    <w:rsid w:val="00A86AD1"/>
    <w:rsid w:val="00A96818"/>
    <w:rsid w:val="00A97DFE"/>
    <w:rsid w:val="00AA09A6"/>
    <w:rsid w:val="00AA31C3"/>
    <w:rsid w:val="00AA614D"/>
    <w:rsid w:val="00AA68D6"/>
    <w:rsid w:val="00AA76DD"/>
    <w:rsid w:val="00AB0D3D"/>
    <w:rsid w:val="00AB20D0"/>
    <w:rsid w:val="00AB5643"/>
    <w:rsid w:val="00AB7895"/>
    <w:rsid w:val="00AC010A"/>
    <w:rsid w:val="00AC081F"/>
    <w:rsid w:val="00AC118A"/>
    <w:rsid w:val="00AC5E93"/>
    <w:rsid w:val="00AD20AE"/>
    <w:rsid w:val="00AE0F26"/>
    <w:rsid w:val="00AE4816"/>
    <w:rsid w:val="00AE4B07"/>
    <w:rsid w:val="00AE51C9"/>
    <w:rsid w:val="00AE608C"/>
    <w:rsid w:val="00AE6B94"/>
    <w:rsid w:val="00AE7B92"/>
    <w:rsid w:val="00AF7DFF"/>
    <w:rsid w:val="00AF7FE1"/>
    <w:rsid w:val="00B005B2"/>
    <w:rsid w:val="00B00F96"/>
    <w:rsid w:val="00B0230F"/>
    <w:rsid w:val="00B03F1C"/>
    <w:rsid w:val="00B04E37"/>
    <w:rsid w:val="00B06E1E"/>
    <w:rsid w:val="00B1121D"/>
    <w:rsid w:val="00B1783D"/>
    <w:rsid w:val="00B21C18"/>
    <w:rsid w:val="00B23C56"/>
    <w:rsid w:val="00B25D09"/>
    <w:rsid w:val="00B26B6E"/>
    <w:rsid w:val="00B2771F"/>
    <w:rsid w:val="00B30A74"/>
    <w:rsid w:val="00B353EA"/>
    <w:rsid w:val="00B411FB"/>
    <w:rsid w:val="00B436D3"/>
    <w:rsid w:val="00B43A14"/>
    <w:rsid w:val="00B51C18"/>
    <w:rsid w:val="00B533CC"/>
    <w:rsid w:val="00B6029C"/>
    <w:rsid w:val="00B61D95"/>
    <w:rsid w:val="00B64702"/>
    <w:rsid w:val="00B710A0"/>
    <w:rsid w:val="00B75AB0"/>
    <w:rsid w:val="00B75CA8"/>
    <w:rsid w:val="00B811EC"/>
    <w:rsid w:val="00B82C0E"/>
    <w:rsid w:val="00B846C5"/>
    <w:rsid w:val="00B84864"/>
    <w:rsid w:val="00B84D40"/>
    <w:rsid w:val="00B91888"/>
    <w:rsid w:val="00B92F48"/>
    <w:rsid w:val="00B97E7C"/>
    <w:rsid w:val="00BA2B60"/>
    <w:rsid w:val="00BA5B44"/>
    <w:rsid w:val="00BB16EC"/>
    <w:rsid w:val="00BB21C2"/>
    <w:rsid w:val="00BB2E42"/>
    <w:rsid w:val="00BB41C0"/>
    <w:rsid w:val="00BB4543"/>
    <w:rsid w:val="00BB4E67"/>
    <w:rsid w:val="00BB50E5"/>
    <w:rsid w:val="00BB6414"/>
    <w:rsid w:val="00BB7337"/>
    <w:rsid w:val="00BC0568"/>
    <w:rsid w:val="00BC24CA"/>
    <w:rsid w:val="00BD07C2"/>
    <w:rsid w:val="00BD0CFD"/>
    <w:rsid w:val="00BE036D"/>
    <w:rsid w:val="00BE0B73"/>
    <w:rsid w:val="00BE2595"/>
    <w:rsid w:val="00BE5223"/>
    <w:rsid w:val="00BF4D57"/>
    <w:rsid w:val="00BF524F"/>
    <w:rsid w:val="00C0025B"/>
    <w:rsid w:val="00C01575"/>
    <w:rsid w:val="00C0374C"/>
    <w:rsid w:val="00C0405C"/>
    <w:rsid w:val="00C063A5"/>
    <w:rsid w:val="00C1104E"/>
    <w:rsid w:val="00C11BF6"/>
    <w:rsid w:val="00C12842"/>
    <w:rsid w:val="00C13125"/>
    <w:rsid w:val="00C17C23"/>
    <w:rsid w:val="00C17DF5"/>
    <w:rsid w:val="00C200A8"/>
    <w:rsid w:val="00C2427B"/>
    <w:rsid w:val="00C3080A"/>
    <w:rsid w:val="00C30D29"/>
    <w:rsid w:val="00C362A5"/>
    <w:rsid w:val="00C37350"/>
    <w:rsid w:val="00C44A4F"/>
    <w:rsid w:val="00C46684"/>
    <w:rsid w:val="00C51A32"/>
    <w:rsid w:val="00C5298D"/>
    <w:rsid w:val="00C56FA3"/>
    <w:rsid w:val="00C60015"/>
    <w:rsid w:val="00C6084C"/>
    <w:rsid w:val="00C63847"/>
    <w:rsid w:val="00C654DF"/>
    <w:rsid w:val="00C72091"/>
    <w:rsid w:val="00C73D23"/>
    <w:rsid w:val="00C7451A"/>
    <w:rsid w:val="00C753E1"/>
    <w:rsid w:val="00C75A19"/>
    <w:rsid w:val="00C76230"/>
    <w:rsid w:val="00C76BB9"/>
    <w:rsid w:val="00C77DD8"/>
    <w:rsid w:val="00C90558"/>
    <w:rsid w:val="00C90E2F"/>
    <w:rsid w:val="00C911D4"/>
    <w:rsid w:val="00C9268E"/>
    <w:rsid w:val="00C942CB"/>
    <w:rsid w:val="00C97D5D"/>
    <w:rsid w:val="00C97F32"/>
    <w:rsid w:val="00CA105D"/>
    <w:rsid w:val="00CA1948"/>
    <w:rsid w:val="00CA1CFA"/>
    <w:rsid w:val="00CA2FD2"/>
    <w:rsid w:val="00CA3311"/>
    <w:rsid w:val="00CA4ED0"/>
    <w:rsid w:val="00CB16DD"/>
    <w:rsid w:val="00CB536B"/>
    <w:rsid w:val="00CC03CE"/>
    <w:rsid w:val="00CC0A68"/>
    <w:rsid w:val="00CC2E8B"/>
    <w:rsid w:val="00CC3778"/>
    <w:rsid w:val="00CD0A2B"/>
    <w:rsid w:val="00CD0E3E"/>
    <w:rsid w:val="00CD20C5"/>
    <w:rsid w:val="00CE0969"/>
    <w:rsid w:val="00CE0F2C"/>
    <w:rsid w:val="00CE62DA"/>
    <w:rsid w:val="00CF0BA5"/>
    <w:rsid w:val="00CF0CD8"/>
    <w:rsid w:val="00CF0DC1"/>
    <w:rsid w:val="00CF3541"/>
    <w:rsid w:val="00CF417A"/>
    <w:rsid w:val="00CF58D5"/>
    <w:rsid w:val="00CF6FC6"/>
    <w:rsid w:val="00D03283"/>
    <w:rsid w:val="00D04B28"/>
    <w:rsid w:val="00D050AE"/>
    <w:rsid w:val="00D10BE1"/>
    <w:rsid w:val="00D116DE"/>
    <w:rsid w:val="00D13740"/>
    <w:rsid w:val="00D15F8B"/>
    <w:rsid w:val="00D17F23"/>
    <w:rsid w:val="00D20970"/>
    <w:rsid w:val="00D20CFF"/>
    <w:rsid w:val="00D22B30"/>
    <w:rsid w:val="00D23622"/>
    <w:rsid w:val="00D24891"/>
    <w:rsid w:val="00D257D6"/>
    <w:rsid w:val="00D363DC"/>
    <w:rsid w:val="00D36612"/>
    <w:rsid w:val="00D3664D"/>
    <w:rsid w:val="00D369A0"/>
    <w:rsid w:val="00D4067F"/>
    <w:rsid w:val="00D430A0"/>
    <w:rsid w:val="00D45ECB"/>
    <w:rsid w:val="00D46605"/>
    <w:rsid w:val="00D47972"/>
    <w:rsid w:val="00D545A9"/>
    <w:rsid w:val="00D54823"/>
    <w:rsid w:val="00D54F2C"/>
    <w:rsid w:val="00D55355"/>
    <w:rsid w:val="00D56AC7"/>
    <w:rsid w:val="00D56B39"/>
    <w:rsid w:val="00D62EC8"/>
    <w:rsid w:val="00D63219"/>
    <w:rsid w:val="00D63D15"/>
    <w:rsid w:val="00D70C00"/>
    <w:rsid w:val="00D71873"/>
    <w:rsid w:val="00D72F6D"/>
    <w:rsid w:val="00D7482F"/>
    <w:rsid w:val="00D7527F"/>
    <w:rsid w:val="00D755B7"/>
    <w:rsid w:val="00D80F7B"/>
    <w:rsid w:val="00D8315D"/>
    <w:rsid w:val="00D83EEB"/>
    <w:rsid w:val="00D872F8"/>
    <w:rsid w:val="00D87353"/>
    <w:rsid w:val="00D87ACF"/>
    <w:rsid w:val="00D92895"/>
    <w:rsid w:val="00D9455D"/>
    <w:rsid w:val="00D9550E"/>
    <w:rsid w:val="00D96634"/>
    <w:rsid w:val="00DA0530"/>
    <w:rsid w:val="00DA4619"/>
    <w:rsid w:val="00DA517A"/>
    <w:rsid w:val="00DA6933"/>
    <w:rsid w:val="00DA6FD7"/>
    <w:rsid w:val="00DB34D8"/>
    <w:rsid w:val="00DB39C2"/>
    <w:rsid w:val="00DB54E1"/>
    <w:rsid w:val="00DB5630"/>
    <w:rsid w:val="00DB5A1D"/>
    <w:rsid w:val="00DB6449"/>
    <w:rsid w:val="00DB71D4"/>
    <w:rsid w:val="00DB7DAD"/>
    <w:rsid w:val="00DC2BE4"/>
    <w:rsid w:val="00DC3D28"/>
    <w:rsid w:val="00DD1C1C"/>
    <w:rsid w:val="00DD2369"/>
    <w:rsid w:val="00DD2A9F"/>
    <w:rsid w:val="00DD35AA"/>
    <w:rsid w:val="00DD4270"/>
    <w:rsid w:val="00DD43E0"/>
    <w:rsid w:val="00DD639F"/>
    <w:rsid w:val="00DD6E09"/>
    <w:rsid w:val="00DE4700"/>
    <w:rsid w:val="00DF03CC"/>
    <w:rsid w:val="00DF0DA7"/>
    <w:rsid w:val="00DF12E8"/>
    <w:rsid w:val="00DF21D8"/>
    <w:rsid w:val="00DF5386"/>
    <w:rsid w:val="00DF6CB3"/>
    <w:rsid w:val="00DF70B8"/>
    <w:rsid w:val="00DF7212"/>
    <w:rsid w:val="00DF77D9"/>
    <w:rsid w:val="00DF7909"/>
    <w:rsid w:val="00E0062D"/>
    <w:rsid w:val="00E01CFA"/>
    <w:rsid w:val="00E02E96"/>
    <w:rsid w:val="00E02FCD"/>
    <w:rsid w:val="00E0709C"/>
    <w:rsid w:val="00E0728F"/>
    <w:rsid w:val="00E07C55"/>
    <w:rsid w:val="00E16B39"/>
    <w:rsid w:val="00E16CD6"/>
    <w:rsid w:val="00E17763"/>
    <w:rsid w:val="00E205B4"/>
    <w:rsid w:val="00E2098B"/>
    <w:rsid w:val="00E275CE"/>
    <w:rsid w:val="00E2777E"/>
    <w:rsid w:val="00E2789B"/>
    <w:rsid w:val="00E27F7C"/>
    <w:rsid w:val="00E3172F"/>
    <w:rsid w:val="00E36FC2"/>
    <w:rsid w:val="00E40E44"/>
    <w:rsid w:val="00E43E9F"/>
    <w:rsid w:val="00E44D51"/>
    <w:rsid w:val="00E51047"/>
    <w:rsid w:val="00E534A2"/>
    <w:rsid w:val="00E53DED"/>
    <w:rsid w:val="00E56571"/>
    <w:rsid w:val="00E573C0"/>
    <w:rsid w:val="00E57803"/>
    <w:rsid w:val="00E636CA"/>
    <w:rsid w:val="00E63FA7"/>
    <w:rsid w:val="00E64CAF"/>
    <w:rsid w:val="00E66449"/>
    <w:rsid w:val="00E7247F"/>
    <w:rsid w:val="00E724C7"/>
    <w:rsid w:val="00E72D63"/>
    <w:rsid w:val="00E7436F"/>
    <w:rsid w:val="00E75632"/>
    <w:rsid w:val="00E76110"/>
    <w:rsid w:val="00E77FBE"/>
    <w:rsid w:val="00E80956"/>
    <w:rsid w:val="00E82867"/>
    <w:rsid w:val="00E835B5"/>
    <w:rsid w:val="00E846B5"/>
    <w:rsid w:val="00E87A43"/>
    <w:rsid w:val="00E93590"/>
    <w:rsid w:val="00E93C3A"/>
    <w:rsid w:val="00EA01E5"/>
    <w:rsid w:val="00EA4771"/>
    <w:rsid w:val="00EA4A5A"/>
    <w:rsid w:val="00EA552D"/>
    <w:rsid w:val="00EB547D"/>
    <w:rsid w:val="00EC0881"/>
    <w:rsid w:val="00EC0C96"/>
    <w:rsid w:val="00EC3F72"/>
    <w:rsid w:val="00EC473D"/>
    <w:rsid w:val="00EC7D7A"/>
    <w:rsid w:val="00ED2003"/>
    <w:rsid w:val="00ED677A"/>
    <w:rsid w:val="00EE0DF3"/>
    <w:rsid w:val="00EE2024"/>
    <w:rsid w:val="00EE345E"/>
    <w:rsid w:val="00EE41C6"/>
    <w:rsid w:val="00EE54A1"/>
    <w:rsid w:val="00EF069B"/>
    <w:rsid w:val="00EF32FD"/>
    <w:rsid w:val="00EF40FD"/>
    <w:rsid w:val="00EF4316"/>
    <w:rsid w:val="00EF5299"/>
    <w:rsid w:val="00EF643C"/>
    <w:rsid w:val="00F02FE6"/>
    <w:rsid w:val="00F06387"/>
    <w:rsid w:val="00F0655A"/>
    <w:rsid w:val="00F07FD1"/>
    <w:rsid w:val="00F10D60"/>
    <w:rsid w:val="00F13319"/>
    <w:rsid w:val="00F1385D"/>
    <w:rsid w:val="00F16258"/>
    <w:rsid w:val="00F2312B"/>
    <w:rsid w:val="00F23D5D"/>
    <w:rsid w:val="00F271ED"/>
    <w:rsid w:val="00F31D81"/>
    <w:rsid w:val="00F32CC3"/>
    <w:rsid w:val="00F41FBB"/>
    <w:rsid w:val="00F449B9"/>
    <w:rsid w:val="00F458CD"/>
    <w:rsid w:val="00F500D5"/>
    <w:rsid w:val="00F53E39"/>
    <w:rsid w:val="00F63052"/>
    <w:rsid w:val="00F63AE2"/>
    <w:rsid w:val="00F71640"/>
    <w:rsid w:val="00F75B9F"/>
    <w:rsid w:val="00F761A9"/>
    <w:rsid w:val="00F77190"/>
    <w:rsid w:val="00F813A6"/>
    <w:rsid w:val="00F81E86"/>
    <w:rsid w:val="00F83B7A"/>
    <w:rsid w:val="00F85D52"/>
    <w:rsid w:val="00F862A7"/>
    <w:rsid w:val="00F87278"/>
    <w:rsid w:val="00F87A02"/>
    <w:rsid w:val="00F87B2E"/>
    <w:rsid w:val="00F94C8A"/>
    <w:rsid w:val="00F95B78"/>
    <w:rsid w:val="00F9637D"/>
    <w:rsid w:val="00F96923"/>
    <w:rsid w:val="00FA217E"/>
    <w:rsid w:val="00FA24EA"/>
    <w:rsid w:val="00FA2D7D"/>
    <w:rsid w:val="00FA4F44"/>
    <w:rsid w:val="00FA652B"/>
    <w:rsid w:val="00FB3F8C"/>
    <w:rsid w:val="00FB49D9"/>
    <w:rsid w:val="00FB69B3"/>
    <w:rsid w:val="00FC1EA3"/>
    <w:rsid w:val="00FC3B38"/>
    <w:rsid w:val="00FC4CF9"/>
    <w:rsid w:val="00FC561F"/>
    <w:rsid w:val="00FD20B4"/>
    <w:rsid w:val="00FD4E82"/>
    <w:rsid w:val="00FD6838"/>
    <w:rsid w:val="00FD7F5F"/>
    <w:rsid w:val="00FE1BAB"/>
    <w:rsid w:val="00FE3DE4"/>
    <w:rsid w:val="00FE724A"/>
    <w:rsid w:val="00FF009F"/>
    <w:rsid w:val="00FF0A87"/>
    <w:rsid w:val="00FF1A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28C3A6"/>
  <w15:docId w15:val="{E4DF8420-245B-495A-B2C0-1209ABCB7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0C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02F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2E8B"/>
    <w:pPr>
      <w:ind w:left="720"/>
      <w:contextualSpacing/>
    </w:pPr>
  </w:style>
  <w:style w:type="table" w:styleId="TableGrid">
    <w:name w:val="Table Grid"/>
    <w:basedOn w:val="TableNormal"/>
    <w:uiPriority w:val="39"/>
    <w:rsid w:val="00CC0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60EC"/>
    <w:rPr>
      <w:color w:val="0563C1" w:themeColor="hyperlink"/>
      <w:u w:val="single"/>
    </w:rPr>
  </w:style>
  <w:style w:type="character" w:styleId="UnresolvedMention">
    <w:name w:val="Unresolved Mention"/>
    <w:basedOn w:val="DefaultParagraphFont"/>
    <w:uiPriority w:val="99"/>
    <w:semiHidden/>
    <w:unhideWhenUsed/>
    <w:rsid w:val="002660EC"/>
    <w:rPr>
      <w:color w:val="605E5C"/>
      <w:shd w:val="clear" w:color="auto" w:fill="E1DFDD"/>
    </w:rPr>
  </w:style>
  <w:style w:type="paragraph" w:styleId="Bibliography">
    <w:name w:val="Bibliography"/>
    <w:basedOn w:val="Normal"/>
    <w:next w:val="Normal"/>
    <w:uiPriority w:val="37"/>
    <w:unhideWhenUsed/>
    <w:rsid w:val="002660EC"/>
    <w:pPr>
      <w:tabs>
        <w:tab w:val="left" w:pos="384"/>
      </w:tabs>
      <w:spacing w:after="0" w:line="480" w:lineRule="auto"/>
      <w:ind w:left="384" w:hanging="384"/>
    </w:pPr>
  </w:style>
  <w:style w:type="character" w:customStyle="1" w:styleId="Heading1Char">
    <w:name w:val="Heading 1 Char"/>
    <w:basedOn w:val="DefaultParagraphFont"/>
    <w:link w:val="Heading1"/>
    <w:uiPriority w:val="9"/>
    <w:rsid w:val="00700CE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A06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CF2"/>
  </w:style>
  <w:style w:type="paragraph" w:styleId="Footer">
    <w:name w:val="footer"/>
    <w:basedOn w:val="Normal"/>
    <w:link w:val="FooterChar"/>
    <w:uiPriority w:val="99"/>
    <w:unhideWhenUsed/>
    <w:rsid w:val="00A06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CF2"/>
  </w:style>
  <w:style w:type="character" w:styleId="CommentReference">
    <w:name w:val="annotation reference"/>
    <w:basedOn w:val="DefaultParagraphFont"/>
    <w:uiPriority w:val="99"/>
    <w:semiHidden/>
    <w:unhideWhenUsed/>
    <w:rsid w:val="00A45982"/>
    <w:rPr>
      <w:sz w:val="16"/>
      <w:szCs w:val="16"/>
    </w:rPr>
  </w:style>
  <w:style w:type="paragraph" w:styleId="CommentText">
    <w:name w:val="annotation text"/>
    <w:basedOn w:val="Normal"/>
    <w:link w:val="CommentTextChar"/>
    <w:uiPriority w:val="99"/>
    <w:unhideWhenUsed/>
    <w:rsid w:val="00A45982"/>
    <w:pPr>
      <w:spacing w:line="240" w:lineRule="auto"/>
    </w:pPr>
    <w:rPr>
      <w:sz w:val="20"/>
      <w:szCs w:val="20"/>
    </w:rPr>
  </w:style>
  <w:style w:type="character" w:customStyle="1" w:styleId="CommentTextChar">
    <w:name w:val="Comment Text Char"/>
    <w:basedOn w:val="DefaultParagraphFont"/>
    <w:link w:val="CommentText"/>
    <w:uiPriority w:val="99"/>
    <w:rsid w:val="00A45982"/>
    <w:rPr>
      <w:sz w:val="20"/>
      <w:szCs w:val="20"/>
    </w:rPr>
  </w:style>
  <w:style w:type="paragraph" w:styleId="CommentSubject">
    <w:name w:val="annotation subject"/>
    <w:basedOn w:val="CommentText"/>
    <w:next w:val="CommentText"/>
    <w:link w:val="CommentSubjectChar"/>
    <w:uiPriority w:val="99"/>
    <w:semiHidden/>
    <w:unhideWhenUsed/>
    <w:rsid w:val="00A45982"/>
    <w:rPr>
      <w:b/>
      <w:bCs/>
    </w:rPr>
  </w:style>
  <w:style w:type="character" w:customStyle="1" w:styleId="CommentSubjectChar">
    <w:name w:val="Comment Subject Char"/>
    <w:basedOn w:val="CommentTextChar"/>
    <w:link w:val="CommentSubject"/>
    <w:uiPriority w:val="99"/>
    <w:semiHidden/>
    <w:rsid w:val="00A45982"/>
    <w:rPr>
      <w:b/>
      <w:bCs/>
      <w:sz w:val="20"/>
      <w:szCs w:val="20"/>
    </w:rPr>
  </w:style>
  <w:style w:type="paragraph" w:styleId="Revision">
    <w:name w:val="Revision"/>
    <w:hidden/>
    <w:uiPriority w:val="99"/>
    <w:semiHidden/>
    <w:rsid w:val="00371157"/>
    <w:pPr>
      <w:spacing w:after="0" w:line="240" w:lineRule="auto"/>
    </w:pPr>
  </w:style>
  <w:style w:type="character" w:styleId="FollowedHyperlink">
    <w:name w:val="FollowedHyperlink"/>
    <w:basedOn w:val="DefaultParagraphFont"/>
    <w:uiPriority w:val="99"/>
    <w:semiHidden/>
    <w:unhideWhenUsed/>
    <w:rsid w:val="005A280E"/>
    <w:rPr>
      <w:color w:val="954F72" w:themeColor="followedHyperlink"/>
      <w:u w:val="single"/>
    </w:rPr>
  </w:style>
  <w:style w:type="table" w:customStyle="1" w:styleId="TableGrid1">
    <w:name w:val="Table Grid1"/>
    <w:basedOn w:val="TableNormal"/>
    <w:next w:val="TableGrid"/>
    <w:uiPriority w:val="59"/>
    <w:rsid w:val="0068007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501D5"/>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02FE6"/>
    <w:pPr>
      <w:spacing w:after="0"/>
    </w:pPr>
  </w:style>
  <w:style w:type="character" w:customStyle="1" w:styleId="Heading2Char">
    <w:name w:val="Heading 2 Char"/>
    <w:basedOn w:val="DefaultParagraphFont"/>
    <w:link w:val="Heading2"/>
    <w:uiPriority w:val="9"/>
    <w:rsid w:val="00F02FE6"/>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359DB"/>
    <w:pPr>
      <w:outlineLvl w:val="9"/>
    </w:pPr>
    <w:rPr>
      <w:kern w:val="0"/>
      <w:lang w:eastAsia="en-US"/>
      <w14:ligatures w14:val="none"/>
    </w:rPr>
  </w:style>
  <w:style w:type="paragraph" w:styleId="TOC1">
    <w:name w:val="toc 1"/>
    <w:basedOn w:val="Normal"/>
    <w:next w:val="Normal"/>
    <w:autoRedefine/>
    <w:uiPriority w:val="39"/>
    <w:unhideWhenUsed/>
    <w:rsid w:val="00FA4F44"/>
    <w:pPr>
      <w:tabs>
        <w:tab w:val="right" w:leader="dot" w:pos="9350"/>
      </w:tabs>
      <w:spacing w:after="100"/>
    </w:pPr>
  </w:style>
  <w:style w:type="paragraph" w:styleId="TOC2">
    <w:name w:val="toc 2"/>
    <w:basedOn w:val="Normal"/>
    <w:next w:val="Normal"/>
    <w:autoRedefine/>
    <w:uiPriority w:val="39"/>
    <w:unhideWhenUsed/>
    <w:rsid w:val="004359DB"/>
    <w:pPr>
      <w:spacing w:after="100"/>
      <w:ind w:left="220"/>
    </w:pPr>
  </w:style>
  <w:style w:type="table" w:customStyle="1" w:styleId="TableGrid2">
    <w:name w:val="Table Grid2"/>
    <w:basedOn w:val="TableNormal"/>
    <w:next w:val="TableGrid"/>
    <w:uiPriority w:val="59"/>
    <w:rsid w:val="008809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92895"/>
  </w:style>
  <w:style w:type="character" w:customStyle="1" w:styleId="UnresolvedMention1">
    <w:name w:val="Unresolved Mention1"/>
    <w:basedOn w:val="DefaultParagraphFont"/>
    <w:uiPriority w:val="99"/>
    <w:semiHidden/>
    <w:unhideWhenUsed/>
    <w:rsid w:val="00D92895"/>
    <w:rPr>
      <w:color w:val="605E5C"/>
      <w:shd w:val="clear" w:color="auto" w:fill="E1DFDD"/>
    </w:rPr>
  </w:style>
  <w:style w:type="paragraph" w:styleId="NormalWeb">
    <w:name w:val="Normal (Web)"/>
    <w:basedOn w:val="Normal"/>
    <w:uiPriority w:val="99"/>
    <w:semiHidden/>
    <w:unhideWhenUsed/>
    <w:rsid w:val="00D92895"/>
    <w:pPr>
      <w:spacing w:after="200" w:line="276" w:lineRule="auto"/>
    </w:pPr>
    <w:rPr>
      <w:rFonts w:ascii="Times New Roman" w:hAnsi="Times New Roman" w:cs="Times New Roman"/>
      <w:kern w:val="0"/>
      <w:sz w:val="24"/>
      <w:szCs w:val="24"/>
      <w14:ligatures w14:val="none"/>
    </w:rPr>
  </w:style>
  <w:style w:type="table" w:customStyle="1" w:styleId="TableGrid3">
    <w:name w:val="Table Grid3"/>
    <w:basedOn w:val="TableNormal"/>
    <w:next w:val="TableGrid"/>
    <w:uiPriority w:val="59"/>
    <w:rsid w:val="00D9289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92895"/>
    <w:rPr>
      <w:color w:val="808080"/>
    </w:rPr>
  </w:style>
  <w:style w:type="paragraph" w:styleId="BalloonText">
    <w:name w:val="Balloon Text"/>
    <w:basedOn w:val="Normal"/>
    <w:link w:val="BalloonTextChar"/>
    <w:uiPriority w:val="99"/>
    <w:semiHidden/>
    <w:unhideWhenUsed/>
    <w:rsid w:val="00D92895"/>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D92895"/>
    <w:rPr>
      <w:rFonts w:ascii="Segoe UI" w:hAnsi="Segoe UI" w:cs="Segoe UI"/>
      <w:kern w:val="0"/>
      <w:sz w:val="18"/>
      <w:szCs w:val="18"/>
      <w14:ligatures w14:val="none"/>
    </w:rPr>
  </w:style>
  <w:style w:type="character" w:customStyle="1" w:styleId="fontstyle01">
    <w:name w:val="fontstyle01"/>
    <w:basedOn w:val="DefaultParagraphFont"/>
    <w:rsid w:val="00D92895"/>
    <w:rPr>
      <w:rFonts w:ascii="AdvOT2e364b11" w:hAnsi="AdvOT2e364b11" w:hint="default"/>
      <w:b w:val="0"/>
      <w:bCs w:val="0"/>
      <w:i w:val="0"/>
      <w:iCs w:val="0"/>
      <w:color w:val="000000"/>
      <w:sz w:val="20"/>
      <w:szCs w:val="20"/>
    </w:rPr>
  </w:style>
  <w:style w:type="character" w:customStyle="1" w:styleId="rynqvb">
    <w:name w:val="rynqvb"/>
    <w:basedOn w:val="DefaultParagraphFont"/>
    <w:rsid w:val="00D92895"/>
  </w:style>
  <w:style w:type="character" w:styleId="LineNumber">
    <w:name w:val="line number"/>
    <w:basedOn w:val="DefaultParagraphFont"/>
    <w:uiPriority w:val="99"/>
    <w:semiHidden/>
    <w:unhideWhenUsed/>
    <w:rsid w:val="00D92895"/>
  </w:style>
  <w:style w:type="paragraph" w:styleId="EndnoteText">
    <w:name w:val="endnote text"/>
    <w:basedOn w:val="Normal"/>
    <w:link w:val="EndnoteTextChar"/>
    <w:uiPriority w:val="99"/>
    <w:semiHidden/>
    <w:unhideWhenUsed/>
    <w:rsid w:val="00D92895"/>
    <w:pPr>
      <w:spacing w:after="0" w:line="240" w:lineRule="auto"/>
    </w:pPr>
    <w:rPr>
      <w:kern w:val="0"/>
      <w:sz w:val="20"/>
      <w:szCs w:val="20"/>
      <w14:ligatures w14:val="none"/>
    </w:rPr>
  </w:style>
  <w:style w:type="character" w:customStyle="1" w:styleId="EndnoteTextChar">
    <w:name w:val="Endnote Text Char"/>
    <w:basedOn w:val="DefaultParagraphFont"/>
    <w:link w:val="EndnoteText"/>
    <w:uiPriority w:val="99"/>
    <w:semiHidden/>
    <w:rsid w:val="00D92895"/>
    <w:rPr>
      <w:kern w:val="0"/>
      <w:sz w:val="20"/>
      <w:szCs w:val="20"/>
      <w14:ligatures w14:val="none"/>
    </w:rPr>
  </w:style>
  <w:style w:type="character" w:styleId="EndnoteReference">
    <w:name w:val="endnote reference"/>
    <w:basedOn w:val="DefaultParagraphFont"/>
    <w:uiPriority w:val="99"/>
    <w:semiHidden/>
    <w:unhideWhenUsed/>
    <w:rsid w:val="00D92895"/>
    <w:rPr>
      <w:vertAlign w:val="superscript"/>
    </w:rPr>
  </w:style>
  <w:style w:type="table" w:customStyle="1" w:styleId="TableGrid4">
    <w:name w:val="Table Grid4"/>
    <w:basedOn w:val="TableNormal"/>
    <w:next w:val="TableGrid"/>
    <w:uiPriority w:val="59"/>
    <w:rsid w:val="00F10D6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05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214149">
      <w:bodyDiv w:val="1"/>
      <w:marLeft w:val="0"/>
      <w:marRight w:val="0"/>
      <w:marTop w:val="0"/>
      <w:marBottom w:val="0"/>
      <w:divBdr>
        <w:top w:val="none" w:sz="0" w:space="0" w:color="auto"/>
        <w:left w:val="none" w:sz="0" w:space="0" w:color="auto"/>
        <w:bottom w:val="none" w:sz="0" w:space="0" w:color="auto"/>
        <w:right w:val="none" w:sz="0" w:space="0" w:color="auto"/>
      </w:divBdr>
    </w:div>
    <w:div w:id="85810936">
      <w:bodyDiv w:val="1"/>
      <w:marLeft w:val="0"/>
      <w:marRight w:val="0"/>
      <w:marTop w:val="0"/>
      <w:marBottom w:val="0"/>
      <w:divBdr>
        <w:top w:val="none" w:sz="0" w:space="0" w:color="auto"/>
        <w:left w:val="none" w:sz="0" w:space="0" w:color="auto"/>
        <w:bottom w:val="none" w:sz="0" w:space="0" w:color="auto"/>
        <w:right w:val="none" w:sz="0" w:space="0" w:color="auto"/>
      </w:divBdr>
    </w:div>
    <w:div w:id="130750615">
      <w:bodyDiv w:val="1"/>
      <w:marLeft w:val="0"/>
      <w:marRight w:val="0"/>
      <w:marTop w:val="0"/>
      <w:marBottom w:val="0"/>
      <w:divBdr>
        <w:top w:val="none" w:sz="0" w:space="0" w:color="auto"/>
        <w:left w:val="none" w:sz="0" w:space="0" w:color="auto"/>
        <w:bottom w:val="none" w:sz="0" w:space="0" w:color="auto"/>
        <w:right w:val="none" w:sz="0" w:space="0" w:color="auto"/>
      </w:divBdr>
    </w:div>
    <w:div w:id="178081492">
      <w:bodyDiv w:val="1"/>
      <w:marLeft w:val="0"/>
      <w:marRight w:val="0"/>
      <w:marTop w:val="0"/>
      <w:marBottom w:val="0"/>
      <w:divBdr>
        <w:top w:val="none" w:sz="0" w:space="0" w:color="auto"/>
        <w:left w:val="none" w:sz="0" w:space="0" w:color="auto"/>
        <w:bottom w:val="none" w:sz="0" w:space="0" w:color="auto"/>
        <w:right w:val="none" w:sz="0" w:space="0" w:color="auto"/>
      </w:divBdr>
    </w:div>
    <w:div w:id="187908642">
      <w:bodyDiv w:val="1"/>
      <w:marLeft w:val="0"/>
      <w:marRight w:val="0"/>
      <w:marTop w:val="0"/>
      <w:marBottom w:val="0"/>
      <w:divBdr>
        <w:top w:val="none" w:sz="0" w:space="0" w:color="auto"/>
        <w:left w:val="none" w:sz="0" w:space="0" w:color="auto"/>
        <w:bottom w:val="none" w:sz="0" w:space="0" w:color="auto"/>
        <w:right w:val="none" w:sz="0" w:space="0" w:color="auto"/>
      </w:divBdr>
    </w:div>
    <w:div w:id="203640600">
      <w:bodyDiv w:val="1"/>
      <w:marLeft w:val="0"/>
      <w:marRight w:val="0"/>
      <w:marTop w:val="0"/>
      <w:marBottom w:val="0"/>
      <w:divBdr>
        <w:top w:val="none" w:sz="0" w:space="0" w:color="auto"/>
        <w:left w:val="none" w:sz="0" w:space="0" w:color="auto"/>
        <w:bottom w:val="none" w:sz="0" w:space="0" w:color="auto"/>
        <w:right w:val="none" w:sz="0" w:space="0" w:color="auto"/>
      </w:divBdr>
    </w:div>
    <w:div w:id="246622473">
      <w:bodyDiv w:val="1"/>
      <w:marLeft w:val="0"/>
      <w:marRight w:val="0"/>
      <w:marTop w:val="0"/>
      <w:marBottom w:val="0"/>
      <w:divBdr>
        <w:top w:val="none" w:sz="0" w:space="0" w:color="auto"/>
        <w:left w:val="none" w:sz="0" w:space="0" w:color="auto"/>
        <w:bottom w:val="none" w:sz="0" w:space="0" w:color="auto"/>
        <w:right w:val="none" w:sz="0" w:space="0" w:color="auto"/>
      </w:divBdr>
    </w:div>
    <w:div w:id="264575944">
      <w:bodyDiv w:val="1"/>
      <w:marLeft w:val="0"/>
      <w:marRight w:val="0"/>
      <w:marTop w:val="0"/>
      <w:marBottom w:val="0"/>
      <w:divBdr>
        <w:top w:val="none" w:sz="0" w:space="0" w:color="auto"/>
        <w:left w:val="none" w:sz="0" w:space="0" w:color="auto"/>
        <w:bottom w:val="none" w:sz="0" w:space="0" w:color="auto"/>
        <w:right w:val="none" w:sz="0" w:space="0" w:color="auto"/>
      </w:divBdr>
    </w:div>
    <w:div w:id="279337361">
      <w:bodyDiv w:val="1"/>
      <w:marLeft w:val="0"/>
      <w:marRight w:val="0"/>
      <w:marTop w:val="0"/>
      <w:marBottom w:val="0"/>
      <w:divBdr>
        <w:top w:val="none" w:sz="0" w:space="0" w:color="auto"/>
        <w:left w:val="none" w:sz="0" w:space="0" w:color="auto"/>
        <w:bottom w:val="none" w:sz="0" w:space="0" w:color="auto"/>
        <w:right w:val="none" w:sz="0" w:space="0" w:color="auto"/>
      </w:divBdr>
    </w:div>
    <w:div w:id="315115182">
      <w:bodyDiv w:val="1"/>
      <w:marLeft w:val="0"/>
      <w:marRight w:val="0"/>
      <w:marTop w:val="0"/>
      <w:marBottom w:val="0"/>
      <w:divBdr>
        <w:top w:val="none" w:sz="0" w:space="0" w:color="auto"/>
        <w:left w:val="none" w:sz="0" w:space="0" w:color="auto"/>
        <w:bottom w:val="none" w:sz="0" w:space="0" w:color="auto"/>
        <w:right w:val="none" w:sz="0" w:space="0" w:color="auto"/>
      </w:divBdr>
    </w:div>
    <w:div w:id="318387863">
      <w:bodyDiv w:val="1"/>
      <w:marLeft w:val="0"/>
      <w:marRight w:val="0"/>
      <w:marTop w:val="0"/>
      <w:marBottom w:val="0"/>
      <w:divBdr>
        <w:top w:val="none" w:sz="0" w:space="0" w:color="auto"/>
        <w:left w:val="none" w:sz="0" w:space="0" w:color="auto"/>
        <w:bottom w:val="none" w:sz="0" w:space="0" w:color="auto"/>
        <w:right w:val="none" w:sz="0" w:space="0" w:color="auto"/>
      </w:divBdr>
    </w:div>
    <w:div w:id="358508843">
      <w:bodyDiv w:val="1"/>
      <w:marLeft w:val="0"/>
      <w:marRight w:val="0"/>
      <w:marTop w:val="0"/>
      <w:marBottom w:val="0"/>
      <w:divBdr>
        <w:top w:val="none" w:sz="0" w:space="0" w:color="auto"/>
        <w:left w:val="none" w:sz="0" w:space="0" w:color="auto"/>
        <w:bottom w:val="none" w:sz="0" w:space="0" w:color="auto"/>
        <w:right w:val="none" w:sz="0" w:space="0" w:color="auto"/>
      </w:divBdr>
    </w:div>
    <w:div w:id="376198675">
      <w:bodyDiv w:val="1"/>
      <w:marLeft w:val="0"/>
      <w:marRight w:val="0"/>
      <w:marTop w:val="0"/>
      <w:marBottom w:val="0"/>
      <w:divBdr>
        <w:top w:val="none" w:sz="0" w:space="0" w:color="auto"/>
        <w:left w:val="none" w:sz="0" w:space="0" w:color="auto"/>
        <w:bottom w:val="none" w:sz="0" w:space="0" w:color="auto"/>
        <w:right w:val="none" w:sz="0" w:space="0" w:color="auto"/>
      </w:divBdr>
    </w:div>
    <w:div w:id="592930841">
      <w:bodyDiv w:val="1"/>
      <w:marLeft w:val="0"/>
      <w:marRight w:val="0"/>
      <w:marTop w:val="0"/>
      <w:marBottom w:val="0"/>
      <w:divBdr>
        <w:top w:val="none" w:sz="0" w:space="0" w:color="auto"/>
        <w:left w:val="none" w:sz="0" w:space="0" w:color="auto"/>
        <w:bottom w:val="none" w:sz="0" w:space="0" w:color="auto"/>
        <w:right w:val="none" w:sz="0" w:space="0" w:color="auto"/>
      </w:divBdr>
    </w:div>
    <w:div w:id="635186366">
      <w:bodyDiv w:val="1"/>
      <w:marLeft w:val="0"/>
      <w:marRight w:val="0"/>
      <w:marTop w:val="0"/>
      <w:marBottom w:val="0"/>
      <w:divBdr>
        <w:top w:val="none" w:sz="0" w:space="0" w:color="auto"/>
        <w:left w:val="none" w:sz="0" w:space="0" w:color="auto"/>
        <w:bottom w:val="none" w:sz="0" w:space="0" w:color="auto"/>
        <w:right w:val="none" w:sz="0" w:space="0" w:color="auto"/>
      </w:divBdr>
    </w:div>
    <w:div w:id="745808093">
      <w:bodyDiv w:val="1"/>
      <w:marLeft w:val="0"/>
      <w:marRight w:val="0"/>
      <w:marTop w:val="0"/>
      <w:marBottom w:val="0"/>
      <w:divBdr>
        <w:top w:val="none" w:sz="0" w:space="0" w:color="auto"/>
        <w:left w:val="none" w:sz="0" w:space="0" w:color="auto"/>
        <w:bottom w:val="none" w:sz="0" w:space="0" w:color="auto"/>
        <w:right w:val="none" w:sz="0" w:space="0" w:color="auto"/>
      </w:divBdr>
    </w:div>
    <w:div w:id="822038632">
      <w:bodyDiv w:val="1"/>
      <w:marLeft w:val="0"/>
      <w:marRight w:val="0"/>
      <w:marTop w:val="0"/>
      <w:marBottom w:val="0"/>
      <w:divBdr>
        <w:top w:val="none" w:sz="0" w:space="0" w:color="auto"/>
        <w:left w:val="none" w:sz="0" w:space="0" w:color="auto"/>
        <w:bottom w:val="none" w:sz="0" w:space="0" w:color="auto"/>
        <w:right w:val="none" w:sz="0" w:space="0" w:color="auto"/>
      </w:divBdr>
    </w:div>
    <w:div w:id="854149871">
      <w:bodyDiv w:val="1"/>
      <w:marLeft w:val="0"/>
      <w:marRight w:val="0"/>
      <w:marTop w:val="0"/>
      <w:marBottom w:val="0"/>
      <w:divBdr>
        <w:top w:val="none" w:sz="0" w:space="0" w:color="auto"/>
        <w:left w:val="none" w:sz="0" w:space="0" w:color="auto"/>
        <w:bottom w:val="none" w:sz="0" w:space="0" w:color="auto"/>
        <w:right w:val="none" w:sz="0" w:space="0" w:color="auto"/>
      </w:divBdr>
    </w:div>
    <w:div w:id="877007482">
      <w:bodyDiv w:val="1"/>
      <w:marLeft w:val="0"/>
      <w:marRight w:val="0"/>
      <w:marTop w:val="0"/>
      <w:marBottom w:val="0"/>
      <w:divBdr>
        <w:top w:val="none" w:sz="0" w:space="0" w:color="auto"/>
        <w:left w:val="none" w:sz="0" w:space="0" w:color="auto"/>
        <w:bottom w:val="none" w:sz="0" w:space="0" w:color="auto"/>
        <w:right w:val="none" w:sz="0" w:space="0" w:color="auto"/>
      </w:divBdr>
    </w:div>
    <w:div w:id="884870221">
      <w:bodyDiv w:val="1"/>
      <w:marLeft w:val="0"/>
      <w:marRight w:val="0"/>
      <w:marTop w:val="0"/>
      <w:marBottom w:val="0"/>
      <w:divBdr>
        <w:top w:val="none" w:sz="0" w:space="0" w:color="auto"/>
        <w:left w:val="none" w:sz="0" w:space="0" w:color="auto"/>
        <w:bottom w:val="none" w:sz="0" w:space="0" w:color="auto"/>
        <w:right w:val="none" w:sz="0" w:space="0" w:color="auto"/>
      </w:divBdr>
    </w:div>
    <w:div w:id="909972369">
      <w:bodyDiv w:val="1"/>
      <w:marLeft w:val="0"/>
      <w:marRight w:val="0"/>
      <w:marTop w:val="0"/>
      <w:marBottom w:val="0"/>
      <w:divBdr>
        <w:top w:val="none" w:sz="0" w:space="0" w:color="auto"/>
        <w:left w:val="none" w:sz="0" w:space="0" w:color="auto"/>
        <w:bottom w:val="none" w:sz="0" w:space="0" w:color="auto"/>
        <w:right w:val="none" w:sz="0" w:space="0" w:color="auto"/>
      </w:divBdr>
    </w:div>
    <w:div w:id="920330617">
      <w:bodyDiv w:val="1"/>
      <w:marLeft w:val="0"/>
      <w:marRight w:val="0"/>
      <w:marTop w:val="0"/>
      <w:marBottom w:val="0"/>
      <w:divBdr>
        <w:top w:val="none" w:sz="0" w:space="0" w:color="auto"/>
        <w:left w:val="none" w:sz="0" w:space="0" w:color="auto"/>
        <w:bottom w:val="none" w:sz="0" w:space="0" w:color="auto"/>
        <w:right w:val="none" w:sz="0" w:space="0" w:color="auto"/>
      </w:divBdr>
    </w:div>
    <w:div w:id="920873905">
      <w:bodyDiv w:val="1"/>
      <w:marLeft w:val="0"/>
      <w:marRight w:val="0"/>
      <w:marTop w:val="0"/>
      <w:marBottom w:val="0"/>
      <w:divBdr>
        <w:top w:val="none" w:sz="0" w:space="0" w:color="auto"/>
        <w:left w:val="none" w:sz="0" w:space="0" w:color="auto"/>
        <w:bottom w:val="none" w:sz="0" w:space="0" w:color="auto"/>
        <w:right w:val="none" w:sz="0" w:space="0" w:color="auto"/>
      </w:divBdr>
    </w:div>
    <w:div w:id="933316530">
      <w:bodyDiv w:val="1"/>
      <w:marLeft w:val="0"/>
      <w:marRight w:val="0"/>
      <w:marTop w:val="0"/>
      <w:marBottom w:val="0"/>
      <w:divBdr>
        <w:top w:val="none" w:sz="0" w:space="0" w:color="auto"/>
        <w:left w:val="none" w:sz="0" w:space="0" w:color="auto"/>
        <w:bottom w:val="none" w:sz="0" w:space="0" w:color="auto"/>
        <w:right w:val="none" w:sz="0" w:space="0" w:color="auto"/>
      </w:divBdr>
    </w:div>
    <w:div w:id="934094224">
      <w:bodyDiv w:val="1"/>
      <w:marLeft w:val="0"/>
      <w:marRight w:val="0"/>
      <w:marTop w:val="0"/>
      <w:marBottom w:val="0"/>
      <w:divBdr>
        <w:top w:val="none" w:sz="0" w:space="0" w:color="auto"/>
        <w:left w:val="none" w:sz="0" w:space="0" w:color="auto"/>
        <w:bottom w:val="none" w:sz="0" w:space="0" w:color="auto"/>
        <w:right w:val="none" w:sz="0" w:space="0" w:color="auto"/>
      </w:divBdr>
    </w:div>
    <w:div w:id="1085498643">
      <w:bodyDiv w:val="1"/>
      <w:marLeft w:val="0"/>
      <w:marRight w:val="0"/>
      <w:marTop w:val="0"/>
      <w:marBottom w:val="0"/>
      <w:divBdr>
        <w:top w:val="none" w:sz="0" w:space="0" w:color="auto"/>
        <w:left w:val="none" w:sz="0" w:space="0" w:color="auto"/>
        <w:bottom w:val="none" w:sz="0" w:space="0" w:color="auto"/>
        <w:right w:val="none" w:sz="0" w:space="0" w:color="auto"/>
      </w:divBdr>
    </w:div>
    <w:div w:id="1172719231">
      <w:bodyDiv w:val="1"/>
      <w:marLeft w:val="0"/>
      <w:marRight w:val="0"/>
      <w:marTop w:val="0"/>
      <w:marBottom w:val="0"/>
      <w:divBdr>
        <w:top w:val="none" w:sz="0" w:space="0" w:color="auto"/>
        <w:left w:val="none" w:sz="0" w:space="0" w:color="auto"/>
        <w:bottom w:val="none" w:sz="0" w:space="0" w:color="auto"/>
        <w:right w:val="none" w:sz="0" w:space="0" w:color="auto"/>
      </w:divBdr>
    </w:div>
    <w:div w:id="1188521082">
      <w:bodyDiv w:val="1"/>
      <w:marLeft w:val="0"/>
      <w:marRight w:val="0"/>
      <w:marTop w:val="0"/>
      <w:marBottom w:val="0"/>
      <w:divBdr>
        <w:top w:val="none" w:sz="0" w:space="0" w:color="auto"/>
        <w:left w:val="none" w:sz="0" w:space="0" w:color="auto"/>
        <w:bottom w:val="none" w:sz="0" w:space="0" w:color="auto"/>
        <w:right w:val="none" w:sz="0" w:space="0" w:color="auto"/>
      </w:divBdr>
    </w:div>
    <w:div w:id="1234897565">
      <w:bodyDiv w:val="1"/>
      <w:marLeft w:val="0"/>
      <w:marRight w:val="0"/>
      <w:marTop w:val="0"/>
      <w:marBottom w:val="0"/>
      <w:divBdr>
        <w:top w:val="none" w:sz="0" w:space="0" w:color="auto"/>
        <w:left w:val="none" w:sz="0" w:space="0" w:color="auto"/>
        <w:bottom w:val="none" w:sz="0" w:space="0" w:color="auto"/>
        <w:right w:val="none" w:sz="0" w:space="0" w:color="auto"/>
      </w:divBdr>
    </w:div>
    <w:div w:id="1304508924">
      <w:bodyDiv w:val="1"/>
      <w:marLeft w:val="0"/>
      <w:marRight w:val="0"/>
      <w:marTop w:val="0"/>
      <w:marBottom w:val="0"/>
      <w:divBdr>
        <w:top w:val="none" w:sz="0" w:space="0" w:color="auto"/>
        <w:left w:val="none" w:sz="0" w:space="0" w:color="auto"/>
        <w:bottom w:val="none" w:sz="0" w:space="0" w:color="auto"/>
        <w:right w:val="none" w:sz="0" w:space="0" w:color="auto"/>
      </w:divBdr>
    </w:div>
    <w:div w:id="1325742223">
      <w:bodyDiv w:val="1"/>
      <w:marLeft w:val="0"/>
      <w:marRight w:val="0"/>
      <w:marTop w:val="0"/>
      <w:marBottom w:val="0"/>
      <w:divBdr>
        <w:top w:val="none" w:sz="0" w:space="0" w:color="auto"/>
        <w:left w:val="none" w:sz="0" w:space="0" w:color="auto"/>
        <w:bottom w:val="none" w:sz="0" w:space="0" w:color="auto"/>
        <w:right w:val="none" w:sz="0" w:space="0" w:color="auto"/>
      </w:divBdr>
    </w:div>
    <w:div w:id="1349598419">
      <w:bodyDiv w:val="1"/>
      <w:marLeft w:val="0"/>
      <w:marRight w:val="0"/>
      <w:marTop w:val="0"/>
      <w:marBottom w:val="0"/>
      <w:divBdr>
        <w:top w:val="none" w:sz="0" w:space="0" w:color="auto"/>
        <w:left w:val="none" w:sz="0" w:space="0" w:color="auto"/>
        <w:bottom w:val="none" w:sz="0" w:space="0" w:color="auto"/>
        <w:right w:val="none" w:sz="0" w:space="0" w:color="auto"/>
      </w:divBdr>
    </w:div>
    <w:div w:id="1469856113">
      <w:bodyDiv w:val="1"/>
      <w:marLeft w:val="0"/>
      <w:marRight w:val="0"/>
      <w:marTop w:val="0"/>
      <w:marBottom w:val="0"/>
      <w:divBdr>
        <w:top w:val="none" w:sz="0" w:space="0" w:color="auto"/>
        <w:left w:val="none" w:sz="0" w:space="0" w:color="auto"/>
        <w:bottom w:val="none" w:sz="0" w:space="0" w:color="auto"/>
        <w:right w:val="none" w:sz="0" w:space="0" w:color="auto"/>
      </w:divBdr>
    </w:div>
    <w:div w:id="1487093733">
      <w:bodyDiv w:val="1"/>
      <w:marLeft w:val="0"/>
      <w:marRight w:val="0"/>
      <w:marTop w:val="0"/>
      <w:marBottom w:val="0"/>
      <w:divBdr>
        <w:top w:val="none" w:sz="0" w:space="0" w:color="auto"/>
        <w:left w:val="none" w:sz="0" w:space="0" w:color="auto"/>
        <w:bottom w:val="none" w:sz="0" w:space="0" w:color="auto"/>
        <w:right w:val="none" w:sz="0" w:space="0" w:color="auto"/>
      </w:divBdr>
    </w:div>
    <w:div w:id="1534995291">
      <w:bodyDiv w:val="1"/>
      <w:marLeft w:val="0"/>
      <w:marRight w:val="0"/>
      <w:marTop w:val="0"/>
      <w:marBottom w:val="0"/>
      <w:divBdr>
        <w:top w:val="none" w:sz="0" w:space="0" w:color="auto"/>
        <w:left w:val="none" w:sz="0" w:space="0" w:color="auto"/>
        <w:bottom w:val="none" w:sz="0" w:space="0" w:color="auto"/>
        <w:right w:val="none" w:sz="0" w:space="0" w:color="auto"/>
      </w:divBdr>
    </w:div>
    <w:div w:id="1583366683">
      <w:bodyDiv w:val="1"/>
      <w:marLeft w:val="0"/>
      <w:marRight w:val="0"/>
      <w:marTop w:val="0"/>
      <w:marBottom w:val="0"/>
      <w:divBdr>
        <w:top w:val="none" w:sz="0" w:space="0" w:color="auto"/>
        <w:left w:val="none" w:sz="0" w:space="0" w:color="auto"/>
        <w:bottom w:val="none" w:sz="0" w:space="0" w:color="auto"/>
        <w:right w:val="none" w:sz="0" w:space="0" w:color="auto"/>
      </w:divBdr>
    </w:div>
    <w:div w:id="1641377046">
      <w:bodyDiv w:val="1"/>
      <w:marLeft w:val="0"/>
      <w:marRight w:val="0"/>
      <w:marTop w:val="0"/>
      <w:marBottom w:val="0"/>
      <w:divBdr>
        <w:top w:val="none" w:sz="0" w:space="0" w:color="auto"/>
        <w:left w:val="none" w:sz="0" w:space="0" w:color="auto"/>
        <w:bottom w:val="none" w:sz="0" w:space="0" w:color="auto"/>
        <w:right w:val="none" w:sz="0" w:space="0" w:color="auto"/>
      </w:divBdr>
    </w:div>
    <w:div w:id="1656758298">
      <w:bodyDiv w:val="1"/>
      <w:marLeft w:val="0"/>
      <w:marRight w:val="0"/>
      <w:marTop w:val="0"/>
      <w:marBottom w:val="0"/>
      <w:divBdr>
        <w:top w:val="none" w:sz="0" w:space="0" w:color="auto"/>
        <w:left w:val="none" w:sz="0" w:space="0" w:color="auto"/>
        <w:bottom w:val="none" w:sz="0" w:space="0" w:color="auto"/>
        <w:right w:val="none" w:sz="0" w:space="0" w:color="auto"/>
      </w:divBdr>
    </w:div>
    <w:div w:id="1743794545">
      <w:bodyDiv w:val="1"/>
      <w:marLeft w:val="0"/>
      <w:marRight w:val="0"/>
      <w:marTop w:val="0"/>
      <w:marBottom w:val="0"/>
      <w:divBdr>
        <w:top w:val="none" w:sz="0" w:space="0" w:color="auto"/>
        <w:left w:val="none" w:sz="0" w:space="0" w:color="auto"/>
        <w:bottom w:val="none" w:sz="0" w:space="0" w:color="auto"/>
        <w:right w:val="none" w:sz="0" w:space="0" w:color="auto"/>
      </w:divBdr>
    </w:div>
    <w:div w:id="1865285784">
      <w:bodyDiv w:val="1"/>
      <w:marLeft w:val="0"/>
      <w:marRight w:val="0"/>
      <w:marTop w:val="0"/>
      <w:marBottom w:val="0"/>
      <w:divBdr>
        <w:top w:val="none" w:sz="0" w:space="0" w:color="auto"/>
        <w:left w:val="none" w:sz="0" w:space="0" w:color="auto"/>
        <w:bottom w:val="none" w:sz="0" w:space="0" w:color="auto"/>
        <w:right w:val="none" w:sz="0" w:space="0" w:color="auto"/>
      </w:divBdr>
    </w:div>
    <w:div w:id="1936093762">
      <w:bodyDiv w:val="1"/>
      <w:marLeft w:val="0"/>
      <w:marRight w:val="0"/>
      <w:marTop w:val="0"/>
      <w:marBottom w:val="0"/>
      <w:divBdr>
        <w:top w:val="none" w:sz="0" w:space="0" w:color="auto"/>
        <w:left w:val="none" w:sz="0" w:space="0" w:color="auto"/>
        <w:bottom w:val="none" w:sz="0" w:space="0" w:color="auto"/>
        <w:right w:val="none" w:sz="0" w:space="0" w:color="auto"/>
      </w:divBdr>
    </w:div>
    <w:div w:id="2126119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svg"/><Relationship Id="rId47" Type="http://schemas.openxmlformats.org/officeDocument/2006/relationships/image" Target="media/image37.png"/><Relationship Id="rId50" Type="http://schemas.openxmlformats.org/officeDocument/2006/relationships/hyperlink" Target="https://jgcri.github.io/gcam-doc/land.html" TargetMode="External"/><Relationship Id="rId55" Type="http://schemas.openxmlformats.org/officeDocument/2006/relationships/hyperlink" Target="https://jgcri.github.io/gcam-doc/inputs_land.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sv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sv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jgcri.github.io/gcam-doc/land.html" TargetMode="External"/><Relationship Id="rId58" Type="http://schemas.openxmlformats.org/officeDocument/2006/relationships/hyperlink" Target="https://jgcri.github.io/gcam-doc/land.html"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svg"/><Relationship Id="rId43" Type="http://schemas.openxmlformats.org/officeDocument/2006/relationships/image" Target="media/image33.png"/><Relationship Id="rId48" Type="http://schemas.openxmlformats.org/officeDocument/2006/relationships/image" Target="media/image38.svg"/><Relationship Id="rId56" Type="http://schemas.openxmlformats.org/officeDocument/2006/relationships/hyperlink" Target="https://jgcri.github.io/gcam-doc/land.html" TargetMode="External"/><Relationship Id="rId8" Type="http://schemas.openxmlformats.org/officeDocument/2006/relationships/hyperlink" Target="mailto:haifengliu@tju.edu.cn" TargetMode="External"/><Relationship Id="rId51" Type="http://schemas.openxmlformats.org/officeDocument/2006/relationships/hyperlink" Target="https://jgcri.github.io/gcam-doc/land.html" TargetMode="External"/><Relationship Id="rId3" Type="http://schemas.openxmlformats.org/officeDocument/2006/relationships/styles" Target="style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svg"/><Relationship Id="rId59" Type="http://schemas.openxmlformats.org/officeDocument/2006/relationships/hyperlink" Target="https://jgcri.github.io/gcam-doc/land.html"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jgcri.github.io/gcam-doc/land.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sv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jgcri.github.io/gcam-doc/land.html" TargetMode="External"/><Relationship Id="rId57" Type="http://schemas.openxmlformats.org/officeDocument/2006/relationships/hyperlink" Target="https://jgcri.github.io/gcam-doc/inputs_land.html" TargetMode="External"/><Relationship Id="rId10" Type="http://schemas.openxmlformats.org/officeDocument/2006/relationships/hyperlink" Target="mailto:yanyin@tju.edu.cn" TargetMode="External"/><Relationship Id="rId31" Type="http://schemas.openxmlformats.org/officeDocument/2006/relationships/image" Target="media/image21.png"/><Relationship Id="rId44" Type="http://schemas.openxmlformats.org/officeDocument/2006/relationships/image" Target="media/image34.svg"/><Relationship Id="rId52" Type="http://schemas.openxmlformats.org/officeDocument/2006/relationships/hyperlink" Target="https://jgcri.github.io/gcam-doc/inputs_land.html" TargetMode="External"/><Relationship Id="rId60" Type="http://schemas.openxmlformats.org/officeDocument/2006/relationships/hyperlink" Target="https://jgcri.github.io/gcam-doc/land.html" TargetMode="External"/><Relationship Id="rId4" Type="http://schemas.openxmlformats.org/officeDocument/2006/relationships/settings" Target="settings.xml"/><Relationship Id="rId9" Type="http://schemas.openxmlformats.org/officeDocument/2006/relationships/hyperlink" Target="mailto:jinchao@tj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EEBE1-AE50-48A2-A6EA-4C52C223B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1994</TotalTime>
  <Pages>61</Pages>
  <Words>12857</Words>
  <Characters>74459</Characters>
  <Application>Microsoft Office Word</Application>
  <DocSecurity>0</DocSecurity>
  <Lines>2383</Lines>
  <Paragraphs>1384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ampah</dc:creator>
  <cp:keywords/>
  <dc:description/>
  <cp:lastModifiedBy>Nemesis</cp:lastModifiedBy>
  <cp:revision>47</cp:revision>
  <cp:lastPrinted>2024-06-18T11:07:00Z</cp:lastPrinted>
  <dcterms:created xsi:type="dcterms:W3CDTF">2024-07-01T05:02:00Z</dcterms:created>
  <dcterms:modified xsi:type="dcterms:W3CDTF">2024-09-06T04:22:00Z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id="jp5DcqPZ"/&gt;&lt;style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 name="dontAskDelayCitationUpdates" value="true"/&gt;&lt;/prefs&gt;&lt;/data&gt;</vt:lpwstr>
  </property>
  <property fmtid="{D5CDD505-2E9C-101B-9397-08002B2CF9AE}" pid="4" name="GrammarlyDocumentId">
    <vt:lpwstr>49460bf167d0bbeac0889d05c40d78a9fe4837321f63aa396f2fa29545eb5438</vt:lpwstr>
  </property>
</Properties>
</file>