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CE92CC" w14:textId="77777777" w:rsidR="00380DE0" w:rsidRDefault="00380DE0" w:rsidP="00380DE0">
      <w:pPr>
        <w:keepNext/>
        <w:keepLines/>
        <w:spacing w:before="240" w:after="0" w:line="480" w:lineRule="auto"/>
        <w:outlineLvl w:val="0"/>
        <w:rPr>
          <w:rFonts w:ascii="Times New Roman" w:eastAsiaTheme="majorEastAsia" w:hAnsi="Times New Roman" w:cs="Times New Roman"/>
          <w:color w:val="0F4761" w:themeColor="accent1" w:themeShade="BF"/>
          <w:sz w:val="32"/>
          <w:szCs w:val="32"/>
        </w:rPr>
      </w:pPr>
      <w:r w:rsidRPr="00471A2D">
        <w:rPr>
          <w:rFonts w:ascii="Times New Roman" w:eastAsiaTheme="majorEastAsia" w:hAnsi="Times New Roman" w:cs="Times New Roman"/>
          <w:color w:val="0F4761" w:themeColor="accent1" w:themeShade="BF"/>
          <w:sz w:val="32"/>
          <w:szCs w:val="32"/>
        </w:rPr>
        <w:t>Extended Data</w:t>
      </w:r>
    </w:p>
    <w:p w14:paraId="55E2859B" w14:textId="77777777" w:rsidR="00380DE0" w:rsidRPr="00A73B8F" w:rsidRDefault="00380DE0" w:rsidP="00380DE0">
      <w:pPr>
        <w:spacing w:line="480" w:lineRule="auto"/>
        <w:ind w:left="-432" w:firstLine="288"/>
        <w:jc w:val="center"/>
        <w:rPr>
          <w:rFonts w:ascii="Times New Roman" w:hAnsi="Times New Roman" w:cs="Times New Roman"/>
        </w:rPr>
      </w:pPr>
      <w:r w:rsidRPr="008B1143">
        <w:rPr>
          <w:rFonts w:ascii="Times New Roman" w:hAnsi="Times New Roman" w:cs="Times New Roman"/>
          <w:noProof/>
        </w:rPr>
        <w:drawing>
          <wp:inline distT="0" distB="0" distL="0" distR="0" wp14:anchorId="50C0B469" wp14:editId="0BD5F950">
            <wp:extent cx="5943600" cy="7456805"/>
            <wp:effectExtent l="0" t="0" r="0" b="0"/>
            <wp:docPr id="133994527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456805"/>
                    </a:xfrm>
                    <a:prstGeom prst="rect">
                      <a:avLst/>
                    </a:prstGeom>
                    <a:noFill/>
                    <a:ln>
                      <a:noFill/>
                    </a:ln>
                  </pic:spPr>
                </pic:pic>
              </a:graphicData>
            </a:graphic>
          </wp:inline>
        </w:drawing>
      </w:r>
    </w:p>
    <w:p w14:paraId="6E2C81EB"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r>
        <w:rPr>
          <w:rFonts w:ascii="Times New Roman" w:hAnsi="Times New Roman" w:cs="Times New Roman"/>
          <w:i/>
          <w:iCs/>
          <w:color w:val="156082" w:themeColor="accent1"/>
          <w:sz w:val="18"/>
          <w:szCs w:val="18"/>
        </w:rPr>
        <w:lastRenderedPageBreak/>
        <w:t>Extended Data Fig. 1</w:t>
      </w:r>
      <w:r w:rsidRPr="00F64D17">
        <w:rPr>
          <w:rFonts w:ascii="Times New Roman" w:hAnsi="Times New Roman" w:cs="Times New Roman"/>
          <w:i/>
          <w:iCs/>
          <w:color w:val="156082" w:themeColor="accent1"/>
          <w:sz w:val="18"/>
          <w:szCs w:val="18"/>
        </w:rPr>
        <w:t xml:space="preserve"> </w:t>
      </w:r>
      <w:r>
        <w:rPr>
          <w:rFonts w:ascii="Times New Roman" w:hAnsi="Times New Roman" w:cs="Times New Roman"/>
          <w:i/>
          <w:iCs/>
          <w:color w:val="156082" w:themeColor="accent1"/>
          <w:sz w:val="18"/>
          <w:szCs w:val="18"/>
        </w:rPr>
        <w:t>T</w:t>
      </w:r>
      <w:r w:rsidRPr="00A205F5">
        <w:rPr>
          <w:rFonts w:ascii="Times New Roman" w:hAnsi="Times New Roman" w:cs="Times New Roman"/>
          <w:i/>
          <w:iCs/>
          <w:color w:val="156082" w:themeColor="accent1"/>
          <w:sz w:val="18"/>
          <w:szCs w:val="18"/>
        </w:rPr>
        <w:t>emperature change, effective forcing, positive and net emissions, carbon removal, and geologic carbon storage</w:t>
      </w:r>
      <w:r w:rsidRPr="00A205F5" w:rsidDel="00A205F5">
        <w:rPr>
          <w:rFonts w:ascii="Times New Roman" w:hAnsi="Times New Roman" w:cs="Times New Roman"/>
          <w:i/>
          <w:iCs/>
          <w:color w:val="156082" w:themeColor="accent1"/>
          <w:sz w:val="18"/>
          <w:szCs w:val="18"/>
        </w:rPr>
        <w:t xml:space="preserve"> </w:t>
      </w:r>
      <w:r w:rsidRPr="00763470">
        <w:rPr>
          <w:rFonts w:ascii="Times New Roman" w:hAnsi="Times New Roman" w:cs="Times New Roman"/>
          <w:i/>
          <w:iCs/>
          <w:color w:val="156082" w:themeColor="accent1"/>
          <w:sz w:val="18"/>
          <w:szCs w:val="18"/>
        </w:rPr>
        <w:t>results</w:t>
      </w:r>
      <w:r w:rsidRPr="0060260A">
        <w:rPr>
          <w:rFonts w:ascii="Times New Roman" w:hAnsi="Times New Roman" w:cs="Times New Roman"/>
          <w:i/>
          <w:iCs/>
          <w:color w:val="156082" w:themeColor="accent1"/>
          <w:sz w:val="18"/>
          <w:szCs w:val="18"/>
        </w:rPr>
        <w:t xml:space="preserve"> of our scenarios compared to 1.5</w:t>
      </w:r>
      <w:r w:rsidRPr="0060260A">
        <w:rPr>
          <w:rFonts w:ascii="Times New Roman" w:hAnsi="Times New Roman" w:cs="Times New Roman"/>
          <w:i/>
          <w:iCs/>
          <w:color w:val="156082" w:themeColor="accent1"/>
          <w:sz w:val="18"/>
          <w:szCs w:val="18"/>
          <w:vertAlign w:val="superscript"/>
        </w:rPr>
        <w:t>o</w:t>
      </w:r>
      <w:r w:rsidRPr="0060260A">
        <w:rPr>
          <w:rFonts w:ascii="Times New Roman" w:hAnsi="Times New Roman" w:cs="Times New Roman"/>
          <w:i/>
          <w:iCs/>
          <w:color w:val="156082" w:themeColor="accent1"/>
          <w:sz w:val="18"/>
          <w:szCs w:val="18"/>
        </w:rPr>
        <w:t xml:space="preserve">C scenarios in the AR6 database </w:t>
      </w:r>
      <w:r w:rsidRPr="0060260A">
        <w:rPr>
          <w:rFonts w:ascii="Times New Roman" w:hAnsi="Times New Roman" w:cs="Times New Roman"/>
          <w:i/>
          <w:iCs/>
          <w:color w:val="156082" w:themeColor="accent1"/>
          <w:sz w:val="18"/>
          <w:szCs w:val="18"/>
        </w:rPr>
        <w:fldChar w:fldCharType="begin"/>
      </w:r>
      <w:r>
        <w:rPr>
          <w:rFonts w:ascii="Times New Roman" w:hAnsi="Times New Roman" w:cs="Times New Roman"/>
          <w:i/>
          <w:iCs/>
          <w:color w:val="156082" w:themeColor="accent1"/>
          <w:sz w:val="18"/>
          <w:szCs w:val="18"/>
        </w:rPr>
        <w:instrText xml:space="preserve"> ADDIN ZOTERO_ITEM CSL_CITATION {"citationID":"oNgLfT0H","properties":{"formattedCitation":"\\super 33\\nosupersub{}","plainCitation":"33","noteIndex":0},"citationItems":[{"id":968,"uris":["http://zotero.org/users/local/YcBHrSK0/items/GWXU72RF"],"itemData":{"id":968,"type":"webpage","title":"AR6 Scenario Explorer and Database hosted by IIASA","URL":"https://data.ece.iiasa.ac.at/ar6/#/workspaces/2123","author":[{"family":"Byers","given":"Edward"},{"family":"Krey","given":"Volker"},{"family":"Kriegler","given":"Elmar"},{"family":"Riahi","given":"Keywan"},{"family":"Schaeffer","given":"Roberto"}],"accessed":{"date-parts":[["2023",7,11]]}}}],"schema":"https://github.com/citation-style-language/schema/raw/master/csl-citation.json"} </w:instrText>
      </w:r>
      <w:r w:rsidRPr="0060260A">
        <w:rPr>
          <w:rFonts w:ascii="Times New Roman" w:hAnsi="Times New Roman" w:cs="Times New Roman"/>
          <w:i/>
          <w:iCs/>
          <w:color w:val="156082" w:themeColor="accent1"/>
          <w:sz w:val="18"/>
          <w:szCs w:val="18"/>
        </w:rPr>
        <w:fldChar w:fldCharType="separate"/>
      </w:r>
      <w:r w:rsidRPr="00E90521">
        <w:rPr>
          <w:rFonts w:ascii="Times New Roman" w:hAnsi="Times New Roman" w:cs="Times New Roman"/>
          <w:kern w:val="0"/>
          <w:sz w:val="18"/>
          <w:szCs w:val="24"/>
          <w:vertAlign w:val="superscript"/>
        </w:rPr>
        <w:t>33</w:t>
      </w:r>
      <w:r w:rsidRPr="0060260A">
        <w:rPr>
          <w:rFonts w:ascii="Times New Roman" w:hAnsi="Times New Roman" w:cs="Times New Roman"/>
          <w:i/>
          <w:iCs/>
          <w:color w:val="156082" w:themeColor="accent1"/>
          <w:sz w:val="18"/>
          <w:szCs w:val="18"/>
        </w:rPr>
        <w:fldChar w:fldCharType="end"/>
      </w:r>
      <w:r w:rsidRPr="0060260A">
        <w:rPr>
          <w:rFonts w:ascii="Times New Roman" w:hAnsi="Times New Roman" w:cs="Times New Roman"/>
          <w:i/>
          <w:iCs/>
          <w:color w:val="156082" w:themeColor="accent1"/>
          <w:sz w:val="18"/>
          <w:szCs w:val="18"/>
        </w:rPr>
        <w:t xml:space="preserve">. </w:t>
      </w:r>
      <w:r>
        <w:rPr>
          <w:rFonts w:ascii="Times New Roman" w:hAnsi="Times New Roman" w:cs="Times New Roman"/>
          <w:i/>
          <w:iCs/>
          <w:color w:val="156082" w:themeColor="accent1"/>
          <w:sz w:val="18"/>
          <w:szCs w:val="18"/>
        </w:rPr>
        <w:t xml:space="preserve">Excluding temperature and effective forcing results, AR6 scenarios are explicitly C1 and C2 scenarios that passed vetting according to the AR6 </w:t>
      </w:r>
      <w:r w:rsidRPr="005A447D">
        <w:rPr>
          <w:rFonts w:ascii="Times New Roman" w:hAnsi="Times New Roman" w:cs="Times New Roman"/>
          <w:i/>
          <w:iCs/>
          <w:color w:val="156082" w:themeColor="accent1"/>
          <w:sz w:val="18"/>
          <w:szCs w:val="18"/>
        </w:rPr>
        <w:t>vetting process</w:t>
      </w:r>
      <w:r>
        <w:rPr>
          <w:rFonts w:ascii="Times New Roman" w:hAnsi="Times New Roman" w:cs="Times New Roman"/>
          <w:i/>
          <w:iCs/>
          <w:color w:val="156082" w:themeColor="accent1"/>
          <w:sz w:val="18"/>
          <w:szCs w:val="18"/>
        </w:rPr>
        <w:t>. n is the number of AR6 scenarios with non-empty data at any point in the century (for CDR and carbon storage, this includes scenarios with non-zero values from 2025 onwards)</w:t>
      </w:r>
    </w:p>
    <w:p w14:paraId="3C8102D1"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3C55DBE0"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44E0F2F2"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04D50E33"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7C8E7DA9"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0177B303"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681B1BE1" w14:textId="77777777" w:rsidR="00380DE0" w:rsidRDefault="00380DE0" w:rsidP="00380DE0">
      <w:pPr>
        <w:spacing w:line="276" w:lineRule="auto"/>
        <w:jc w:val="center"/>
        <w:rPr>
          <w:rFonts w:ascii="Times New Roman" w:hAnsi="Times New Roman" w:cs="Times New Roman"/>
        </w:rPr>
      </w:pPr>
      <w:r w:rsidRPr="002224EB">
        <w:rPr>
          <w:rFonts w:ascii="Times New Roman" w:hAnsi="Times New Roman" w:cs="Times New Roman"/>
          <w:noProof/>
        </w:rPr>
        <w:lastRenderedPageBreak/>
        <w:drawing>
          <wp:inline distT="0" distB="0" distL="0" distR="0" wp14:anchorId="2ACA2B62" wp14:editId="7359B869">
            <wp:extent cx="5814695" cy="8229600"/>
            <wp:effectExtent l="0" t="0" r="0" b="0"/>
            <wp:docPr id="92799385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814695" cy="8229600"/>
                    </a:xfrm>
                    <a:prstGeom prst="rect">
                      <a:avLst/>
                    </a:prstGeom>
                    <a:noFill/>
                    <a:ln>
                      <a:noFill/>
                    </a:ln>
                  </pic:spPr>
                </pic:pic>
              </a:graphicData>
            </a:graphic>
          </wp:inline>
        </w:drawing>
      </w:r>
    </w:p>
    <w:p w14:paraId="730983DE"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bookmarkStart w:id="0" w:name="_Hlk161225032"/>
      <w:bookmarkStart w:id="1" w:name="_Hlk170784572"/>
      <w:r>
        <w:rPr>
          <w:rFonts w:ascii="Times New Roman" w:hAnsi="Times New Roman" w:cs="Times New Roman"/>
          <w:i/>
          <w:iCs/>
          <w:color w:val="156082" w:themeColor="accent1"/>
          <w:sz w:val="18"/>
          <w:szCs w:val="18"/>
        </w:rPr>
        <w:lastRenderedPageBreak/>
        <w:t>Extended Data Fig. 2</w:t>
      </w:r>
      <w:r w:rsidRPr="0060260A">
        <w:rPr>
          <w:rFonts w:ascii="Times New Roman" w:hAnsi="Times New Roman" w:cs="Times New Roman"/>
          <w:i/>
          <w:iCs/>
          <w:color w:val="156082" w:themeColor="accent1"/>
          <w:sz w:val="18"/>
          <w:szCs w:val="18"/>
        </w:rPr>
        <w:t xml:space="preserve"> </w:t>
      </w:r>
      <w:r>
        <w:rPr>
          <w:rFonts w:ascii="Times New Roman" w:hAnsi="Times New Roman" w:cs="Times New Roman"/>
          <w:i/>
          <w:iCs/>
          <w:color w:val="156082" w:themeColor="accent1"/>
          <w:sz w:val="18"/>
          <w:szCs w:val="18"/>
        </w:rPr>
        <w:t xml:space="preserve">Impact on primary energy consumption from 2020-2100 </w:t>
      </w:r>
      <w:r w:rsidRPr="0060260A">
        <w:rPr>
          <w:rFonts w:ascii="Times New Roman" w:hAnsi="Times New Roman" w:cs="Times New Roman"/>
          <w:i/>
          <w:iCs/>
          <w:color w:val="156082" w:themeColor="accent1"/>
          <w:sz w:val="18"/>
          <w:szCs w:val="18"/>
        </w:rPr>
        <w:t>(a) Global primary energy consumption under various scenarios. Fossil fuel includes unabated and abated oil, gas, and coal, and renewables include hydro, geothermal, solar, and wind. Modern and traditional biomass are categorized under biomass</w:t>
      </w:r>
      <w:r>
        <w:rPr>
          <w:rFonts w:ascii="Times New Roman" w:hAnsi="Times New Roman" w:cs="Times New Roman"/>
          <w:i/>
          <w:iCs/>
          <w:color w:val="156082" w:themeColor="accent1"/>
          <w:sz w:val="18"/>
          <w:szCs w:val="18"/>
        </w:rPr>
        <w:t xml:space="preserve">. </w:t>
      </w:r>
      <w:r w:rsidRPr="00403452">
        <w:rPr>
          <w:rFonts w:ascii="Times New Roman" w:hAnsi="Times New Roman" w:cs="Times New Roman"/>
          <w:i/>
          <w:iCs/>
          <w:color w:val="156082" w:themeColor="accent1"/>
          <w:sz w:val="18"/>
          <w:szCs w:val="18"/>
        </w:rPr>
        <w:t xml:space="preserve">Our analysis reveals that </w:t>
      </w:r>
      <w:r>
        <w:rPr>
          <w:rFonts w:ascii="Times New Roman" w:hAnsi="Times New Roman" w:cs="Times New Roman"/>
          <w:i/>
          <w:iCs/>
          <w:color w:val="156082" w:themeColor="accent1"/>
          <w:sz w:val="18"/>
          <w:szCs w:val="18"/>
        </w:rPr>
        <w:t>fossil fuel demand</w:t>
      </w:r>
      <w:r w:rsidRPr="00403452">
        <w:rPr>
          <w:rFonts w:ascii="Times New Roman" w:hAnsi="Times New Roman" w:cs="Times New Roman"/>
          <w:i/>
          <w:iCs/>
          <w:color w:val="156082" w:themeColor="accent1"/>
          <w:sz w:val="18"/>
          <w:szCs w:val="18"/>
        </w:rPr>
        <w:t xml:space="preserve"> persists across all scenarios, but the sectoral pathways (SECT, SECT-AMB, SECT-FAIR) substantially reduce </w:t>
      </w:r>
      <w:r>
        <w:rPr>
          <w:rFonts w:ascii="Times New Roman" w:hAnsi="Times New Roman" w:cs="Times New Roman"/>
          <w:i/>
          <w:iCs/>
          <w:color w:val="156082" w:themeColor="accent1"/>
          <w:sz w:val="18"/>
          <w:szCs w:val="18"/>
        </w:rPr>
        <w:t>this demand especially in the near-term as carbon price quickly rises</w:t>
      </w:r>
      <w:r w:rsidRPr="00403452">
        <w:rPr>
          <w:rFonts w:ascii="Times New Roman" w:hAnsi="Times New Roman" w:cs="Times New Roman"/>
          <w:i/>
          <w:iCs/>
          <w:color w:val="156082" w:themeColor="accent1"/>
          <w:sz w:val="18"/>
          <w:szCs w:val="18"/>
        </w:rPr>
        <w:t xml:space="preserve">, compared to </w:t>
      </w:r>
      <w:r>
        <w:rPr>
          <w:rFonts w:ascii="Times New Roman" w:hAnsi="Times New Roman" w:cs="Times New Roman"/>
          <w:i/>
          <w:iCs/>
          <w:color w:val="156082" w:themeColor="accent1"/>
          <w:sz w:val="18"/>
          <w:szCs w:val="18"/>
        </w:rPr>
        <w:t>the demand</w:t>
      </w:r>
      <w:r w:rsidRPr="00403452">
        <w:rPr>
          <w:rFonts w:ascii="Times New Roman" w:hAnsi="Times New Roman" w:cs="Times New Roman"/>
          <w:i/>
          <w:iCs/>
          <w:color w:val="156082" w:themeColor="accent1"/>
          <w:sz w:val="18"/>
          <w:szCs w:val="18"/>
        </w:rPr>
        <w:t xml:space="preserve"> under the conventional economy-wide scenario (CONV). In the CONV scenario, a uniform carbon price is applied across the entire economy, aiming to minimize overall system costs. However, this approach may not generate sufficiently high carbon prices in the near-to-medium term to discourage the continued use of coal and other fossil fuels. Consequently, the CONV scenario is likely to prolong the operation of existing fossil fuel infrastructure, delaying their premature retirement compared to the sectoral scenarios.</w:t>
      </w:r>
      <w:r>
        <w:rPr>
          <w:rFonts w:ascii="Times New Roman" w:hAnsi="Times New Roman" w:cs="Times New Roman"/>
          <w:i/>
          <w:iCs/>
          <w:color w:val="156082" w:themeColor="accent1"/>
          <w:sz w:val="18"/>
          <w:szCs w:val="18"/>
        </w:rPr>
        <w:t xml:space="preserve"> </w:t>
      </w:r>
      <w:r w:rsidRPr="0060260A">
        <w:rPr>
          <w:rFonts w:ascii="Times New Roman" w:hAnsi="Times New Roman" w:cs="Times New Roman"/>
          <w:i/>
          <w:iCs/>
          <w:color w:val="156082" w:themeColor="accent1"/>
          <w:sz w:val="18"/>
          <w:szCs w:val="18"/>
        </w:rPr>
        <w:t>(b) Regional fossil fuel</w:t>
      </w:r>
      <w:r>
        <w:rPr>
          <w:rFonts w:ascii="Times New Roman" w:hAnsi="Times New Roman" w:cs="Times New Roman"/>
          <w:i/>
          <w:iCs/>
          <w:color w:val="156082" w:themeColor="accent1"/>
          <w:sz w:val="18"/>
          <w:szCs w:val="18"/>
        </w:rPr>
        <w:t xml:space="preserve"> consumption</w:t>
      </w:r>
      <w:bookmarkEnd w:id="0"/>
      <w:r>
        <w:rPr>
          <w:rFonts w:ascii="Times New Roman" w:hAnsi="Times New Roman" w:cs="Times New Roman"/>
          <w:i/>
          <w:iCs/>
          <w:color w:val="156082" w:themeColor="accent1"/>
          <w:sz w:val="18"/>
          <w:szCs w:val="18"/>
        </w:rPr>
        <w:t xml:space="preserve">. </w:t>
      </w:r>
      <w:bookmarkEnd w:id="1"/>
    </w:p>
    <w:p w14:paraId="4F14CDFD"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6C2F43F1"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6C4E5701" w14:textId="77777777" w:rsidR="00380DE0" w:rsidRPr="002679B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146CB548" w14:textId="77777777" w:rsidR="00380DE0" w:rsidRDefault="00380DE0" w:rsidP="00380DE0">
      <w:pPr>
        <w:jc w:val="center"/>
        <w:rPr>
          <w:rFonts w:ascii="Times New Roman" w:eastAsiaTheme="majorEastAsia" w:hAnsi="Times New Roman" w:cs="Times New Roman"/>
        </w:rPr>
      </w:pPr>
      <w:r w:rsidRPr="008B1143">
        <w:rPr>
          <w:rFonts w:ascii="Times New Roman" w:eastAsiaTheme="majorEastAsia" w:hAnsi="Times New Roman" w:cs="Times New Roman"/>
          <w:noProof/>
        </w:rPr>
        <w:lastRenderedPageBreak/>
        <w:drawing>
          <wp:inline distT="0" distB="0" distL="0" distR="0" wp14:anchorId="79AD2BB2" wp14:editId="082AF731">
            <wp:extent cx="5943600" cy="4697730"/>
            <wp:effectExtent l="0" t="0" r="0" b="7620"/>
            <wp:docPr id="132573769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4697730"/>
                    </a:xfrm>
                    <a:prstGeom prst="rect">
                      <a:avLst/>
                    </a:prstGeom>
                    <a:noFill/>
                    <a:ln>
                      <a:noFill/>
                    </a:ln>
                  </pic:spPr>
                </pic:pic>
              </a:graphicData>
            </a:graphic>
          </wp:inline>
        </w:drawing>
      </w:r>
    </w:p>
    <w:p w14:paraId="29733EA2" w14:textId="77777777" w:rsidR="00380DE0" w:rsidRPr="003962E9" w:rsidRDefault="00380DE0" w:rsidP="00380DE0">
      <w:pPr>
        <w:spacing w:line="480" w:lineRule="auto"/>
        <w:ind w:firstLine="288"/>
        <w:jc w:val="center"/>
        <w:rPr>
          <w:rFonts w:ascii="Times New Roman" w:hAnsi="Times New Roman" w:cs="Times New Roman"/>
          <w:i/>
          <w:iCs/>
          <w:color w:val="156082" w:themeColor="accent1"/>
          <w:sz w:val="18"/>
          <w:szCs w:val="18"/>
        </w:rPr>
      </w:pPr>
      <w:r>
        <w:rPr>
          <w:rFonts w:ascii="Times New Roman" w:hAnsi="Times New Roman" w:cs="Times New Roman"/>
          <w:i/>
          <w:iCs/>
          <w:color w:val="156082" w:themeColor="accent1"/>
          <w:sz w:val="18"/>
          <w:szCs w:val="18"/>
        </w:rPr>
        <w:t xml:space="preserve">Extended Data </w:t>
      </w:r>
      <w:r w:rsidRPr="0060260A">
        <w:rPr>
          <w:rFonts w:ascii="Times New Roman" w:hAnsi="Times New Roman" w:cs="Times New Roman"/>
          <w:i/>
          <w:iCs/>
          <w:color w:val="156082" w:themeColor="accent1"/>
          <w:sz w:val="18"/>
          <w:szCs w:val="18"/>
        </w:rPr>
        <w:t xml:space="preserve">Fig. </w:t>
      </w:r>
      <w:r>
        <w:rPr>
          <w:rFonts w:ascii="Times New Roman" w:hAnsi="Times New Roman" w:cs="Times New Roman"/>
          <w:i/>
          <w:iCs/>
          <w:color w:val="156082" w:themeColor="accent1"/>
          <w:sz w:val="18"/>
          <w:szCs w:val="18"/>
        </w:rPr>
        <w:t xml:space="preserve">3 </w:t>
      </w:r>
      <w:r w:rsidRPr="0060260A">
        <w:rPr>
          <w:rFonts w:ascii="Times New Roman" w:hAnsi="Times New Roman" w:cs="Times New Roman"/>
          <w:i/>
          <w:iCs/>
          <w:color w:val="156082" w:themeColor="accent1"/>
          <w:sz w:val="18"/>
          <w:szCs w:val="18"/>
        </w:rPr>
        <w:t>Impact</w:t>
      </w:r>
      <w:r>
        <w:rPr>
          <w:rFonts w:ascii="Times New Roman" w:hAnsi="Times New Roman" w:cs="Times New Roman"/>
          <w:i/>
          <w:iCs/>
          <w:color w:val="156082" w:themeColor="accent1"/>
          <w:sz w:val="18"/>
          <w:szCs w:val="18"/>
        </w:rPr>
        <w:t xml:space="preserve"> on final energy consumption from 2020-2100. Results represent global final energy consumption over time according to fuel type</w:t>
      </w:r>
    </w:p>
    <w:p w14:paraId="45369E86" w14:textId="77777777" w:rsidR="00380DE0" w:rsidRPr="0007123E" w:rsidRDefault="00380DE0" w:rsidP="00380DE0">
      <w:pPr>
        <w:jc w:val="center"/>
        <w:rPr>
          <w:rFonts w:ascii="Times New Roman" w:eastAsiaTheme="majorEastAsia" w:hAnsi="Times New Roman" w:cs="Times New Roman"/>
        </w:rPr>
      </w:pPr>
    </w:p>
    <w:p w14:paraId="5B6C5411" w14:textId="77777777" w:rsidR="00380DE0" w:rsidRDefault="00380DE0" w:rsidP="00380DE0">
      <w:pPr>
        <w:jc w:val="both"/>
        <w:rPr>
          <w:rFonts w:ascii="Times New Roman" w:eastAsiaTheme="majorEastAsia" w:hAnsi="Times New Roman" w:cs="Times New Roman"/>
        </w:rPr>
      </w:pPr>
    </w:p>
    <w:p w14:paraId="65E204C3" w14:textId="77777777" w:rsidR="00380DE0" w:rsidRDefault="00380DE0" w:rsidP="00380DE0">
      <w:pPr>
        <w:jc w:val="center"/>
        <w:rPr>
          <w:rFonts w:ascii="Times New Roman" w:eastAsiaTheme="majorEastAsia" w:hAnsi="Times New Roman" w:cs="Times New Roman"/>
        </w:rPr>
      </w:pPr>
      <w:r w:rsidRPr="008B1143">
        <w:rPr>
          <w:rFonts w:ascii="Times New Roman" w:eastAsiaTheme="majorEastAsia" w:hAnsi="Times New Roman" w:cs="Times New Roman"/>
          <w:noProof/>
        </w:rPr>
        <w:lastRenderedPageBreak/>
        <w:drawing>
          <wp:inline distT="0" distB="0" distL="0" distR="0" wp14:anchorId="4FB9194B" wp14:editId="22ED643B">
            <wp:extent cx="5943600" cy="4161155"/>
            <wp:effectExtent l="0" t="0" r="0" b="0"/>
            <wp:docPr id="139430268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4161155"/>
                    </a:xfrm>
                    <a:prstGeom prst="rect">
                      <a:avLst/>
                    </a:prstGeom>
                    <a:noFill/>
                    <a:ln>
                      <a:noFill/>
                    </a:ln>
                  </pic:spPr>
                </pic:pic>
              </a:graphicData>
            </a:graphic>
          </wp:inline>
        </w:drawing>
      </w:r>
    </w:p>
    <w:p w14:paraId="2ADD9EF5"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r>
        <w:rPr>
          <w:rFonts w:ascii="Times New Roman" w:hAnsi="Times New Roman" w:cs="Times New Roman"/>
          <w:i/>
          <w:iCs/>
          <w:color w:val="156082" w:themeColor="accent1"/>
          <w:sz w:val="18"/>
          <w:szCs w:val="18"/>
        </w:rPr>
        <w:t xml:space="preserve">Extended Data </w:t>
      </w:r>
      <w:r w:rsidRPr="0060260A">
        <w:rPr>
          <w:rFonts w:ascii="Times New Roman" w:hAnsi="Times New Roman" w:cs="Times New Roman"/>
          <w:i/>
          <w:iCs/>
          <w:color w:val="156082" w:themeColor="accent1"/>
          <w:sz w:val="18"/>
          <w:szCs w:val="18"/>
        </w:rPr>
        <w:t xml:space="preserve">Fig. </w:t>
      </w:r>
      <w:r>
        <w:rPr>
          <w:rFonts w:ascii="Times New Roman" w:hAnsi="Times New Roman" w:cs="Times New Roman"/>
          <w:i/>
          <w:iCs/>
          <w:color w:val="156082" w:themeColor="accent1"/>
          <w:sz w:val="18"/>
          <w:szCs w:val="18"/>
        </w:rPr>
        <w:t xml:space="preserve">4 </w:t>
      </w:r>
      <w:r w:rsidRPr="0060260A">
        <w:rPr>
          <w:rFonts w:ascii="Times New Roman" w:hAnsi="Times New Roman" w:cs="Times New Roman"/>
          <w:i/>
          <w:iCs/>
          <w:color w:val="156082" w:themeColor="accent1"/>
          <w:sz w:val="18"/>
          <w:szCs w:val="18"/>
        </w:rPr>
        <w:t>Impact</w:t>
      </w:r>
      <w:r>
        <w:rPr>
          <w:rFonts w:ascii="Times New Roman" w:hAnsi="Times New Roman" w:cs="Times New Roman"/>
          <w:i/>
          <w:iCs/>
          <w:color w:val="156082" w:themeColor="accent1"/>
          <w:sz w:val="18"/>
          <w:szCs w:val="18"/>
        </w:rPr>
        <w:t xml:space="preserve"> on final energy consumption from 2020-2100. Results represent regional-level coal phase-down over time</w:t>
      </w:r>
    </w:p>
    <w:p w14:paraId="1327E8FC" w14:textId="77777777" w:rsidR="00380DE0" w:rsidRDefault="00380DE0" w:rsidP="00380DE0">
      <w:pPr>
        <w:spacing w:line="480" w:lineRule="auto"/>
        <w:ind w:firstLine="288"/>
        <w:rPr>
          <w:rFonts w:ascii="Times New Roman" w:hAnsi="Times New Roman" w:cs="Times New Roman"/>
          <w:i/>
          <w:iCs/>
          <w:color w:val="156082" w:themeColor="accent1"/>
          <w:sz w:val="18"/>
          <w:szCs w:val="18"/>
        </w:rPr>
      </w:pPr>
    </w:p>
    <w:p w14:paraId="7D21C610"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bookmarkStart w:id="2" w:name="_Hlk161637126"/>
    </w:p>
    <w:p w14:paraId="13B84EB3"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20AFD84F"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150A19C8"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3F8BC148"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6F82C6C3"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07101E5B"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p>
    <w:p w14:paraId="106931BF" w14:textId="77777777" w:rsidR="00380DE0" w:rsidRPr="00D53EA0" w:rsidRDefault="00380DE0" w:rsidP="00380DE0">
      <w:pPr>
        <w:spacing w:line="480" w:lineRule="auto"/>
        <w:ind w:firstLine="288"/>
        <w:jc w:val="center"/>
      </w:pPr>
    </w:p>
    <w:bookmarkEnd w:id="2"/>
    <w:p w14:paraId="2EA63811" w14:textId="77777777" w:rsidR="00380DE0" w:rsidRDefault="00380DE0" w:rsidP="00380DE0">
      <w:pPr>
        <w:spacing w:line="480" w:lineRule="auto"/>
        <w:ind w:firstLine="288"/>
        <w:rPr>
          <w:rFonts w:ascii="Times New Roman" w:hAnsi="Times New Roman" w:cs="Times New Roman"/>
          <w:i/>
          <w:iCs/>
          <w:color w:val="156082" w:themeColor="accent1"/>
          <w:sz w:val="18"/>
          <w:szCs w:val="18"/>
        </w:rPr>
      </w:pPr>
    </w:p>
    <w:p w14:paraId="39C1A92F" w14:textId="77777777" w:rsidR="00380DE0" w:rsidRDefault="00380DE0" w:rsidP="00380DE0">
      <w:pPr>
        <w:spacing w:line="480" w:lineRule="auto"/>
        <w:ind w:left="-432" w:firstLine="288"/>
        <w:jc w:val="center"/>
        <w:rPr>
          <w:rFonts w:ascii="Times New Roman" w:hAnsi="Times New Roman" w:cs="Times New Roman"/>
        </w:rPr>
      </w:pPr>
      <w:r w:rsidRPr="006529E2">
        <w:rPr>
          <w:rFonts w:ascii="Times New Roman" w:hAnsi="Times New Roman" w:cs="Times New Roman"/>
          <w:noProof/>
        </w:rPr>
        <w:drawing>
          <wp:inline distT="0" distB="0" distL="0" distR="0" wp14:anchorId="6DA2328C" wp14:editId="027A2823">
            <wp:extent cx="5943600" cy="5470525"/>
            <wp:effectExtent l="0" t="0" r="0" b="0"/>
            <wp:docPr id="1671693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5470525"/>
                    </a:xfrm>
                    <a:prstGeom prst="rect">
                      <a:avLst/>
                    </a:prstGeom>
                    <a:noFill/>
                    <a:ln>
                      <a:noFill/>
                    </a:ln>
                  </pic:spPr>
                </pic:pic>
              </a:graphicData>
            </a:graphic>
          </wp:inline>
        </w:drawing>
      </w:r>
    </w:p>
    <w:p w14:paraId="55845514" w14:textId="77777777" w:rsidR="00380DE0" w:rsidRDefault="00380DE0" w:rsidP="00380DE0">
      <w:pPr>
        <w:spacing w:line="480" w:lineRule="auto"/>
        <w:ind w:firstLine="288"/>
        <w:jc w:val="center"/>
        <w:rPr>
          <w:rFonts w:ascii="Times New Roman" w:hAnsi="Times New Roman" w:cs="Times New Roman"/>
          <w:i/>
          <w:iCs/>
          <w:color w:val="156082" w:themeColor="accent1"/>
          <w:sz w:val="18"/>
          <w:szCs w:val="18"/>
        </w:rPr>
      </w:pPr>
      <w:r>
        <w:rPr>
          <w:rFonts w:ascii="Times New Roman" w:hAnsi="Times New Roman" w:cs="Times New Roman"/>
          <w:i/>
          <w:iCs/>
          <w:color w:val="156082" w:themeColor="accent1"/>
          <w:sz w:val="18"/>
          <w:szCs w:val="18"/>
        </w:rPr>
        <w:t>Extended Data Fig. 5</w:t>
      </w:r>
      <w:r w:rsidRPr="0060260A">
        <w:rPr>
          <w:rFonts w:ascii="Times New Roman" w:hAnsi="Times New Roman" w:cs="Times New Roman"/>
          <w:i/>
          <w:iCs/>
          <w:color w:val="156082" w:themeColor="accent1"/>
          <w:sz w:val="18"/>
          <w:szCs w:val="18"/>
        </w:rPr>
        <w:t xml:space="preserve"> Energy-related and carbon price results of our scenarios compared to 1.5</w:t>
      </w:r>
      <w:r w:rsidRPr="0060260A">
        <w:rPr>
          <w:rFonts w:ascii="Times New Roman" w:hAnsi="Times New Roman" w:cs="Times New Roman"/>
          <w:i/>
          <w:iCs/>
          <w:color w:val="156082" w:themeColor="accent1"/>
          <w:sz w:val="18"/>
          <w:szCs w:val="18"/>
          <w:vertAlign w:val="superscript"/>
        </w:rPr>
        <w:t>o</w:t>
      </w:r>
      <w:r w:rsidRPr="0060260A">
        <w:rPr>
          <w:rFonts w:ascii="Times New Roman" w:hAnsi="Times New Roman" w:cs="Times New Roman"/>
          <w:i/>
          <w:iCs/>
          <w:color w:val="156082" w:themeColor="accent1"/>
          <w:sz w:val="18"/>
          <w:szCs w:val="18"/>
        </w:rPr>
        <w:t xml:space="preserve">C scenarios in the AR6 database </w:t>
      </w:r>
      <w:r w:rsidRPr="0060260A">
        <w:rPr>
          <w:rFonts w:ascii="Times New Roman" w:hAnsi="Times New Roman" w:cs="Times New Roman"/>
          <w:i/>
          <w:iCs/>
          <w:color w:val="156082" w:themeColor="accent1"/>
          <w:sz w:val="18"/>
          <w:szCs w:val="18"/>
        </w:rPr>
        <w:fldChar w:fldCharType="begin"/>
      </w:r>
      <w:r>
        <w:rPr>
          <w:rFonts w:ascii="Times New Roman" w:hAnsi="Times New Roman" w:cs="Times New Roman"/>
          <w:i/>
          <w:iCs/>
          <w:color w:val="156082" w:themeColor="accent1"/>
          <w:sz w:val="18"/>
          <w:szCs w:val="18"/>
        </w:rPr>
        <w:instrText xml:space="preserve"> ADDIN ZOTERO_ITEM CSL_CITATION {"citationID":"ZckjBy2t","properties":{"formattedCitation":"\\super 33\\nosupersub{}","plainCitation":"33","noteIndex":0},"citationItems":[{"id":968,"uris":["http://zotero.org/users/local/YcBHrSK0/items/GWXU72RF"],"itemData":{"id":968,"type":"webpage","title":"AR6 Scenario Explorer and Database hosted by IIASA","URL":"https://data.ece.iiasa.ac.at/ar6/#/workspaces/2123","author":[{"family":"Byers","given":"Edward"},{"family":"Krey","given":"Volker"},{"family":"Kriegler","given":"Elmar"},{"family":"Riahi","given":"Keywan"},{"family":"Schaeffer","given":"Roberto"}],"accessed":{"date-parts":[["2023",7,11]]}}}],"schema":"https://github.com/citation-style-language/schema/raw/master/csl-citation.json"} </w:instrText>
      </w:r>
      <w:r w:rsidRPr="0060260A">
        <w:rPr>
          <w:rFonts w:ascii="Times New Roman" w:hAnsi="Times New Roman" w:cs="Times New Roman"/>
          <w:i/>
          <w:iCs/>
          <w:color w:val="156082" w:themeColor="accent1"/>
          <w:sz w:val="18"/>
          <w:szCs w:val="18"/>
        </w:rPr>
        <w:fldChar w:fldCharType="separate"/>
      </w:r>
      <w:r w:rsidRPr="00E90521">
        <w:rPr>
          <w:rFonts w:ascii="Times New Roman" w:hAnsi="Times New Roman" w:cs="Times New Roman"/>
          <w:kern w:val="0"/>
          <w:sz w:val="18"/>
          <w:szCs w:val="24"/>
          <w:vertAlign w:val="superscript"/>
        </w:rPr>
        <w:t>33</w:t>
      </w:r>
      <w:r w:rsidRPr="0060260A">
        <w:rPr>
          <w:rFonts w:ascii="Times New Roman" w:hAnsi="Times New Roman" w:cs="Times New Roman"/>
          <w:i/>
          <w:iCs/>
          <w:color w:val="156082" w:themeColor="accent1"/>
          <w:sz w:val="18"/>
          <w:szCs w:val="18"/>
        </w:rPr>
        <w:fldChar w:fldCharType="end"/>
      </w:r>
      <w:r w:rsidRPr="0060260A">
        <w:rPr>
          <w:rFonts w:ascii="Times New Roman" w:hAnsi="Times New Roman" w:cs="Times New Roman"/>
          <w:i/>
          <w:iCs/>
          <w:color w:val="156082" w:themeColor="accent1"/>
          <w:sz w:val="18"/>
          <w:szCs w:val="18"/>
        </w:rPr>
        <w:t xml:space="preserve">. </w:t>
      </w:r>
      <w:r>
        <w:rPr>
          <w:rFonts w:ascii="Times New Roman" w:hAnsi="Times New Roman" w:cs="Times New Roman"/>
          <w:i/>
          <w:iCs/>
          <w:color w:val="156082" w:themeColor="accent1"/>
          <w:sz w:val="18"/>
          <w:szCs w:val="18"/>
        </w:rPr>
        <w:t xml:space="preserve">Non-biomass renewables, fossil fuels, and biomass are related to primary energy consumption. AR6 scenarios are C1 and C2 scenarios that passed vetting according to the AR6 </w:t>
      </w:r>
      <w:bookmarkStart w:id="3" w:name="_Hlk162185936"/>
      <w:r>
        <w:rPr>
          <w:rFonts w:ascii="Times New Roman" w:hAnsi="Times New Roman" w:cs="Times New Roman"/>
          <w:i/>
          <w:iCs/>
          <w:color w:val="156082" w:themeColor="accent1"/>
          <w:sz w:val="18"/>
          <w:szCs w:val="18"/>
        </w:rPr>
        <w:t>vetting process</w:t>
      </w:r>
      <w:bookmarkEnd w:id="3"/>
      <w:r>
        <w:rPr>
          <w:rFonts w:ascii="Times New Roman" w:hAnsi="Times New Roman" w:cs="Times New Roman"/>
          <w:i/>
          <w:iCs/>
          <w:color w:val="156082" w:themeColor="accent1"/>
          <w:sz w:val="18"/>
          <w:szCs w:val="18"/>
        </w:rPr>
        <w:t>. n is the number of AR6 scenarios with non-empty data at any point in the century (for carbon price, this includes scenarios with non-zero values from 2025 onwards)</w:t>
      </w:r>
    </w:p>
    <w:p w14:paraId="069D4ACB" w14:textId="77777777" w:rsidR="00D30773" w:rsidRDefault="00D30773"/>
    <w:sectPr w:rsidR="00D307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DE0"/>
    <w:rsid w:val="00380DE0"/>
    <w:rsid w:val="0076132E"/>
    <w:rsid w:val="00854297"/>
    <w:rsid w:val="00D30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C03CF"/>
  <w15:chartTrackingRefBased/>
  <w15:docId w15:val="{61642274-2AE1-4B05-BCD7-9495A1481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0DE0"/>
    <w:pPr>
      <w:spacing w:line="259" w:lineRule="auto"/>
    </w:pPr>
    <w:rPr>
      <w:rFonts w:eastAsiaTheme="minorEastAsia"/>
      <w:sz w:val="22"/>
      <w:szCs w:val="22"/>
      <w:lang w:eastAsia="zh-CN"/>
    </w:rPr>
  </w:style>
  <w:style w:type="paragraph" w:styleId="Heading1">
    <w:name w:val="heading 1"/>
    <w:basedOn w:val="Normal"/>
    <w:next w:val="Normal"/>
    <w:link w:val="Heading1Char"/>
    <w:uiPriority w:val="9"/>
    <w:qFormat/>
    <w:rsid w:val="00380DE0"/>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380DE0"/>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380DE0"/>
    <w:pPr>
      <w:keepNext/>
      <w:keepLines/>
      <w:spacing w:before="160" w:after="80" w:line="278" w:lineRule="auto"/>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380DE0"/>
    <w:pPr>
      <w:keepNext/>
      <w:keepLines/>
      <w:spacing w:before="80" w:after="40" w:line="278" w:lineRule="auto"/>
      <w:outlineLvl w:val="3"/>
    </w:pPr>
    <w:rPr>
      <w:rFonts w:eastAsiaTheme="majorEastAsia" w:cstheme="majorBidi"/>
      <w:i/>
      <w:iCs/>
      <w:color w:val="0F4761" w:themeColor="accent1" w:themeShade="BF"/>
      <w:sz w:val="24"/>
      <w:szCs w:val="24"/>
      <w:lang w:eastAsia="en-US"/>
    </w:rPr>
  </w:style>
  <w:style w:type="paragraph" w:styleId="Heading5">
    <w:name w:val="heading 5"/>
    <w:basedOn w:val="Normal"/>
    <w:next w:val="Normal"/>
    <w:link w:val="Heading5Char"/>
    <w:uiPriority w:val="9"/>
    <w:semiHidden/>
    <w:unhideWhenUsed/>
    <w:qFormat/>
    <w:rsid w:val="00380DE0"/>
    <w:pPr>
      <w:keepNext/>
      <w:keepLines/>
      <w:spacing w:before="80" w:after="40" w:line="278" w:lineRule="auto"/>
      <w:outlineLvl w:val="4"/>
    </w:pPr>
    <w:rPr>
      <w:rFonts w:eastAsiaTheme="majorEastAsia" w:cstheme="majorBidi"/>
      <w:color w:val="0F4761" w:themeColor="accent1" w:themeShade="BF"/>
      <w:sz w:val="24"/>
      <w:szCs w:val="24"/>
      <w:lang w:eastAsia="en-US"/>
    </w:rPr>
  </w:style>
  <w:style w:type="paragraph" w:styleId="Heading6">
    <w:name w:val="heading 6"/>
    <w:basedOn w:val="Normal"/>
    <w:next w:val="Normal"/>
    <w:link w:val="Heading6Char"/>
    <w:uiPriority w:val="9"/>
    <w:semiHidden/>
    <w:unhideWhenUsed/>
    <w:qFormat/>
    <w:rsid w:val="00380DE0"/>
    <w:pPr>
      <w:keepNext/>
      <w:keepLines/>
      <w:spacing w:before="40" w:after="0" w:line="278" w:lineRule="auto"/>
      <w:outlineLvl w:val="5"/>
    </w:pPr>
    <w:rPr>
      <w:rFonts w:eastAsiaTheme="majorEastAsia" w:cstheme="majorBidi"/>
      <w:i/>
      <w:iCs/>
      <w:color w:val="595959" w:themeColor="text1" w:themeTint="A6"/>
      <w:sz w:val="24"/>
      <w:szCs w:val="24"/>
      <w:lang w:eastAsia="en-US"/>
    </w:rPr>
  </w:style>
  <w:style w:type="paragraph" w:styleId="Heading7">
    <w:name w:val="heading 7"/>
    <w:basedOn w:val="Normal"/>
    <w:next w:val="Normal"/>
    <w:link w:val="Heading7Char"/>
    <w:uiPriority w:val="9"/>
    <w:semiHidden/>
    <w:unhideWhenUsed/>
    <w:qFormat/>
    <w:rsid w:val="00380DE0"/>
    <w:pPr>
      <w:keepNext/>
      <w:keepLines/>
      <w:spacing w:before="40" w:after="0" w:line="278" w:lineRule="auto"/>
      <w:outlineLvl w:val="6"/>
    </w:pPr>
    <w:rPr>
      <w:rFonts w:eastAsiaTheme="majorEastAsia" w:cstheme="majorBidi"/>
      <w:color w:val="595959" w:themeColor="text1" w:themeTint="A6"/>
      <w:sz w:val="24"/>
      <w:szCs w:val="24"/>
      <w:lang w:eastAsia="en-US"/>
    </w:rPr>
  </w:style>
  <w:style w:type="paragraph" w:styleId="Heading8">
    <w:name w:val="heading 8"/>
    <w:basedOn w:val="Normal"/>
    <w:next w:val="Normal"/>
    <w:link w:val="Heading8Char"/>
    <w:uiPriority w:val="9"/>
    <w:semiHidden/>
    <w:unhideWhenUsed/>
    <w:qFormat/>
    <w:rsid w:val="00380DE0"/>
    <w:pPr>
      <w:keepNext/>
      <w:keepLines/>
      <w:spacing w:after="0" w:line="278" w:lineRule="auto"/>
      <w:outlineLvl w:val="7"/>
    </w:pPr>
    <w:rPr>
      <w:rFonts w:eastAsiaTheme="majorEastAsia" w:cstheme="majorBidi"/>
      <w:i/>
      <w:iCs/>
      <w:color w:val="272727" w:themeColor="text1" w:themeTint="D8"/>
      <w:sz w:val="24"/>
      <w:szCs w:val="24"/>
      <w:lang w:eastAsia="en-US"/>
    </w:rPr>
  </w:style>
  <w:style w:type="paragraph" w:styleId="Heading9">
    <w:name w:val="heading 9"/>
    <w:basedOn w:val="Normal"/>
    <w:next w:val="Normal"/>
    <w:link w:val="Heading9Char"/>
    <w:uiPriority w:val="9"/>
    <w:semiHidden/>
    <w:unhideWhenUsed/>
    <w:qFormat/>
    <w:rsid w:val="00380DE0"/>
    <w:pPr>
      <w:keepNext/>
      <w:keepLines/>
      <w:spacing w:after="0" w:line="278" w:lineRule="auto"/>
      <w:outlineLvl w:val="8"/>
    </w:pPr>
    <w:rPr>
      <w:rFonts w:eastAsiaTheme="majorEastAsia" w:cstheme="majorBidi"/>
      <w:color w:val="272727" w:themeColor="text1" w:themeTint="D8"/>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0D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0D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0D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0D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0D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0D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0D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0D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0DE0"/>
    <w:rPr>
      <w:rFonts w:eastAsiaTheme="majorEastAsia" w:cstheme="majorBidi"/>
      <w:color w:val="272727" w:themeColor="text1" w:themeTint="D8"/>
    </w:rPr>
  </w:style>
  <w:style w:type="paragraph" w:styleId="Title">
    <w:name w:val="Title"/>
    <w:basedOn w:val="Normal"/>
    <w:next w:val="Normal"/>
    <w:link w:val="TitleChar"/>
    <w:uiPriority w:val="10"/>
    <w:qFormat/>
    <w:rsid w:val="00380DE0"/>
    <w:pPr>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380D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0DE0"/>
    <w:pPr>
      <w:numPr>
        <w:ilvl w:val="1"/>
      </w:numPr>
      <w:spacing w:line="278" w:lineRule="auto"/>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380D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0DE0"/>
    <w:pPr>
      <w:spacing w:before="160" w:line="278" w:lineRule="auto"/>
      <w:jc w:val="center"/>
    </w:pPr>
    <w:rPr>
      <w:rFonts w:eastAsiaTheme="minorHAnsi"/>
      <w:i/>
      <w:iCs/>
      <w:color w:val="404040" w:themeColor="text1" w:themeTint="BF"/>
      <w:sz w:val="24"/>
      <w:szCs w:val="24"/>
      <w:lang w:eastAsia="en-US"/>
    </w:rPr>
  </w:style>
  <w:style w:type="character" w:customStyle="1" w:styleId="QuoteChar">
    <w:name w:val="Quote Char"/>
    <w:basedOn w:val="DefaultParagraphFont"/>
    <w:link w:val="Quote"/>
    <w:uiPriority w:val="29"/>
    <w:rsid w:val="00380DE0"/>
    <w:rPr>
      <w:i/>
      <w:iCs/>
      <w:color w:val="404040" w:themeColor="text1" w:themeTint="BF"/>
    </w:rPr>
  </w:style>
  <w:style w:type="paragraph" w:styleId="ListParagraph">
    <w:name w:val="List Paragraph"/>
    <w:basedOn w:val="Normal"/>
    <w:uiPriority w:val="34"/>
    <w:qFormat/>
    <w:rsid w:val="00380DE0"/>
    <w:pPr>
      <w:spacing w:line="278" w:lineRule="auto"/>
      <w:ind w:left="720"/>
      <w:contextualSpacing/>
    </w:pPr>
    <w:rPr>
      <w:rFonts w:eastAsiaTheme="minorHAnsi"/>
      <w:sz w:val="24"/>
      <w:szCs w:val="24"/>
      <w:lang w:eastAsia="en-US"/>
    </w:rPr>
  </w:style>
  <w:style w:type="character" w:styleId="IntenseEmphasis">
    <w:name w:val="Intense Emphasis"/>
    <w:basedOn w:val="DefaultParagraphFont"/>
    <w:uiPriority w:val="21"/>
    <w:qFormat/>
    <w:rsid w:val="00380DE0"/>
    <w:rPr>
      <w:i/>
      <w:iCs/>
      <w:color w:val="0F4761" w:themeColor="accent1" w:themeShade="BF"/>
    </w:rPr>
  </w:style>
  <w:style w:type="paragraph" w:styleId="IntenseQuote">
    <w:name w:val="Intense Quote"/>
    <w:basedOn w:val="Normal"/>
    <w:next w:val="Normal"/>
    <w:link w:val="IntenseQuoteChar"/>
    <w:uiPriority w:val="30"/>
    <w:qFormat/>
    <w:rsid w:val="00380DE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rPr>
  </w:style>
  <w:style w:type="character" w:customStyle="1" w:styleId="IntenseQuoteChar">
    <w:name w:val="Intense Quote Char"/>
    <w:basedOn w:val="DefaultParagraphFont"/>
    <w:link w:val="IntenseQuote"/>
    <w:uiPriority w:val="30"/>
    <w:rsid w:val="00380DE0"/>
    <w:rPr>
      <w:i/>
      <w:iCs/>
      <w:color w:val="0F4761" w:themeColor="accent1" w:themeShade="BF"/>
    </w:rPr>
  </w:style>
  <w:style w:type="character" w:styleId="IntenseReference">
    <w:name w:val="Intense Reference"/>
    <w:basedOn w:val="DefaultParagraphFont"/>
    <w:uiPriority w:val="32"/>
    <w:qFormat/>
    <w:rsid w:val="00380DE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590</Words>
  <Characters>3369</Characters>
  <Application>Microsoft Office Word</Application>
  <DocSecurity>0</DocSecurity>
  <Lines>28</Lines>
  <Paragraphs>7</Paragraphs>
  <ScaleCrop>false</ScaleCrop>
  <Company>SpringerNature</Company>
  <LinksUpToDate>false</LinksUpToDate>
  <CharactersWithSpaces>3952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2024-11-07T06:09:00Z</dcterms:created>
  <dcterms:modified xsi:type="dcterms:W3CDTF">2024-11-07T06:10:00Z</dcterms:modified>
</cp:coreProperties>
</file>