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5E1" w:rsidRDefault="003F65E1" w:rsidP="003F65E1">
      <w:pPr>
        <w:pStyle w:val="Descripcin"/>
        <w:keepNext/>
        <w:spacing w:after="0"/>
        <w:rPr>
          <w:rFonts w:asciiTheme="minorHAnsi" w:hAnsiTheme="minorHAnsi"/>
        </w:rPr>
      </w:pPr>
      <w:r>
        <w:rPr>
          <w:rFonts w:asciiTheme="minorHAnsi" w:hAnsiTheme="minorHAnsi"/>
          <w:b/>
          <w:bCs w:val="0"/>
        </w:rPr>
        <w:t xml:space="preserve">Table 1. </w:t>
      </w:r>
      <w:proofErr w:type="spellStart"/>
      <w:r w:rsidRPr="003F65E1">
        <w:rPr>
          <w:rFonts w:asciiTheme="minorHAnsi" w:hAnsiTheme="minorHAnsi"/>
        </w:rPr>
        <w:t>Physico</w:t>
      </w:r>
      <w:proofErr w:type="spellEnd"/>
      <w:r w:rsidRPr="003F65E1">
        <w:rPr>
          <w:rFonts w:asciiTheme="minorHAnsi" w:hAnsiTheme="minorHAnsi"/>
        </w:rPr>
        <w:t>-chemical Characterization of Bevacizumab-Loaded Albumin Nanoparticles. B-NP: bare nanoparticles; B-NP-DEX10: DEX-coated nanoparticles with a DEX-to-albumin ratio of 0.1; B-NP-DEX25: DEX-coated nanoparticles with a DEX-to-albumin ratio of 0.25; B-NP-DEX50: DEX-coated nanoparticles with a DEX-to-albumin ratio of 0.5. Data are presented as mean ± SD (n &gt; 6). BEVA: bevacizumab.</w:t>
      </w:r>
    </w:p>
    <w:p w:rsidR="003F65E1" w:rsidRPr="003F65E1" w:rsidRDefault="003F65E1" w:rsidP="003F65E1">
      <w:pPr>
        <w:keepNext/>
        <w:spacing w:after="0" w:line="240" w:lineRule="auto"/>
        <w:jc w:val="both"/>
        <w:rPr>
          <w:rFonts w:cstheme="minorHAnsi"/>
          <w:sz w:val="24"/>
          <w:szCs w:val="24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555"/>
        <w:gridCol w:w="1275"/>
        <w:gridCol w:w="1416"/>
        <w:gridCol w:w="1845"/>
        <w:gridCol w:w="987"/>
        <w:gridCol w:w="1989"/>
      </w:tblGrid>
      <w:tr w:rsidR="003F65E1" w:rsidTr="00E9141F">
        <w:tc>
          <w:tcPr>
            <w:tcW w:w="1555" w:type="dxa"/>
            <w:tcBorders>
              <w:left w:val="nil"/>
            </w:tcBorders>
          </w:tcPr>
          <w:p w:rsidR="003F65E1" w:rsidRDefault="003F65E1" w:rsidP="003F65E1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Particle size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(nm)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PDI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Zeta</w:t>
            </w:r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otential (mV)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EE</w:t>
            </w:r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1989" w:type="dxa"/>
            <w:tcBorders>
              <w:right w:val="nil"/>
            </w:tcBorders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BEVA</w:t>
            </w:r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oading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μg</w:t>
            </w:r>
            <w:proofErr w:type="spellEnd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/mg)</w:t>
            </w:r>
          </w:p>
        </w:tc>
      </w:tr>
      <w:tr w:rsidR="003F65E1" w:rsidTr="00E9141F">
        <w:tc>
          <w:tcPr>
            <w:tcW w:w="1555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B-NP</w:t>
            </w:r>
          </w:p>
        </w:tc>
        <w:tc>
          <w:tcPr>
            <w:tcW w:w="127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225 ± 5</w:t>
            </w:r>
          </w:p>
        </w:tc>
        <w:tc>
          <w:tcPr>
            <w:tcW w:w="1416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0.06 ± 0.02</w:t>
            </w:r>
          </w:p>
        </w:tc>
        <w:tc>
          <w:tcPr>
            <w:tcW w:w="184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-36 ± 2</w:t>
            </w:r>
          </w:p>
        </w:tc>
        <w:tc>
          <w:tcPr>
            <w:tcW w:w="987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82 ± 2</w:t>
            </w:r>
          </w:p>
        </w:tc>
        <w:tc>
          <w:tcPr>
            <w:tcW w:w="198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107 ± 3</w:t>
            </w:r>
          </w:p>
        </w:tc>
      </w:tr>
      <w:tr w:rsidR="003F65E1" w:rsidTr="00E9141F">
        <w:tc>
          <w:tcPr>
            <w:tcW w:w="1555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B-NP-DEX10</w:t>
            </w:r>
          </w:p>
        </w:tc>
        <w:tc>
          <w:tcPr>
            <w:tcW w:w="127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233 ± 9</w:t>
            </w:r>
          </w:p>
        </w:tc>
        <w:tc>
          <w:tcPr>
            <w:tcW w:w="1416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0.13 ± 0.02</w:t>
            </w:r>
          </w:p>
        </w:tc>
        <w:tc>
          <w:tcPr>
            <w:tcW w:w="184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-27 ± 7</w:t>
            </w:r>
          </w:p>
        </w:tc>
        <w:tc>
          <w:tcPr>
            <w:tcW w:w="987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78 ± 3</w:t>
            </w:r>
          </w:p>
        </w:tc>
        <w:tc>
          <w:tcPr>
            <w:tcW w:w="198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103 ± 4</w:t>
            </w:r>
          </w:p>
        </w:tc>
      </w:tr>
      <w:tr w:rsidR="003F65E1" w:rsidTr="00E9141F">
        <w:tc>
          <w:tcPr>
            <w:tcW w:w="1555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B-NP-DEX25</w:t>
            </w:r>
          </w:p>
        </w:tc>
        <w:tc>
          <w:tcPr>
            <w:tcW w:w="127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244 ± 5</w:t>
            </w:r>
          </w:p>
        </w:tc>
        <w:tc>
          <w:tcPr>
            <w:tcW w:w="1416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0.09 ± 0.06</w:t>
            </w:r>
          </w:p>
        </w:tc>
        <w:tc>
          <w:tcPr>
            <w:tcW w:w="184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-40 ± 6</w:t>
            </w:r>
          </w:p>
        </w:tc>
        <w:tc>
          <w:tcPr>
            <w:tcW w:w="987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87 ± 4</w:t>
            </w:r>
          </w:p>
        </w:tc>
        <w:tc>
          <w:tcPr>
            <w:tcW w:w="198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112 ± 3</w:t>
            </w:r>
          </w:p>
        </w:tc>
      </w:tr>
      <w:tr w:rsidR="003F65E1" w:rsidTr="00E9141F">
        <w:tc>
          <w:tcPr>
            <w:tcW w:w="1555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B-NP-DEX50</w:t>
            </w:r>
          </w:p>
        </w:tc>
        <w:tc>
          <w:tcPr>
            <w:tcW w:w="127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255 ± 3</w:t>
            </w:r>
          </w:p>
        </w:tc>
        <w:tc>
          <w:tcPr>
            <w:tcW w:w="1416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0.11 ± 0.01</w:t>
            </w:r>
          </w:p>
        </w:tc>
        <w:tc>
          <w:tcPr>
            <w:tcW w:w="1845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-36 ± 5</w:t>
            </w:r>
          </w:p>
        </w:tc>
        <w:tc>
          <w:tcPr>
            <w:tcW w:w="987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88 ± 2</w:t>
            </w:r>
          </w:p>
        </w:tc>
        <w:tc>
          <w:tcPr>
            <w:tcW w:w="198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111 ± 2</w:t>
            </w:r>
          </w:p>
        </w:tc>
      </w:tr>
    </w:tbl>
    <w:p w:rsidR="003F65E1" w:rsidRPr="003F65E1" w:rsidRDefault="003F65E1" w:rsidP="003F65E1">
      <w:pP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</w:p>
    <w:p w:rsidR="003A249C" w:rsidRPr="003F65E1" w:rsidRDefault="003A249C" w:rsidP="003F65E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3F65E1" w:rsidRPr="003F65E1" w:rsidRDefault="003F65E1" w:rsidP="003F65E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3F65E1" w:rsidRPr="003F65E1" w:rsidRDefault="003F65E1" w:rsidP="003F65E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3F65E1" w:rsidRDefault="003F65E1">
      <w:pPr>
        <w:rPr>
          <w:rFonts w:cstheme="minorHAnsi"/>
          <w:b/>
          <w:bCs/>
          <w:sz w:val="24"/>
          <w:szCs w:val="24"/>
          <w:lang w:val="en-GB"/>
        </w:rPr>
      </w:pPr>
      <w:r>
        <w:rPr>
          <w:rFonts w:cstheme="minorHAnsi"/>
          <w:b/>
          <w:bCs/>
          <w:sz w:val="24"/>
          <w:szCs w:val="24"/>
          <w:lang w:val="en-GB"/>
        </w:rPr>
        <w:br w:type="page"/>
      </w:r>
    </w:p>
    <w:p w:rsidR="003F65E1" w:rsidRPr="003F65E1" w:rsidRDefault="003F65E1" w:rsidP="003F65E1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b/>
          <w:bCs/>
          <w:sz w:val="24"/>
          <w:szCs w:val="24"/>
          <w:lang w:val="en-GB"/>
        </w:rPr>
        <w:lastRenderedPageBreak/>
        <w:t xml:space="preserve">Table 2. </w:t>
      </w:r>
      <w:r w:rsidRPr="003F65E1">
        <w:rPr>
          <w:rFonts w:cstheme="minorHAnsi"/>
          <w:sz w:val="24"/>
          <w:szCs w:val="24"/>
          <w:lang w:val="en-GB"/>
        </w:rPr>
        <w:t>Pharmacokinetic parameters of bevacizumab following intravenous administration of a single dose of 5 mg/kg. Bevacizumab: aqueous solution of the monoclonal antibody; B-NP-DEX50: bevacizumab-loaded dextran-coated albumin nanoparticles. Data are expressed as mean ± SD (</w:t>
      </w:r>
      <w:r w:rsidRPr="003F65E1">
        <w:rPr>
          <w:rFonts w:cstheme="minorHAnsi"/>
          <w:i/>
          <w:iCs/>
          <w:sz w:val="24"/>
          <w:szCs w:val="24"/>
          <w:lang w:val="en-GB"/>
        </w:rPr>
        <w:t>n</w:t>
      </w:r>
      <w:r w:rsidRPr="003F65E1">
        <w:rPr>
          <w:rFonts w:cstheme="minorHAnsi"/>
          <w:sz w:val="24"/>
          <w:szCs w:val="24"/>
          <w:lang w:val="en-GB"/>
        </w:rPr>
        <w:t xml:space="preserve"> = 6). </w:t>
      </w:r>
      <w:proofErr w:type="spellStart"/>
      <w:r w:rsidRPr="003F65E1">
        <w:rPr>
          <w:rFonts w:cstheme="minorHAnsi"/>
          <w:sz w:val="24"/>
          <w:szCs w:val="24"/>
          <w:lang w:val="en-GB"/>
        </w:rPr>
        <w:t>T</w:t>
      </w:r>
      <w:r w:rsidRPr="003F65E1">
        <w:rPr>
          <w:rFonts w:cstheme="minorHAnsi"/>
          <w:sz w:val="24"/>
          <w:szCs w:val="24"/>
          <w:vertAlign w:val="subscript"/>
          <w:lang w:val="en-GB"/>
        </w:rPr>
        <w:t>max</w:t>
      </w:r>
      <w:proofErr w:type="spellEnd"/>
      <w:r w:rsidRPr="003F65E1">
        <w:rPr>
          <w:rFonts w:cstheme="minorHAnsi"/>
          <w:sz w:val="24"/>
          <w:szCs w:val="24"/>
          <w:lang w:val="en-GB"/>
        </w:rPr>
        <w:t xml:space="preserve">: time to reach maximum plasma concentration; </w:t>
      </w:r>
      <w:proofErr w:type="spellStart"/>
      <w:r w:rsidRPr="003F65E1">
        <w:rPr>
          <w:rFonts w:cstheme="minorHAnsi"/>
          <w:sz w:val="24"/>
          <w:szCs w:val="24"/>
          <w:lang w:val="en-GB"/>
        </w:rPr>
        <w:t>C</w:t>
      </w:r>
      <w:r w:rsidRPr="003F65E1">
        <w:rPr>
          <w:rFonts w:cstheme="minorHAnsi"/>
          <w:sz w:val="24"/>
          <w:szCs w:val="24"/>
          <w:vertAlign w:val="subscript"/>
          <w:lang w:val="en-GB"/>
        </w:rPr>
        <w:t>max</w:t>
      </w:r>
      <w:proofErr w:type="spellEnd"/>
      <w:r w:rsidRPr="003F65E1">
        <w:rPr>
          <w:rFonts w:cstheme="minorHAnsi"/>
          <w:sz w:val="24"/>
          <w:szCs w:val="24"/>
          <w:lang w:val="en-GB"/>
        </w:rPr>
        <w:t>: maximum plasma concentration; t</w:t>
      </w:r>
      <w:r w:rsidRPr="003F65E1">
        <w:rPr>
          <w:rFonts w:cstheme="minorHAnsi"/>
          <w:sz w:val="24"/>
          <w:szCs w:val="24"/>
          <w:vertAlign w:val="subscript"/>
          <w:lang w:val="en-GB"/>
        </w:rPr>
        <w:t>1/2</w:t>
      </w:r>
      <w:r w:rsidRPr="003F65E1">
        <w:rPr>
          <w:rFonts w:cstheme="minorHAnsi"/>
          <w:sz w:val="24"/>
          <w:szCs w:val="24"/>
          <w:lang w:val="en-GB"/>
        </w:rPr>
        <w:t>: plasma half-life.</w:t>
      </w:r>
    </w:p>
    <w:p w:rsidR="003F65E1" w:rsidRPr="00E9141F" w:rsidRDefault="003F65E1" w:rsidP="003F65E1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3F65E1" w:rsidTr="00E9141F">
        <w:tc>
          <w:tcPr>
            <w:tcW w:w="1698" w:type="dxa"/>
            <w:tcBorders>
              <w:left w:val="nil"/>
            </w:tcBorders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99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bscript"/>
              </w:rPr>
              <w:t>max</w:t>
            </w:r>
            <w:proofErr w:type="spellEnd"/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(days)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bscript"/>
              </w:rPr>
              <w:t>max</w:t>
            </w:r>
            <w:proofErr w:type="spellEnd"/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μg</w:t>
            </w:r>
            <w:proofErr w:type="spellEnd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bscript"/>
              </w:rPr>
              <w:t>1/2</w:t>
            </w:r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(days)</w:t>
            </w:r>
          </w:p>
        </w:tc>
        <w:tc>
          <w:tcPr>
            <w:tcW w:w="1699" w:type="dxa"/>
            <w:tcBorders>
              <w:right w:val="nil"/>
            </w:tcBorders>
            <w:shd w:val="clear" w:color="auto" w:fill="auto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AUC</w:t>
            </w: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bscript"/>
              </w:rPr>
              <w:t>0-30d</w:t>
            </w:r>
          </w:p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μg</w:t>
            </w:r>
            <w:proofErr w:type="spellEnd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</w:t>
            </w:r>
            <w:proofErr w:type="spellStart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mL·d</w:t>
            </w:r>
            <w:proofErr w:type="spellEnd"/>
            <w:r w:rsidRPr="003F65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</w:p>
        </w:tc>
      </w:tr>
      <w:tr w:rsidR="003F65E1" w:rsidTr="00E9141F">
        <w:tc>
          <w:tcPr>
            <w:tcW w:w="1698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Bevacizumab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129 ± 1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10 ± 2</w:t>
            </w:r>
          </w:p>
        </w:tc>
        <w:tc>
          <w:tcPr>
            <w:tcW w:w="169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711 ± 48</w:t>
            </w:r>
          </w:p>
        </w:tc>
      </w:tr>
      <w:tr w:rsidR="003F65E1" w:rsidTr="00E9141F">
        <w:tc>
          <w:tcPr>
            <w:tcW w:w="1698" w:type="dxa"/>
            <w:tcBorders>
              <w:lef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b/>
                <w:sz w:val="24"/>
                <w:szCs w:val="24"/>
              </w:rPr>
              <w:t>B-NP-DEX50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0.22 ± 0.08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69 ± 2</w:t>
            </w:r>
          </w:p>
        </w:tc>
        <w:tc>
          <w:tcPr>
            <w:tcW w:w="1699" w:type="dxa"/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10 ± 3</w:t>
            </w:r>
          </w:p>
        </w:tc>
        <w:tc>
          <w:tcPr>
            <w:tcW w:w="1699" w:type="dxa"/>
            <w:tcBorders>
              <w:right w:val="nil"/>
            </w:tcBorders>
            <w:vAlign w:val="center"/>
          </w:tcPr>
          <w:p w:rsidR="003F65E1" w:rsidRPr="003F65E1" w:rsidRDefault="003F65E1" w:rsidP="003F65E1">
            <w:pPr>
              <w:pStyle w:val="Celltext"/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3F65E1">
              <w:rPr>
                <w:rFonts w:asciiTheme="minorHAnsi" w:hAnsiTheme="minorHAnsi" w:cstheme="minorHAnsi"/>
                <w:sz w:val="24"/>
                <w:szCs w:val="24"/>
              </w:rPr>
              <w:t>319 ± 29</w:t>
            </w:r>
          </w:p>
        </w:tc>
      </w:tr>
    </w:tbl>
    <w:p w:rsidR="003F65E1" w:rsidRDefault="003F65E1" w:rsidP="003F65E1">
      <w:pPr>
        <w:spacing w:after="0" w:line="240" w:lineRule="auto"/>
        <w:jc w:val="both"/>
      </w:pPr>
      <w:bookmarkStart w:id="0" w:name="_GoBack"/>
      <w:bookmarkEnd w:id="0"/>
    </w:p>
    <w:sectPr w:rsidR="003F65E1" w:rsidSect="00E9141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5E1"/>
    <w:rsid w:val="003A249C"/>
    <w:rsid w:val="003F65E1"/>
    <w:rsid w:val="00E9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A44DF-C737-4B4F-B3BE-C846C119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F65E1"/>
    <w:pPr>
      <w:spacing w:after="0" w:line="240" w:lineRule="auto"/>
    </w:pPr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elltext">
    <w:name w:val="Cell text"/>
    <w:basedOn w:val="Normal"/>
    <w:qFormat/>
    <w:rsid w:val="003F65E1"/>
    <w:pPr>
      <w:spacing w:after="20" w:line="240" w:lineRule="auto"/>
      <w:ind w:left="57" w:right="57"/>
      <w:jc w:val="center"/>
    </w:pPr>
    <w:rPr>
      <w:rFonts w:ascii="Times New Roman" w:hAnsi="Times New Roman" w:cs="Times New Roman"/>
      <w:sz w:val="20"/>
      <w:lang w:val="en-US"/>
      <w14:ligatures w14:val="standardContextual"/>
    </w:rPr>
  </w:style>
  <w:style w:type="paragraph" w:styleId="Descripcin">
    <w:name w:val="caption"/>
    <w:basedOn w:val="Normal"/>
    <w:next w:val="Normal"/>
    <w:uiPriority w:val="35"/>
    <w:unhideWhenUsed/>
    <w:qFormat/>
    <w:rsid w:val="003F65E1"/>
    <w:pPr>
      <w:spacing w:after="200" w:line="240" w:lineRule="auto"/>
      <w:jc w:val="both"/>
    </w:pPr>
    <w:rPr>
      <w:rFonts w:ascii="Times New Roman" w:eastAsia="SimSun" w:hAnsi="Times New Roman" w:cstheme="minorHAnsi"/>
      <w:bCs/>
      <w:sz w:val="24"/>
      <w:szCs w:val="24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Navarra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Irache Garreta</dc:creator>
  <cp:keywords/>
  <dc:description/>
  <cp:lastModifiedBy>Juan Manuel Irache Garreta</cp:lastModifiedBy>
  <cp:revision>2</cp:revision>
  <dcterms:created xsi:type="dcterms:W3CDTF">2024-08-07T08:43:00Z</dcterms:created>
  <dcterms:modified xsi:type="dcterms:W3CDTF">2024-09-06T10:38:00Z</dcterms:modified>
</cp:coreProperties>
</file>