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D65BCB" w14:textId="77777777" w:rsidR="00C63B56" w:rsidRPr="00EC6AA1" w:rsidRDefault="00B41788" w:rsidP="00E94AF4">
      <w:pPr>
        <w:spacing w:after="0" w:line="240" w:lineRule="auto"/>
        <w:jc w:val="both"/>
        <w:rPr>
          <w:rFonts w:cstheme="minorHAnsi"/>
          <w:b/>
          <w:sz w:val="28"/>
          <w:szCs w:val="28"/>
          <w:lang w:val="en-GB"/>
        </w:rPr>
      </w:pPr>
      <w:bookmarkStart w:id="0" w:name="_GoBack"/>
      <w:bookmarkEnd w:id="0"/>
      <w:r w:rsidRPr="00EC6AA1">
        <w:rPr>
          <w:rFonts w:cstheme="minorHAnsi"/>
          <w:b/>
          <w:sz w:val="28"/>
          <w:szCs w:val="28"/>
          <w:lang w:val="en-GB"/>
        </w:rPr>
        <w:t>Supplementary material</w:t>
      </w:r>
    </w:p>
    <w:p w14:paraId="7AD65BCC" w14:textId="77777777" w:rsidR="00B41788" w:rsidRPr="00EC6AA1" w:rsidRDefault="00B41788" w:rsidP="00E94AF4">
      <w:pPr>
        <w:spacing w:after="0" w:line="240" w:lineRule="auto"/>
        <w:jc w:val="both"/>
        <w:rPr>
          <w:rFonts w:cstheme="minorHAnsi"/>
          <w:sz w:val="24"/>
          <w:szCs w:val="24"/>
          <w:lang w:val="en-GB"/>
        </w:rPr>
      </w:pPr>
    </w:p>
    <w:p w14:paraId="7AD65BCD" w14:textId="77777777" w:rsidR="00211B25" w:rsidRPr="00887526" w:rsidRDefault="00211B25" w:rsidP="00E94AF4">
      <w:pPr>
        <w:pStyle w:val="Ttulo3"/>
        <w:numPr>
          <w:ilvl w:val="0"/>
          <w:numId w:val="0"/>
        </w:numPr>
        <w:spacing w:before="0" w:after="0"/>
        <w:ind w:left="567" w:hanging="567"/>
        <w:rPr>
          <w:rFonts w:asciiTheme="minorHAnsi" w:hAnsiTheme="minorHAnsi" w:cstheme="minorHAnsi"/>
          <w:b/>
        </w:rPr>
      </w:pPr>
      <w:bookmarkStart w:id="1" w:name="_Toc145540200"/>
      <w:r w:rsidRPr="00887526">
        <w:rPr>
          <w:rFonts w:asciiTheme="minorHAnsi" w:hAnsiTheme="minorHAnsi" w:cstheme="minorHAnsi"/>
          <w:b/>
        </w:rPr>
        <w:t>Material and Methods</w:t>
      </w:r>
    </w:p>
    <w:p w14:paraId="7AD65BCE" w14:textId="77777777" w:rsidR="00B41788" w:rsidRPr="00887526" w:rsidRDefault="00B41788" w:rsidP="00E94AF4">
      <w:pPr>
        <w:pStyle w:val="Ttulo3"/>
        <w:numPr>
          <w:ilvl w:val="0"/>
          <w:numId w:val="0"/>
        </w:numPr>
        <w:spacing w:before="0" w:after="0"/>
        <w:ind w:left="567" w:hanging="567"/>
        <w:rPr>
          <w:rFonts w:asciiTheme="minorHAnsi" w:hAnsiTheme="minorHAnsi" w:cstheme="minorHAnsi"/>
          <w:b/>
        </w:rPr>
      </w:pPr>
      <w:r w:rsidRPr="00383F7E">
        <w:rPr>
          <w:rFonts w:asciiTheme="minorHAnsi" w:hAnsiTheme="minorHAnsi" w:cstheme="minorHAnsi"/>
          <w:b/>
        </w:rPr>
        <w:t>Preparation of empty nanoparticles</w:t>
      </w:r>
      <w:r w:rsidRPr="00887526">
        <w:rPr>
          <w:rFonts w:asciiTheme="minorHAnsi" w:hAnsiTheme="minorHAnsi" w:cstheme="minorHAnsi"/>
          <w:b/>
        </w:rPr>
        <w:t xml:space="preserve"> </w:t>
      </w:r>
      <w:bookmarkEnd w:id="1"/>
    </w:p>
    <w:p w14:paraId="7AD65BCF" w14:textId="77777777" w:rsidR="00E94AF4" w:rsidRPr="00887526" w:rsidRDefault="00B41788" w:rsidP="00887526">
      <w:pPr>
        <w:spacing w:after="0" w:line="240" w:lineRule="auto"/>
        <w:jc w:val="both"/>
        <w:rPr>
          <w:rFonts w:cstheme="minorHAnsi"/>
          <w:sz w:val="24"/>
          <w:szCs w:val="24"/>
          <w:lang w:val="en-GB"/>
        </w:rPr>
      </w:pPr>
      <w:r w:rsidRPr="00887526">
        <w:rPr>
          <w:rFonts w:cstheme="minorHAnsi"/>
          <w:sz w:val="24"/>
          <w:szCs w:val="24"/>
          <w:lang w:val="en-GB"/>
        </w:rPr>
        <w:t>For the optimisation of the preparative process of nanoparticles, empty nanoparticles stabilized with either dextran 40 or glutaraldehyde, were prepared. In the former, the aqueous solution of albumin (100 mg/mL; 8 mL water) was adjusted to pH 5.6 with HCl 1 N. Then, nanoparticles were formed by the addition of ethanol (8 mL) and, then, stabilized by their coating with dextran 40 (DEX-to-H</w:t>
      </w:r>
      <w:r w:rsidR="00E94AF4" w:rsidRPr="00887526">
        <w:rPr>
          <w:rFonts w:cstheme="minorHAnsi"/>
          <w:sz w:val="24"/>
          <w:szCs w:val="24"/>
          <w:lang w:val="en-GB"/>
        </w:rPr>
        <w:t>SA</w:t>
      </w:r>
      <w:r w:rsidRPr="00887526">
        <w:rPr>
          <w:rFonts w:cstheme="minorHAnsi"/>
          <w:sz w:val="24"/>
          <w:szCs w:val="24"/>
          <w:lang w:val="en-GB"/>
        </w:rPr>
        <w:t xml:space="preserve"> ratio of 0.1, 0.25 or 0.5) or glutaraldehyde (12.5 </w:t>
      </w:r>
      <w:proofErr w:type="spellStart"/>
      <w:r w:rsidRPr="00887526">
        <w:rPr>
          <w:rFonts w:cstheme="minorHAnsi"/>
          <w:sz w:val="24"/>
          <w:szCs w:val="24"/>
          <w:lang w:val="en-GB"/>
        </w:rPr>
        <w:t>μg</w:t>
      </w:r>
      <w:proofErr w:type="spellEnd"/>
      <w:r w:rsidRPr="00887526">
        <w:rPr>
          <w:rFonts w:cstheme="minorHAnsi"/>
          <w:sz w:val="24"/>
          <w:szCs w:val="24"/>
          <w:lang w:val="en-GB"/>
        </w:rPr>
        <w:t xml:space="preserve"> glutaraldehyde in 300 </w:t>
      </w:r>
      <w:proofErr w:type="spellStart"/>
      <w:r w:rsidRPr="00887526">
        <w:rPr>
          <w:rFonts w:cstheme="minorHAnsi"/>
          <w:sz w:val="24"/>
          <w:szCs w:val="24"/>
          <w:lang w:val="en-GB"/>
        </w:rPr>
        <w:t>μL</w:t>
      </w:r>
      <w:proofErr w:type="spellEnd"/>
      <w:r w:rsidRPr="00887526">
        <w:rPr>
          <w:rFonts w:cstheme="minorHAnsi"/>
          <w:sz w:val="24"/>
          <w:szCs w:val="24"/>
          <w:lang w:val="en-GB"/>
        </w:rPr>
        <w:t xml:space="preserve"> ethanol; 5 min incubation). Finally, nanoparticles were purified and freeze-dried</w:t>
      </w:r>
      <w:r w:rsidR="00E94AF4" w:rsidRPr="00887526">
        <w:rPr>
          <w:rFonts w:cstheme="minorHAnsi"/>
          <w:sz w:val="24"/>
          <w:szCs w:val="24"/>
          <w:lang w:val="en-GB"/>
        </w:rPr>
        <w:t>,</w:t>
      </w:r>
      <w:r w:rsidRPr="00887526">
        <w:rPr>
          <w:rFonts w:cstheme="minorHAnsi"/>
          <w:sz w:val="24"/>
          <w:szCs w:val="24"/>
          <w:lang w:val="en-GB"/>
        </w:rPr>
        <w:t xml:space="preserve"> as described in section </w:t>
      </w:r>
      <w:r w:rsidR="00E94AF4" w:rsidRPr="00887526">
        <w:rPr>
          <w:rFonts w:cstheme="minorHAnsi"/>
          <w:sz w:val="24"/>
          <w:szCs w:val="24"/>
          <w:lang w:val="en-GB"/>
        </w:rPr>
        <w:t>2.2.</w:t>
      </w:r>
    </w:p>
    <w:p w14:paraId="7AD65BD0" w14:textId="77777777" w:rsidR="00887526" w:rsidRPr="00887526" w:rsidRDefault="00887526" w:rsidP="00887526">
      <w:pPr>
        <w:spacing w:after="0" w:line="240" w:lineRule="auto"/>
        <w:jc w:val="both"/>
        <w:rPr>
          <w:rFonts w:cstheme="minorHAnsi"/>
          <w:sz w:val="24"/>
          <w:szCs w:val="24"/>
          <w:lang w:val="en-GB"/>
        </w:rPr>
      </w:pPr>
    </w:p>
    <w:p w14:paraId="7AD65BD1" w14:textId="77777777" w:rsidR="00887526" w:rsidRPr="00887526" w:rsidRDefault="00887526" w:rsidP="00887526">
      <w:pPr>
        <w:pStyle w:val="Ttulo3"/>
        <w:numPr>
          <w:ilvl w:val="0"/>
          <w:numId w:val="0"/>
        </w:numPr>
        <w:spacing w:before="0" w:after="0"/>
        <w:ind w:left="567" w:hanging="567"/>
        <w:rPr>
          <w:rFonts w:asciiTheme="minorHAnsi" w:hAnsiTheme="minorHAnsi" w:cstheme="minorHAnsi"/>
          <w:b/>
        </w:rPr>
      </w:pPr>
      <w:bookmarkStart w:id="2" w:name="_Toc145540201"/>
      <w:r w:rsidRPr="00887526">
        <w:rPr>
          <w:rStyle w:val="Ttulo3Car"/>
          <w:rFonts w:asciiTheme="minorHAnsi" w:hAnsiTheme="minorHAnsi" w:cstheme="minorHAnsi"/>
          <w:b/>
        </w:rPr>
        <w:t>Physicochemical characterization of nanoparticles</w:t>
      </w:r>
      <w:bookmarkEnd w:id="2"/>
    </w:p>
    <w:p w14:paraId="7AD65BD2" w14:textId="77777777" w:rsidR="00887526" w:rsidRPr="005B5EED" w:rsidRDefault="00887526" w:rsidP="00887526">
      <w:pPr>
        <w:pStyle w:val="Ttulo4"/>
        <w:numPr>
          <w:ilvl w:val="0"/>
          <w:numId w:val="0"/>
        </w:numPr>
        <w:spacing w:before="0" w:after="0" w:line="240" w:lineRule="auto"/>
        <w:ind w:left="851" w:hanging="851"/>
        <w:rPr>
          <w:rFonts w:asciiTheme="minorHAnsi" w:hAnsiTheme="minorHAnsi" w:cstheme="minorHAnsi"/>
          <w:b/>
          <w:i/>
        </w:rPr>
      </w:pPr>
      <w:bookmarkStart w:id="3" w:name="_Toc145540202"/>
      <w:r w:rsidRPr="005B5EED">
        <w:rPr>
          <w:rFonts w:asciiTheme="minorHAnsi" w:hAnsiTheme="minorHAnsi" w:cstheme="minorHAnsi"/>
          <w:b/>
          <w:i/>
        </w:rPr>
        <w:t>Mean size, zeta potential</w:t>
      </w:r>
      <w:bookmarkEnd w:id="3"/>
      <w:r w:rsidRPr="005B5EED">
        <w:rPr>
          <w:rFonts w:asciiTheme="minorHAnsi" w:hAnsiTheme="minorHAnsi" w:cstheme="minorHAnsi"/>
          <w:b/>
          <w:i/>
        </w:rPr>
        <w:t xml:space="preserve"> and yield</w:t>
      </w:r>
    </w:p>
    <w:p w14:paraId="7AD65BD3" w14:textId="77777777" w:rsidR="00887526" w:rsidRPr="005B5EED" w:rsidRDefault="00887526" w:rsidP="00887526">
      <w:pPr>
        <w:spacing w:after="0" w:line="240" w:lineRule="auto"/>
        <w:jc w:val="both"/>
        <w:rPr>
          <w:rFonts w:cstheme="minorHAnsi"/>
          <w:sz w:val="24"/>
          <w:szCs w:val="24"/>
          <w:lang w:val="en-GB"/>
        </w:rPr>
      </w:pPr>
      <w:r>
        <w:rPr>
          <w:rFonts w:cstheme="minorHAnsi"/>
          <w:sz w:val="24"/>
          <w:szCs w:val="24"/>
          <w:lang w:val="en-GB"/>
        </w:rPr>
        <w:t xml:space="preserve">The mean particle size and the zeta potential of nanoparticles were measured in </w:t>
      </w:r>
      <w:r w:rsidRPr="00887526">
        <w:rPr>
          <w:rFonts w:cstheme="minorHAnsi"/>
          <w:sz w:val="24"/>
          <w:szCs w:val="24"/>
          <w:lang w:val="en-GB"/>
        </w:rPr>
        <w:t xml:space="preserve">a </w:t>
      </w:r>
      <w:proofErr w:type="spellStart"/>
      <w:r w:rsidRPr="00887526">
        <w:rPr>
          <w:rFonts w:cstheme="minorHAnsi"/>
          <w:sz w:val="24"/>
          <w:szCs w:val="24"/>
          <w:lang w:val="en-GB"/>
        </w:rPr>
        <w:t>ZetaPlus</w:t>
      </w:r>
      <w:proofErr w:type="spellEnd"/>
      <w:r w:rsidRPr="00887526">
        <w:rPr>
          <w:rFonts w:cstheme="minorHAnsi"/>
          <w:sz w:val="24"/>
          <w:szCs w:val="24"/>
          <w:lang w:val="en-GB"/>
        </w:rPr>
        <w:t xml:space="preserve"> </w:t>
      </w:r>
      <w:proofErr w:type="spellStart"/>
      <w:r w:rsidRPr="00887526">
        <w:rPr>
          <w:rFonts w:cstheme="minorHAnsi"/>
          <w:sz w:val="24"/>
          <w:szCs w:val="24"/>
          <w:lang w:val="en-GB"/>
        </w:rPr>
        <w:t>analyzer</w:t>
      </w:r>
      <w:proofErr w:type="spellEnd"/>
      <w:r w:rsidRPr="00887526">
        <w:rPr>
          <w:rFonts w:cstheme="minorHAnsi"/>
          <w:sz w:val="24"/>
          <w:szCs w:val="24"/>
          <w:lang w:val="en-GB"/>
        </w:rPr>
        <w:t xml:space="preserve"> system</w:t>
      </w:r>
      <w:r>
        <w:rPr>
          <w:rFonts w:cstheme="minorHAnsi"/>
          <w:sz w:val="24"/>
          <w:szCs w:val="24"/>
          <w:lang w:val="en-GB"/>
        </w:rPr>
        <w:t xml:space="preserve"> apparatus</w:t>
      </w:r>
      <w:r w:rsidRPr="00887526">
        <w:rPr>
          <w:rFonts w:cstheme="minorHAnsi"/>
          <w:sz w:val="24"/>
          <w:szCs w:val="24"/>
          <w:lang w:val="en-GB"/>
        </w:rPr>
        <w:t xml:space="preserve"> (Brookhaven Instruments Corporation, Holtsville, </w:t>
      </w:r>
      <w:r w:rsidRPr="005B5EED">
        <w:rPr>
          <w:rFonts w:cstheme="minorHAnsi"/>
          <w:sz w:val="24"/>
          <w:szCs w:val="24"/>
          <w:lang w:val="en-GB"/>
        </w:rPr>
        <w:t xml:space="preserve">USA). </w:t>
      </w:r>
    </w:p>
    <w:p w14:paraId="7AD65BD4" w14:textId="77777777" w:rsidR="00887526" w:rsidRPr="005B5EED" w:rsidRDefault="00887526" w:rsidP="005B5EED">
      <w:pPr>
        <w:pStyle w:val="Ttulo4"/>
        <w:numPr>
          <w:ilvl w:val="0"/>
          <w:numId w:val="0"/>
        </w:numPr>
        <w:spacing w:before="0" w:after="0" w:line="240" w:lineRule="auto"/>
        <w:ind w:left="851" w:hanging="851"/>
        <w:rPr>
          <w:rFonts w:asciiTheme="minorHAnsi" w:hAnsiTheme="minorHAnsi" w:cstheme="minorHAnsi"/>
        </w:rPr>
      </w:pPr>
      <w:bookmarkStart w:id="4" w:name="_Toc145540206"/>
    </w:p>
    <w:p w14:paraId="7AD65BD5" w14:textId="77777777" w:rsidR="007F09A0" w:rsidRPr="005B5EED" w:rsidRDefault="007F09A0" w:rsidP="005B5EED">
      <w:pPr>
        <w:pStyle w:val="Ttulo4"/>
        <w:numPr>
          <w:ilvl w:val="0"/>
          <w:numId w:val="0"/>
        </w:numPr>
        <w:spacing w:before="0" w:after="0" w:line="240" w:lineRule="auto"/>
        <w:ind w:left="851" w:hanging="851"/>
        <w:rPr>
          <w:rFonts w:asciiTheme="minorHAnsi" w:hAnsiTheme="minorHAnsi" w:cstheme="minorHAnsi"/>
          <w:b/>
          <w:i/>
        </w:rPr>
      </w:pPr>
      <w:bookmarkStart w:id="5" w:name="_Toc145540204"/>
      <w:r w:rsidRPr="005B5EED">
        <w:rPr>
          <w:rFonts w:asciiTheme="minorHAnsi" w:hAnsiTheme="minorHAnsi" w:cstheme="minorHAnsi"/>
          <w:b/>
          <w:i/>
        </w:rPr>
        <w:t>Total process yield</w:t>
      </w:r>
      <w:bookmarkEnd w:id="5"/>
    </w:p>
    <w:p w14:paraId="7AD65BD6" w14:textId="77777777" w:rsidR="007F09A0" w:rsidRDefault="007F09A0" w:rsidP="005B5EED">
      <w:pPr>
        <w:spacing w:after="0" w:line="240" w:lineRule="auto"/>
        <w:jc w:val="both"/>
        <w:rPr>
          <w:rFonts w:cstheme="minorHAnsi"/>
          <w:sz w:val="24"/>
          <w:szCs w:val="24"/>
          <w:lang w:val="en-GB"/>
        </w:rPr>
      </w:pPr>
      <w:r w:rsidRPr="005B5EED">
        <w:rPr>
          <w:rFonts w:cstheme="minorHAnsi"/>
          <w:sz w:val="24"/>
          <w:szCs w:val="24"/>
          <w:lang w:val="en-GB"/>
        </w:rPr>
        <w:t xml:space="preserve">The amount of HSA transformed into nanoparticles was calculated by HPLC. Samples were quantified in an Agilent model 1200 series (Agilent Technologies, </w:t>
      </w:r>
      <w:proofErr w:type="spellStart"/>
      <w:r w:rsidRPr="005B5EED">
        <w:rPr>
          <w:rFonts w:cstheme="minorHAnsi"/>
          <w:sz w:val="24"/>
          <w:szCs w:val="24"/>
          <w:lang w:val="en-GB"/>
        </w:rPr>
        <w:t>Waldbronn</w:t>
      </w:r>
      <w:proofErr w:type="spellEnd"/>
      <w:r w:rsidRPr="005B5EED">
        <w:rPr>
          <w:rFonts w:cstheme="minorHAnsi"/>
          <w:sz w:val="24"/>
          <w:szCs w:val="24"/>
          <w:lang w:val="en-GB"/>
        </w:rPr>
        <w:t xml:space="preserve">, Germany), coupled with a photodiode array detection system at 280 nm. A </w:t>
      </w:r>
      <w:proofErr w:type="spellStart"/>
      <w:r w:rsidRPr="005B5EED">
        <w:rPr>
          <w:rFonts w:cstheme="minorHAnsi"/>
          <w:sz w:val="24"/>
          <w:szCs w:val="24"/>
          <w:lang w:val="en-GB"/>
        </w:rPr>
        <w:t>Biozen</w:t>
      </w:r>
      <w:proofErr w:type="spellEnd"/>
      <w:r w:rsidRPr="005B5EED">
        <w:rPr>
          <w:rFonts w:cstheme="minorHAnsi"/>
          <w:sz w:val="24"/>
          <w:szCs w:val="24"/>
          <w:lang w:val="en-GB"/>
        </w:rPr>
        <w:t xml:space="preserve"> column (3 </w:t>
      </w:r>
      <w:r w:rsidRPr="005B5EED">
        <w:rPr>
          <w:rFonts w:cstheme="minorHAnsi"/>
          <w:sz w:val="24"/>
          <w:szCs w:val="24"/>
        </w:rPr>
        <w:t>μ</w:t>
      </w:r>
      <w:r w:rsidRPr="005B5EED">
        <w:rPr>
          <w:rFonts w:cstheme="minorHAnsi"/>
          <w:sz w:val="24"/>
          <w:szCs w:val="24"/>
          <w:lang w:val="en-GB"/>
        </w:rPr>
        <w:t xml:space="preserve">m dSEC-2 200 A, 300 × 4.6 mm; Phenomenex, California, United States) was used as stationary phase, whereas the mobile phase was composed of an isocratic mixture of buffer phosphate 35 mM pH 6.8 and 150 mM NaCl. The flow rate was 0.2 mL/min, and the temperature of the column was set to 30 °C. The calibration curves were performed within the range between 22.5 and 300 </w:t>
      </w:r>
      <w:r w:rsidRPr="005B5EED">
        <w:rPr>
          <w:rFonts w:cstheme="minorHAnsi"/>
          <w:sz w:val="24"/>
          <w:szCs w:val="24"/>
        </w:rPr>
        <w:t>μ</w:t>
      </w:r>
      <w:r w:rsidRPr="005B5EED">
        <w:rPr>
          <w:rFonts w:cstheme="minorHAnsi"/>
          <w:sz w:val="24"/>
          <w:szCs w:val="24"/>
          <w:lang w:val="en-GB"/>
        </w:rPr>
        <w:t>g/mL (R</w:t>
      </w:r>
      <w:r w:rsidRPr="005B5EED">
        <w:rPr>
          <w:rFonts w:cstheme="minorHAnsi"/>
          <w:sz w:val="24"/>
          <w:szCs w:val="24"/>
          <w:vertAlign w:val="superscript"/>
          <w:lang w:val="en-GB"/>
        </w:rPr>
        <w:t>2</w:t>
      </w:r>
      <w:r w:rsidRPr="005B5EED">
        <w:rPr>
          <w:rFonts w:cstheme="minorHAnsi"/>
          <w:sz w:val="24"/>
          <w:szCs w:val="24"/>
          <w:lang w:val="en-GB"/>
        </w:rPr>
        <w:t xml:space="preserve"> &gt; 0.999). Under these conditions, the quantification limit for HSA was found to be 10 </w:t>
      </w:r>
      <w:r w:rsidRPr="005B5EED">
        <w:rPr>
          <w:rFonts w:cstheme="minorHAnsi"/>
          <w:sz w:val="24"/>
          <w:szCs w:val="24"/>
        </w:rPr>
        <w:t>μ</w:t>
      </w:r>
      <w:r w:rsidRPr="005B5EED">
        <w:rPr>
          <w:rFonts w:cstheme="minorHAnsi"/>
          <w:sz w:val="24"/>
          <w:szCs w:val="24"/>
          <w:lang w:val="en-GB"/>
        </w:rPr>
        <w:t>g/</w:t>
      </w:r>
      <w:proofErr w:type="spellStart"/>
      <w:r w:rsidRPr="005B5EED">
        <w:rPr>
          <w:rFonts w:cstheme="minorHAnsi"/>
          <w:sz w:val="24"/>
          <w:szCs w:val="24"/>
          <w:lang w:val="en-GB"/>
        </w:rPr>
        <w:t>mL.</w:t>
      </w:r>
      <w:proofErr w:type="spellEnd"/>
      <w:r w:rsidRPr="005B5EED">
        <w:rPr>
          <w:rFonts w:cstheme="minorHAnsi"/>
          <w:sz w:val="24"/>
          <w:szCs w:val="24"/>
          <w:lang w:val="en-GB"/>
        </w:rPr>
        <w:t xml:space="preserve"> Fresh nanoparticles were purified by centrifugation at 41,000 x</w:t>
      </w:r>
      <w:r w:rsidRPr="005B5EED">
        <w:rPr>
          <w:rFonts w:cstheme="minorHAnsi"/>
          <w:i/>
          <w:iCs/>
          <w:sz w:val="24"/>
          <w:szCs w:val="24"/>
          <w:lang w:val="en-GB"/>
        </w:rPr>
        <w:t xml:space="preserve"> g</w:t>
      </w:r>
      <w:r w:rsidRPr="005B5EED">
        <w:rPr>
          <w:rFonts w:cstheme="minorHAnsi"/>
          <w:sz w:val="24"/>
          <w:szCs w:val="24"/>
          <w:lang w:val="en-GB"/>
        </w:rPr>
        <w:t xml:space="preserve"> for 20 min at 4 °C (Sigma 3K30 </w:t>
      </w:r>
      <w:proofErr w:type="spellStart"/>
      <w:r w:rsidRPr="005B5EED">
        <w:rPr>
          <w:rFonts w:cstheme="minorHAnsi"/>
          <w:sz w:val="24"/>
          <w:szCs w:val="24"/>
          <w:lang w:val="en-GB"/>
        </w:rPr>
        <w:t>Osterodeam</w:t>
      </w:r>
      <w:proofErr w:type="spellEnd"/>
      <w:r w:rsidRPr="005B5EED">
        <w:rPr>
          <w:rFonts w:cstheme="minorHAnsi"/>
          <w:sz w:val="24"/>
          <w:szCs w:val="24"/>
          <w:lang w:val="en-GB"/>
        </w:rPr>
        <w:t xml:space="preserve"> Harz, Germany). After the purification HSA was quantified both in the supernatant and in the pellet. In the case of the pellet, this was redispersed in NaOH 0.025N and maintained under agitation for 3 min at RT. Then, samples were diluted in water for injection and </w:t>
      </w:r>
      <w:proofErr w:type="spellStart"/>
      <w:r w:rsidRPr="005B5EED">
        <w:rPr>
          <w:rFonts w:cstheme="minorHAnsi"/>
          <w:sz w:val="24"/>
          <w:szCs w:val="24"/>
          <w:lang w:val="en-GB"/>
        </w:rPr>
        <w:t>analyzed</w:t>
      </w:r>
      <w:proofErr w:type="spellEnd"/>
      <w:r w:rsidRPr="005B5EED">
        <w:rPr>
          <w:rFonts w:cstheme="minorHAnsi"/>
          <w:sz w:val="24"/>
          <w:szCs w:val="24"/>
          <w:lang w:val="en-GB"/>
        </w:rPr>
        <w:t xml:space="preserve"> by HPLC.</w:t>
      </w:r>
    </w:p>
    <w:p w14:paraId="7AD65BD7" w14:textId="77777777" w:rsidR="005B5EED" w:rsidRPr="005B5EED" w:rsidRDefault="005B5EED" w:rsidP="005B5EED">
      <w:pPr>
        <w:spacing w:after="0" w:line="240" w:lineRule="auto"/>
        <w:jc w:val="both"/>
        <w:rPr>
          <w:rFonts w:cstheme="minorHAnsi"/>
          <w:sz w:val="24"/>
          <w:szCs w:val="24"/>
          <w:lang w:val="en-GB"/>
        </w:rPr>
      </w:pPr>
    </w:p>
    <w:p w14:paraId="7AD65BD8" w14:textId="77777777" w:rsidR="007F09A0" w:rsidRPr="005B5EED" w:rsidRDefault="007F09A0" w:rsidP="005B5EED">
      <w:pPr>
        <w:pStyle w:val="Ttulo4"/>
        <w:numPr>
          <w:ilvl w:val="0"/>
          <w:numId w:val="0"/>
        </w:numPr>
        <w:spacing w:before="0" w:after="0" w:line="240" w:lineRule="auto"/>
        <w:ind w:left="851" w:hanging="851"/>
        <w:rPr>
          <w:rFonts w:asciiTheme="minorHAnsi" w:hAnsiTheme="minorHAnsi" w:cstheme="minorHAnsi"/>
          <w:b/>
          <w:i/>
        </w:rPr>
      </w:pPr>
      <w:r w:rsidRPr="005B5EED">
        <w:rPr>
          <w:rFonts w:asciiTheme="minorHAnsi" w:hAnsiTheme="minorHAnsi" w:cstheme="minorHAnsi"/>
          <w:b/>
          <w:i/>
        </w:rPr>
        <w:t>Dextran quantification by phenol-sulphuric acid</w:t>
      </w:r>
    </w:p>
    <w:p w14:paraId="7AD65BD9" w14:textId="77777777" w:rsidR="00BE7F5D" w:rsidRPr="00BE7F5D" w:rsidRDefault="00BE7F5D" w:rsidP="005B5EED">
      <w:pPr>
        <w:spacing w:after="0" w:line="240" w:lineRule="auto"/>
        <w:jc w:val="both"/>
        <w:rPr>
          <w:rFonts w:cstheme="minorHAnsi"/>
          <w:sz w:val="24"/>
          <w:szCs w:val="24"/>
          <w:lang w:val="en-GB"/>
        </w:rPr>
      </w:pPr>
      <w:r w:rsidRPr="005B5EED">
        <w:rPr>
          <w:rFonts w:cstheme="minorHAnsi"/>
          <w:sz w:val="24"/>
          <w:szCs w:val="24"/>
          <w:lang w:val="en-GB"/>
        </w:rPr>
        <w:t xml:space="preserve">The amount of dextran bound to the nanoparticles was quantified by the phenol-sulphuric acid method [36]. For this purpose, fresh nanoparticles were purified by centrifugation at 41,000 x g for 20 min at 4 °C (Sigma 3K30 </w:t>
      </w:r>
      <w:proofErr w:type="spellStart"/>
      <w:r w:rsidRPr="005B5EED">
        <w:rPr>
          <w:rFonts w:cstheme="minorHAnsi"/>
          <w:sz w:val="24"/>
          <w:szCs w:val="24"/>
          <w:lang w:val="en-GB"/>
        </w:rPr>
        <w:t>Osterodeam</w:t>
      </w:r>
      <w:proofErr w:type="spellEnd"/>
      <w:r w:rsidRPr="005B5EED">
        <w:rPr>
          <w:rFonts w:cstheme="minorHAnsi"/>
          <w:sz w:val="24"/>
          <w:szCs w:val="24"/>
          <w:lang w:val="en-GB"/>
        </w:rPr>
        <w:t xml:space="preserve"> Harz, Germany).</w:t>
      </w:r>
      <w:r w:rsidRPr="00BE7F5D">
        <w:rPr>
          <w:rFonts w:cstheme="minorHAnsi"/>
          <w:sz w:val="24"/>
          <w:szCs w:val="24"/>
          <w:lang w:val="en-GB"/>
        </w:rPr>
        <w:t xml:space="preserve"> Then, 180 µL of the resuspended pellet in water and 180 µL from supernatants were mixed respectively, with 900 µL of sulfuric acid (96%). Subsequently, 180 µL of an aqueous solution of phenol 5% was added to the samples. Tubes were carefully placed in a water bath at 90 °C for 15 min and then in an ice bath for 5 min. Dextran presence in the samples was quantified by UV–VIS spectrometry at 490 nm using a </w:t>
      </w:r>
      <w:proofErr w:type="spellStart"/>
      <w:r w:rsidRPr="00BE7F5D">
        <w:rPr>
          <w:rFonts w:cstheme="minorHAnsi"/>
          <w:sz w:val="24"/>
          <w:szCs w:val="24"/>
          <w:lang w:val="en-GB"/>
        </w:rPr>
        <w:t>PowerWave</w:t>
      </w:r>
      <w:proofErr w:type="spellEnd"/>
      <w:r w:rsidRPr="00BE7F5D">
        <w:rPr>
          <w:rFonts w:cstheme="minorHAnsi"/>
          <w:sz w:val="24"/>
          <w:szCs w:val="24"/>
          <w:lang w:val="en-GB"/>
        </w:rPr>
        <w:t xml:space="preserve"> XS Microplate reader (</w:t>
      </w:r>
      <w:proofErr w:type="spellStart"/>
      <w:r w:rsidRPr="00BE7F5D">
        <w:rPr>
          <w:rFonts w:cstheme="minorHAnsi"/>
          <w:sz w:val="24"/>
          <w:szCs w:val="24"/>
          <w:lang w:val="en-GB"/>
        </w:rPr>
        <w:t>BioTek</w:t>
      </w:r>
      <w:proofErr w:type="spellEnd"/>
      <w:r w:rsidRPr="00BE7F5D">
        <w:rPr>
          <w:rFonts w:cstheme="minorHAnsi"/>
          <w:sz w:val="24"/>
          <w:szCs w:val="24"/>
          <w:lang w:val="en-GB"/>
        </w:rPr>
        <w:t xml:space="preserve"> Instruments, Inc., Vermont, USA). The calibration curve was performed within the range between 12.5 and 200 µg/mL (R2 &gt; 0.993).</w:t>
      </w:r>
    </w:p>
    <w:p w14:paraId="7AD65BDA" w14:textId="77777777" w:rsidR="007F09A0" w:rsidRPr="007F09A0" w:rsidRDefault="007F09A0" w:rsidP="005B5EED">
      <w:pPr>
        <w:spacing w:after="0" w:line="240" w:lineRule="auto"/>
        <w:jc w:val="both"/>
        <w:rPr>
          <w:rFonts w:cstheme="minorHAnsi"/>
          <w:sz w:val="24"/>
          <w:szCs w:val="24"/>
          <w:lang w:val="en-GB"/>
        </w:rPr>
      </w:pPr>
    </w:p>
    <w:p w14:paraId="7AD65BDB" w14:textId="77777777" w:rsidR="007F09A0" w:rsidRPr="007F09A0" w:rsidRDefault="007F09A0" w:rsidP="005B5EED">
      <w:pPr>
        <w:spacing w:after="0" w:line="240" w:lineRule="auto"/>
        <w:rPr>
          <w:lang w:val="en-GB"/>
        </w:rPr>
      </w:pPr>
    </w:p>
    <w:p w14:paraId="7AD65BDC" w14:textId="77777777" w:rsidR="00E94AF4" w:rsidRPr="005B5EED" w:rsidRDefault="00E94AF4" w:rsidP="005B5EED">
      <w:pPr>
        <w:pStyle w:val="Ttulo4"/>
        <w:numPr>
          <w:ilvl w:val="0"/>
          <w:numId w:val="0"/>
        </w:numPr>
        <w:spacing w:before="0" w:after="0" w:line="240" w:lineRule="auto"/>
        <w:ind w:left="851" w:hanging="851"/>
        <w:rPr>
          <w:rFonts w:asciiTheme="minorHAnsi" w:hAnsiTheme="minorHAnsi" w:cstheme="minorHAnsi"/>
          <w:b/>
          <w:i/>
        </w:rPr>
      </w:pPr>
      <w:bookmarkStart w:id="6" w:name="_Toc145540207"/>
      <w:bookmarkEnd w:id="4"/>
      <w:r w:rsidRPr="005B5EED">
        <w:rPr>
          <w:rFonts w:asciiTheme="minorHAnsi" w:hAnsiTheme="minorHAnsi" w:cstheme="minorHAnsi"/>
          <w:b/>
          <w:i/>
        </w:rPr>
        <w:lastRenderedPageBreak/>
        <w:t>Fourier transformed infrared determinations</w:t>
      </w:r>
      <w:bookmarkEnd w:id="6"/>
    </w:p>
    <w:p w14:paraId="7AD65BDD" w14:textId="77777777" w:rsidR="00E94AF4" w:rsidRPr="00887526" w:rsidRDefault="00E94AF4" w:rsidP="005B5EED">
      <w:pPr>
        <w:spacing w:after="0" w:line="240" w:lineRule="auto"/>
        <w:jc w:val="both"/>
        <w:rPr>
          <w:rFonts w:cstheme="minorHAnsi"/>
          <w:sz w:val="24"/>
          <w:szCs w:val="24"/>
          <w:lang w:val="en-GB"/>
        </w:rPr>
      </w:pPr>
      <w:r w:rsidRPr="00887526">
        <w:rPr>
          <w:rFonts w:cstheme="minorHAnsi"/>
          <w:sz w:val="24"/>
          <w:szCs w:val="24"/>
          <w:lang w:val="en-GB"/>
        </w:rPr>
        <w:t xml:space="preserve">The evaluation of the nanoparticle´s surface was </w:t>
      </w:r>
      <w:proofErr w:type="spellStart"/>
      <w:r w:rsidRPr="00887526">
        <w:rPr>
          <w:rFonts w:cstheme="minorHAnsi"/>
          <w:sz w:val="24"/>
          <w:szCs w:val="24"/>
          <w:lang w:val="en-GB"/>
        </w:rPr>
        <w:t>analyzed</w:t>
      </w:r>
      <w:proofErr w:type="spellEnd"/>
      <w:r w:rsidRPr="00887526">
        <w:rPr>
          <w:rFonts w:cstheme="minorHAnsi"/>
          <w:sz w:val="24"/>
          <w:szCs w:val="24"/>
          <w:lang w:val="en-GB"/>
        </w:rPr>
        <w:t xml:space="preserve"> by FTIR spectroscopy. Freeze-dried nanoparticles were placed in the diamond crystal of a Fourier Transform spectrophotometer IR Affinity-1S (Shimadzu, Kyoto, Japan) equipped with a MKII Golden-Gate single reflection ATR system (</w:t>
      </w:r>
      <w:proofErr w:type="spellStart"/>
      <w:r w:rsidRPr="00887526">
        <w:rPr>
          <w:rFonts w:cstheme="minorHAnsi"/>
          <w:sz w:val="24"/>
          <w:szCs w:val="24"/>
          <w:lang w:val="en-GB"/>
        </w:rPr>
        <w:t>Specac</w:t>
      </w:r>
      <w:proofErr w:type="spellEnd"/>
      <w:r w:rsidRPr="00887526">
        <w:rPr>
          <w:rFonts w:cstheme="minorHAnsi"/>
          <w:sz w:val="24"/>
          <w:szCs w:val="24"/>
          <w:lang w:val="en-GB"/>
        </w:rPr>
        <w:t>, Orpington, UK), and spectra were collected from 600 to 4,000 cm</w:t>
      </w:r>
      <w:r w:rsidRPr="00887526">
        <w:rPr>
          <w:rFonts w:cstheme="minorHAnsi"/>
          <w:sz w:val="24"/>
          <w:szCs w:val="24"/>
          <w:vertAlign w:val="superscript"/>
          <w:lang w:val="en-GB"/>
        </w:rPr>
        <w:t>-1</w:t>
      </w:r>
      <w:r w:rsidRPr="00887526">
        <w:rPr>
          <w:rFonts w:cstheme="minorHAnsi"/>
          <w:sz w:val="24"/>
          <w:szCs w:val="24"/>
          <w:lang w:val="en-GB"/>
        </w:rPr>
        <w:t xml:space="preserve"> with a resolution of 2 cm</w:t>
      </w:r>
      <w:r w:rsidRPr="00887526">
        <w:rPr>
          <w:rFonts w:cstheme="minorHAnsi"/>
          <w:sz w:val="24"/>
          <w:szCs w:val="24"/>
          <w:vertAlign w:val="superscript"/>
          <w:lang w:val="en-GB"/>
        </w:rPr>
        <w:t>-1</w:t>
      </w:r>
      <w:r w:rsidRPr="00887526">
        <w:rPr>
          <w:rFonts w:cstheme="minorHAnsi"/>
          <w:sz w:val="24"/>
          <w:szCs w:val="24"/>
          <w:lang w:val="en-GB"/>
        </w:rPr>
        <w:t xml:space="preserve"> and 50 scans per spectrum. Data were then analysed with </w:t>
      </w:r>
      <w:proofErr w:type="spellStart"/>
      <w:r w:rsidRPr="00887526">
        <w:rPr>
          <w:rFonts w:cstheme="minorHAnsi"/>
          <w:sz w:val="24"/>
          <w:szCs w:val="24"/>
          <w:lang w:val="en-GB"/>
        </w:rPr>
        <w:t>Labsolution</w:t>
      </w:r>
      <w:proofErr w:type="spellEnd"/>
      <w:r w:rsidRPr="00887526">
        <w:rPr>
          <w:rFonts w:cstheme="minorHAnsi"/>
          <w:sz w:val="24"/>
          <w:szCs w:val="24"/>
          <w:lang w:val="en-GB"/>
        </w:rPr>
        <w:t xml:space="preserve"> IR software (Shimadzu, Kyoto, Japan).</w:t>
      </w:r>
    </w:p>
    <w:p w14:paraId="7AD65BDE" w14:textId="77777777" w:rsidR="00E94AF4" w:rsidRPr="00887526" w:rsidRDefault="00E94AF4" w:rsidP="005B5EED">
      <w:pPr>
        <w:pStyle w:val="Ttulo4"/>
        <w:numPr>
          <w:ilvl w:val="0"/>
          <w:numId w:val="0"/>
        </w:numPr>
        <w:spacing w:before="0" w:after="0" w:line="240" w:lineRule="auto"/>
        <w:ind w:left="851" w:hanging="851"/>
        <w:rPr>
          <w:rFonts w:asciiTheme="minorHAnsi" w:hAnsiTheme="minorHAnsi" w:cstheme="minorHAnsi"/>
        </w:rPr>
      </w:pPr>
      <w:bookmarkStart w:id="7" w:name="_Toc145540208"/>
    </w:p>
    <w:p w14:paraId="7AD65BDF" w14:textId="77777777" w:rsidR="00E94AF4" w:rsidRPr="005B5EED" w:rsidRDefault="00E94AF4" w:rsidP="005B5EED">
      <w:pPr>
        <w:pStyle w:val="Ttulo4"/>
        <w:numPr>
          <w:ilvl w:val="0"/>
          <w:numId w:val="0"/>
        </w:numPr>
        <w:spacing w:before="0" w:after="0" w:line="240" w:lineRule="auto"/>
        <w:ind w:left="851" w:hanging="851"/>
        <w:rPr>
          <w:rFonts w:asciiTheme="minorHAnsi" w:hAnsiTheme="minorHAnsi" w:cstheme="minorHAnsi"/>
          <w:b/>
          <w:i/>
        </w:rPr>
      </w:pPr>
      <w:r w:rsidRPr="005B5EED">
        <w:rPr>
          <w:rFonts w:asciiTheme="minorHAnsi" w:hAnsiTheme="minorHAnsi" w:cstheme="minorHAnsi"/>
          <w:b/>
          <w:i/>
        </w:rPr>
        <w:t>Differential scanning calorimetry determinations</w:t>
      </w:r>
      <w:bookmarkEnd w:id="7"/>
    </w:p>
    <w:p w14:paraId="7AD65BE0" w14:textId="77777777" w:rsidR="00E94AF4" w:rsidRPr="00887526" w:rsidRDefault="00E94AF4" w:rsidP="005B5EED">
      <w:pPr>
        <w:spacing w:after="0" w:line="240" w:lineRule="auto"/>
        <w:jc w:val="both"/>
        <w:rPr>
          <w:rFonts w:cstheme="minorHAnsi"/>
          <w:sz w:val="24"/>
          <w:szCs w:val="24"/>
          <w:lang w:val="en-GB"/>
        </w:rPr>
      </w:pPr>
      <w:r w:rsidRPr="00887526">
        <w:rPr>
          <w:rFonts w:cstheme="minorHAnsi"/>
          <w:sz w:val="24"/>
          <w:szCs w:val="24"/>
          <w:lang w:val="en-GB"/>
        </w:rPr>
        <w:t xml:space="preserve">The thermal profiles of HSA, DEX, physical mixture between albumin and dextran (HSA+DEX), bare nanoparticles and DEX-coated albumin nanoparticles (NP-DEX) were performed using a Differential Scanning Calorimeter TA DSC 25 Discovery series apparatus (TA Instrument, USA). 5-10 mg of each sample were accurately weighed in a 40 µL aluminium pan and closed with a hermetic lid assuring good contact between the sample and the capsule bottom. The </w:t>
      </w:r>
      <w:proofErr w:type="spellStart"/>
      <w:r w:rsidRPr="00887526">
        <w:rPr>
          <w:rFonts w:cstheme="minorHAnsi"/>
          <w:sz w:val="24"/>
          <w:szCs w:val="24"/>
          <w:lang w:val="en-GB"/>
        </w:rPr>
        <w:t>thermograms</w:t>
      </w:r>
      <w:proofErr w:type="spellEnd"/>
      <w:r w:rsidRPr="00887526">
        <w:rPr>
          <w:rFonts w:cstheme="minorHAnsi"/>
          <w:sz w:val="24"/>
          <w:szCs w:val="24"/>
          <w:lang w:val="en-GB"/>
        </w:rPr>
        <w:t xml:space="preserve"> were </w:t>
      </w:r>
      <w:proofErr w:type="spellStart"/>
      <w:r w:rsidRPr="00887526">
        <w:rPr>
          <w:rFonts w:cstheme="minorHAnsi"/>
          <w:sz w:val="24"/>
          <w:szCs w:val="24"/>
          <w:lang w:val="en-GB"/>
        </w:rPr>
        <w:t>analyzed</w:t>
      </w:r>
      <w:proofErr w:type="spellEnd"/>
      <w:r w:rsidRPr="00887526">
        <w:rPr>
          <w:rFonts w:cstheme="minorHAnsi"/>
          <w:sz w:val="24"/>
          <w:szCs w:val="24"/>
          <w:lang w:val="en-GB"/>
        </w:rPr>
        <w:t xml:space="preserve"> under an inert nitrogen atmosphere (gas flow: 50 mL/min) from -40 to 250 °C heating cycle. TRIOS software was used to </w:t>
      </w:r>
      <w:proofErr w:type="spellStart"/>
      <w:r w:rsidRPr="00887526">
        <w:rPr>
          <w:rFonts w:cstheme="minorHAnsi"/>
          <w:sz w:val="24"/>
          <w:szCs w:val="24"/>
          <w:lang w:val="en-GB"/>
        </w:rPr>
        <w:t>analyze</w:t>
      </w:r>
      <w:proofErr w:type="spellEnd"/>
      <w:r w:rsidRPr="00887526">
        <w:rPr>
          <w:rFonts w:cstheme="minorHAnsi"/>
          <w:sz w:val="24"/>
          <w:szCs w:val="24"/>
          <w:lang w:val="en-GB"/>
        </w:rPr>
        <w:t xml:space="preserve"> the sample and the capsule bottom. </w:t>
      </w:r>
    </w:p>
    <w:p w14:paraId="7AD65BE1" w14:textId="77777777" w:rsidR="00B41788" w:rsidRPr="00887526" w:rsidRDefault="00B41788" w:rsidP="005B5EED">
      <w:pPr>
        <w:spacing w:after="0" w:line="240" w:lineRule="auto"/>
        <w:jc w:val="both"/>
        <w:rPr>
          <w:rFonts w:cstheme="minorHAnsi"/>
          <w:sz w:val="24"/>
          <w:szCs w:val="24"/>
          <w:lang w:val="en-GB"/>
        </w:rPr>
      </w:pPr>
    </w:p>
    <w:p w14:paraId="7AD65BE2" w14:textId="77777777" w:rsidR="00E94AF4" w:rsidRPr="005B5EED" w:rsidRDefault="00E94AF4" w:rsidP="005B5EED">
      <w:pPr>
        <w:spacing w:after="0" w:line="240" w:lineRule="auto"/>
        <w:jc w:val="both"/>
        <w:rPr>
          <w:b/>
          <w:sz w:val="24"/>
          <w:szCs w:val="24"/>
          <w:lang w:val="en-GB"/>
        </w:rPr>
      </w:pPr>
      <w:bookmarkStart w:id="8" w:name="_Toc145540211"/>
      <w:r w:rsidRPr="006C5C15">
        <w:rPr>
          <w:b/>
          <w:i/>
          <w:sz w:val="24"/>
          <w:szCs w:val="24"/>
          <w:lang w:val="en-GB"/>
        </w:rPr>
        <w:t>In vivo</w:t>
      </w:r>
      <w:r w:rsidRPr="005B5EED">
        <w:rPr>
          <w:b/>
          <w:sz w:val="24"/>
          <w:szCs w:val="24"/>
          <w:lang w:val="en-GB"/>
        </w:rPr>
        <w:t xml:space="preserve"> efficacy study</w:t>
      </w:r>
      <w:bookmarkEnd w:id="8"/>
    </w:p>
    <w:p w14:paraId="7AD65BE3" w14:textId="77777777" w:rsidR="00E94AF4" w:rsidRPr="00887526" w:rsidRDefault="00211B25" w:rsidP="005B5EED">
      <w:pPr>
        <w:spacing w:after="0" w:line="240" w:lineRule="auto"/>
        <w:jc w:val="both"/>
        <w:rPr>
          <w:rFonts w:cstheme="minorHAnsi"/>
          <w:sz w:val="24"/>
          <w:szCs w:val="24"/>
          <w:lang w:val="en-GB"/>
        </w:rPr>
      </w:pPr>
      <w:r w:rsidRPr="00887526">
        <w:rPr>
          <w:rFonts w:cstheme="minorHAnsi"/>
          <w:sz w:val="24"/>
          <w:szCs w:val="24"/>
          <w:lang w:val="en-GB"/>
        </w:rPr>
        <w:t>The following diagram (Figure 1S) summarizes the efficacy study in the animal model.</w:t>
      </w:r>
    </w:p>
    <w:p w14:paraId="7AD65BE4" w14:textId="77777777" w:rsidR="00211B25" w:rsidRDefault="00211B25" w:rsidP="005B5EED">
      <w:pPr>
        <w:spacing w:after="0" w:line="240" w:lineRule="auto"/>
        <w:rPr>
          <w:rFonts w:cstheme="minorHAnsi"/>
          <w:sz w:val="24"/>
          <w:szCs w:val="24"/>
          <w:lang w:val="en-GB"/>
        </w:rPr>
      </w:pPr>
    </w:p>
    <w:p w14:paraId="7AD65BE5" w14:textId="77777777" w:rsidR="00211B25" w:rsidRDefault="00211B25" w:rsidP="00E94AF4">
      <w:pPr>
        <w:spacing w:after="0" w:line="240" w:lineRule="auto"/>
        <w:rPr>
          <w:rFonts w:cstheme="minorHAnsi"/>
          <w:sz w:val="24"/>
          <w:szCs w:val="24"/>
          <w:lang w:val="en-GB"/>
        </w:rPr>
      </w:pPr>
      <w:r w:rsidRPr="00BB1AF1">
        <w:rPr>
          <w:rFonts w:cstheme="minorHAnsi"/>
          <w:noProof/>
          <w:szCs w:val="24"/>
          <w:lang w:eastAsia="es-ES"/>
        </w:rPr>
        <w:drawing>
          <wp:inline distT="0" distB="0" distL="0" distR="0" wp14:anchorId="7AD65C14" wp14:editId="1EDF8557">
            <wp:extent cx="5400040" cy="2625461"/>
            <wp:effectExtent l="0" t="0" r="0" b="3810"/>
            <wp:docPr id="4" name="Picture 4" descr="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Escala de tiempo&#10;&#10;Descripción generada automáticamente"/>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3012" b="10583"/>
                    <a:stretch/>
                  </pic:blipFill>
                  <pic:spPr bwMode="auto">
                    <a:xfrm>
                      <a:off x="0" y="0"/>
                      <a:ext cx="5400040" cy="2625461"/>
                    </a:xfrm>
                    <a:prstGeom prst="rect">
                      <a:avLst/>
                    </a:prstGeom>
                    <a:noFill/>
                    <a:ln>
                      <a:noFill/>
                    </a:ln>
                    <a:extLst>
                      <a:ext uri="{53640926-AAD7-44D8-BBD7-CCE9431645EC}">
                        <a14:shadowObscured xmlns:a14="http://schemas.microsoft.com/office/drawing/2010/main"/>
                      </a:ext>
                    </a:extLst>
                  </pic:spPr>
                </pic:pic>
              </a:graphicData>
            </a:graphic>
          </wp:inline>
        </w:drawing>
      </w:r>
    </w:p>
    <w:p w14:paraId="7AD65BE6" w14:textId="77777777" w:rsidR="00211B25" w:rsidRDefault="00211B25" w:rsidP="00E94AF4">
      <w:pPr>
        <w:spacing w:after="0" w:line="240" w:lineRule="auto"/>
        <w:rPr>
          <w:rFonts w:cstheme="minorHAnsi"/>
          <w:sz w:val="24"/>
          <w:szCs w:val="24"/>
          <w:lang w:val="en-GB"/>
        </w:rPr>
      </w:pPr>
    </w:p>
    <w:p w14:paraId="7AD65BE7" w14:textId="77777777" w:rsidR="00211B25" w:rsidRDefault="00211B25" w:rsidP="00211B25">
      <w:pPr>
        <w:pStyle w:val="Descripcin"/>
        <w:spacing w:after="0"/>
        <w:jc w:val="center"/>
        <w:rPr>
          <w:rFonts w:asciiTheme="minorHAnsi" w:hAnsiTheme="minorHAnsi"/>
        </w:rPr>
      </w:pPr>
      <w:r w:rsidRPr="00771758">
        <w:rPr>
          <w:rFonts w:asciiTheme="minorHAnsi" w:hAnsiTheme="minorHAnsi"/>
          <w:b/>
          <w:bCs w:val="0"/>
        </w:rPr>
        <w:t>Figure 1S.</w:t>
      </w:r>
      <w:r w:rsidRPr="00BB1AF1">
        <w:rPr>
          <w:rFonts w:asciiTheme="minorHAnsi" w:hAnsiTheme="minorHAnsi"/>
        </w:rPr>
        <w:t xml:space="preserve"> </w:t>
      </w:r>
      <w:r>
        <w:rPr>
          <w:rFonts w:asciiTheme="minorHAnsi" w:hAnsiTheme="minorHAnsi"/>
        </w:rPr>
        <w:t>Diagram summarizing</w:t>
      </w:r>
      <w:r w:rsidRPr="00BB1AF1">
        <w:rPr>
          <w:rFonts w:asciiTheme="minorHAnsi" w:hAnsiTheme="minorHAnsi"/>
        </w:rPr>
        <w:t xml:space="preserve"> the </w:t>
      </w:r>
      <w:r w:rsidRPr="0074748D">
        <w:rPr>
          <w:rFonts w:asciiTheme="minorHAnsi" w:hAnsiTheme="minorHAnsi"/>
          <w:i/>
          <w:iCs/>
        </w:rPr>
        <w:t>in vivo</w:t>
      </w:r>
      <w:r>
        <w:rPr>
          <w:rFonts w:asciiTheme="minorHAnsi" w:hAnsiTheme="minorHAnsi"/>
        </w:rPr>
        <w:t xml:space="preserve"> efficacy study</w:t>
      </w:r>
      <w:r w:rsidRPr="00BB1AF1">
        <w:rPr>
          <w:rFonts w:asciiTheme="minorHAnsi" w:hAnsiTheme="minorHAnsi"/>
        </w:rPr>
        <w:t>.</w:t>
      </w:r>
    </w:p>
    <w:p w14:paraId="7AD65BE8" w14:textId="77777777" w:rsidR="00211B25" w:rsidRPr="00211B25" w:rsidRDefault="00211B25" w:rsidP="00E94AF4">
      <w:pPr>
        <w:spacing w:after="0" w:line="240" w:lineRule="auto"/>
        <w:rPr>
          <w:rFonts w:cstheme="minorHAnsi"/>
          <w:sz w:val="24"/>
          <w:szCs w:val="24"/>
          <w:lang w:val="en-US"/>
        </w:rPr>
      </w:pPr>
    </w:p>
    <w:p w14:paraId="7AD65BE9" w14:textId="77777777" w:rsidR="00E94AF4" w:rsidRDefault="00E94AF4" w:rsidP="00E94AF4">
      <w:pPr>
        <w:spacing w:after="0" w:line="240" w:lineRule="auto"/>
        <w:rPr>
          <w:rFonts w:cstheme="minorHAnsi"/>
          <w:sz w:val="24"/>
          <w:szCs w:val="24"/>
          <w:lang w:val="en-GB"/>
        </w:rPr>
      </w:pPr>
    </w:p>
    <w:p w14:paraId="7AD65BEA" w14:textId="77777777" w:rsidR="00E94AF4" w:rsidRPr="00887526" w:rsidRDefault="00E94AF4" w:rsidP="00887526">
      <w:pPr>
        <w:spacing w:after="0" w:line="240" w:lineRule="auto"/>
        <w:jc w:val="both"/>
        <w:rPr>
          <w:rFonts w:cstheme="minorHAnsi"/>
          <w:b/>
          <w:sz w:val="24"/>
          <w:szCs w:val="24"/>
          <w:lang w:val="en-GB"/>
        </w:rPr>
      </w:pPr>
      <w:r w:rsidRPr="00887526">
        <w:rPr>
          <w:rFonts w:cstheme="minorHAnsi"/>
          <w:b/>
          <w:sz w:val="24"/>
          <w:szCs w:val="24"/>
          <w:lang w:val="en-GB"/>
        </w:rPr>
        <w:t>Results</w:t>
      </w:r>
    </w:p>
    <w:p w14:paraId="7AD65BEB" w14:textId="77777777" w:rsidR="00211B25" w:rsidRPr="00887526" w:rsidRDefault="00211B25" w:rsidP="007F09A0">
      <w:pPr>
        <w:pStyle w:val="Ttulo3"/>
        <w:numPr>
          <w:ilvl w:val="0"/>
          <w:numId w:val="0"/>
        </w:numPr>
        <w:spacing w:before="0" w:after="0"/>
        <w:ind w:left="567" w:hanging="567"/>
        <w:rPr>
          <w:rFonts w:asciiTheme="minorHAnsi" w:hAnsiTheme="minorHAnsi" w:cstheme="minorHAnsi"/>
          <w:b/>
        </w:rPr>
      </w:pPr>
      <w:bookmarkStart w:id="9" w:name="_Toc145540221"/>
      <w:r w:rsidRPr="00887526">
        <w:rPr>
          <w:rFonts w:asciiTheme="minorHAnsi" w:hAnsiTheme="minorHAnsi" w:cstheme="minorHAnsi"/>
          <w:b/>
        </w:rPr>
        <w:t>Optimization of the coating of nanoparticles with dextran 40</w:t>
      </w:r>
      <w:bookmarkEnd w:id="9"/>
    </w:p>
    <w:p w14:paraId="7AD65BEC" w14:textId="77777777" w:rsidR="005B5EED" w:rsidRPr="005B5EED" w:rsidRDefault="00211B25" w:rsidP="005B5EED">
      <w:pPr>
        <w:spacing w:after="0" w:line="240" w:lineRule="auto"/>
        <w:jc w:val="both"/>
        <w:rPr>
          <w:sz w:val="24"/>
          <w:szCs w:val="24"/>
          <w:lang w:val="en-GB"/>
        </w:rPr>
      </w:pPr>
      <w:r w:rsidRPr="005B5EED">
        <w:rPr>
          <w:rFonts w:cstheme="minorHAnsi"/>
          <w:sz w:val="24"/>
          <w:szCs w:val="24"/>
          <w:lang w:val="en-GB"/>
        </w:rPr>
        <w:t xml:space="preserve">Figure </w:t>
      </w:r>
      <w:r w:rsidR="00887526" w:rsidRPr="005B5EED">
        <w:rPr>
          <w:rFonts w:cstheme="minorHAnsi"/>
          <w:sz w:val="24"/>
          <w:szCs w:val="24"/>
          <w:lang w:val="en-GB"/>
        </w:rPr>
        <w:t>2S</w:t>
      </w:r>
      <w:r w:rsidRPr="005B5EED">
        <w:rPr>
          <w:rFonts w:cstheme="minorHAnsi"/>
          <w:sz w:val="24"/>
          <w:szCs w:val="24"/>
          <w:lang w:val="en-GB"/>
        </w:rPr>
        <w:t xml:space="preserve"> shows the influence of the DEX-to-HSA ratio on the physicochemical properties of the albumin nanoparticles. As control, empty albumin nanoparticles cross-linked with glutaraldehyde </w:t>
      </w:r>
      <w:r w:rsidR="00887526" w:rsidRPr="005B5EED">
        <w:rPr>
          <w:rFonts w:cstheme="minorHAnsi"/>
          <w:sz w:val="24"/>
          <w:szCs w:val="24"/>
          <w:lang w:val="en-GB"/>
        </w:rPr>
        <w:t xml:space="preserve">(NP-GLU) </w:t>
      </w:r>
      <w:r w:rsidRPr="005B5EED">
        <w:rPr>
          <w:rFonts w:cstheme="minorHAnsi"/>
          <w:sz w:val="24"/>
          <w:szCs w:val="24"/>
          <w:lang w:val="en-GB"/>
        </w:rPr>
        <w:t xml:space="preserve">was employed. These </w:t>
      </w:r>
      <w:r w:rsidR="00887526" w:rsidRPr="005B5EED">
        <w:rPr>
          <w:rFonts w:cstheme="minorHAnsi"/>
          <w:sz w:val="24"/>
          <w:szCs w:val="24"/>
          <w:lang w:val="en-GB"/>
        </w:rPr>
        <w:t xml:space="preserve">control </w:t>
      </w:r>
      <w:r w:rsidRPr="005B5EED">
        <w:rPr>
          <w:rFonts w:cstheme="minorHAnsi"/>
          <w:sz w:val="24"/>
          <w:szCs w:val="24"/>
          <w:lang w:val="en-GB"/>
        </w:rPr>
        <w:t>nanoparticles displayed a mean size of 229 nm and a negative zeta potential of -50 mV. For DEX-coated nanoparticles, their mean size and negative zeta potential slightly decreased by increasing the DEX-to-HSA ratio (from 246 nm to approx. 231 nm and from -50 mV to -44 mV, respectively).</w:t>
      </w:r>
      <w:r w:rsidR="005B5EED">
        <w:rPr>
          <w:rFonts w:cstheme="minorHAnsi"/>
          <w:sz w:val="24"/>
          <w:szCs w:val="24"/>
          <w:lang w:val="en-GB"/>
        </w:rPr>
        <w:t xml:space="preserve"> </w:t>
      </w:r>
      <w:r w:rsidR="005B5EED" w:rsidRPr="005B5EED">
        <w:rPr>
          <w:rFonts w:cstheme="minorHAnsi"/>
          <w:sz w:val="24"/>
          <w:szCs w:val="24"/>
          <w:lang w:val="en-GB"/>
        </w:rPr>
        <w:lastRenderedPageBreak/>
        <w:t xml:space="preserve">On the other hand, by increasing the </w:t>
      </w:r>
      <w:r w:rsidR="007F09A0" w:rsidRPr="005B5EED">
        <w:rPr>
          <w:sz w:val="24"/>
          <w:szCs w:val="24"/>
          <w:lang w:val="en-GB"/>
        </w:rPr>
        <w:t>DEX-to-HSA ratio</w:t>
      </w:r>
      <w:r w:rsidR="005B5EED" w:rsidRPr="005B5EED">
        <w:rPr>
          <w:sz w:val="24"/>
          <w:szCs w:val="24"/>
          <w:lang w:val="en-GB"/>
        </w:rPr>
        <w:t xml:space="preserve">, both the </w:t>
      </w:r>
      <w:r w:rsidR="007F09A0" w:rsidRPr="005B5EED">
        <w:rPr>
          <w:sz w:val="24"/>
          <w:szCs w:val="24"/>
          <w:lang w:val="en-GB"/>
        </w:rPr>
        <w:t>amount of HSA transformed into nanoparticles</w:t>
      </w:r>
      <w:r w:rsidR="005B5EED" w:rsidRPr="005B5EED">
        <w:rPr>
          <w:sz w:val="24"/>
          <w:szCs w:val="24"/>
          <w:lang w:val="en-GB"/>
        </w:rPr>
        <w:t>, as well as the amount of dextran on their surface, increased (Table 1S).</w:t>
      </w:r>
    </w:p>
    <w:p w14:paraId="7AD65BED" w14:textId="77777777" w:rsidR="00211B25" w:rsidRDefault="00211B25" w:rsidP="005B5EED">
      <w:pPr>
        <w:spacing w:after="0" w:line="240" w:lineRule="auto"/>
        <w:jc w:val="both"/>
        <w:rPr>
          <w:rFonts w:cstheme="minorHAnsi"/>
          <w:sz w:val="24"/>
          <w:szCs w:val="24"/>
          <w:lang w:val="en-GB"/>
        </w:rPr>
      </w:pPr>
    </w:p>
    <w:p w14:paraId="7AD65BEE" w14:textId="77777777" w:rsidR="00EC6AA1" w:rsidRPr="00887526" w:rsidRDefault="00EC6AA1" w:rsidP="005B5EED">
      <w:pPr>
        <w:spacing w:after="0" w:line="240" w:lineRule="auto"/>
        <w:jc w:val="both"/>
        <w:rPr>
          <w:rFonts w:cstheme="minorHAnsi"/>
          <w:sz w:val="24"/>
          <w:szCs w:val="24"/>
          <w:lang w:val="en-GB"/>
        </w:rPr>
      </w:pPr>
    </w:p>
    <w:p w14:paraId="7AD65BEF" w14:textId="77777777" w:rsidR="00211B25" w:rsidRPr="00BB1AF1" w:rsidRDefault="00211B25" w:rsidP="005B5EED">
      <w:pPr>
        <w:keepNext/>
        <w:spacing w:after="0" w:line="240" w:lineRule="auto"/>
        <w:jc w:val="center"/>
        <w:rPr>
          <w:rFonts w:cstheme="minorHAnsi"/>
          <w:szCs w:val="24"/>
        </w:rPr>
      </w:pPr>
      <w:r w:rsidRPr="00BB1AF1">
        <w:rPr>
          <w:rFonts w:cstheme="minorHAnsi"/>
          <w:noProof/>
          <w:szCs w:val="24"/>
          <w:lang w:eastAsia="es-ES"/>
        </w:rPr>
        <w:drawing>
          <wp:inline distT="0" distB="0" distL="0" distR="0" wp14:anchorId="7AD65C16" wp14:editId="7AD65C17">
            <wp:extent cx="4680000" cy="3022281"/>
            <wp:effectExtent l="0" t="0" r="6350" b="6985"/>
            <wp:docPr id="1372336215" name="Imagen 1"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336215" name="Imagen 1" descr="Gráfico, Gráfico de líneas&#10;&#10;Descripción generada automáticamente"/>
                    <pic:cNvPicPr/>
                  </pic:nvPicPr>
                  <pic:blipFill rotWithShape="1">
                    <a:blip r:embed="rId6" cstate="print">
                      <a:extLst>
                        <a:ext uri="{28A0092B-C50C-407E-A947-70E740481C1C}">
                          <a14:useLocalDpi xmlns:a14="http://schemas.microsoft.com/office/drawing/2010/main" val="0"/>
                        </a:ext>
                      </a:extLst>
                    </a:blip>
                    <a:srcRect l="7298" t="14299" r="3937" b="9276"/>
                    <a:stretch/>
                  </pic:blipFill>
                  <pic:spPr bwMode="auto">
                    <a:xfrm>
                      <a:off x="0" y="0"/>
                      <a:ext cx="4680000" cy="3022281"/>
                    </a:xfrm>
                    <a:prstGeom prst="rect">
                      <a:avLst/>
                    </a:prstGeom>
                    <a:ln>
                      <a:noFill/>
                    </a:ln>
                    <a:extLst>
                      <a:ext uri="{53640926-AAD7-44D8-BBD7-CCE9431645EC}">
                        <a14:shadowObscured xmlns:a14="http://schemas.microsoft.com/office/drawing/2010/main"/>
                      </a:ext>
                    </a:extLst>
                  </pic:spPr>
                </pic:pic>
              </a:graphicData>
            </a:graphic>
          </wp:inline>
        </w:drawing>
      </w:r>
    </w:p>
    <w:p w14:paraId="7AD65BF0" w14:textId="77777777" w:rsidR="00211B25" w:rsidRPr="005B5EED" w:rsidRDefault="00211B25" w:rsidP="005B5EED">
      <w:pPr>
        <w:pStyle w:val="Descripcin"/>
        <w:spacing w:after="0"/>
        <w:rPr>
          <w:rFonts w:asciiTheme="minorHAnsi" w:hAnsiTheme="minorHAnsi"/>
        </w:rPr>
      </w:pPr>
      <w:r w:rsidRPr="00771758">
        <w:rPr>
          <w:rFonts w:asciiTheme="minorHAnsi" w:hAnsiTheme="minorHAnsi"/>
          <w:b/>
        </w:rPr>
        <w:t>Fig</w:t>
      </w:r>
      <w:r w:rsidR="00887526" w:rsidRPr="00771758">
        <w:rPr>
          <w:rFonts w:asciiTheme="minorHAnsi" w:hAnsiTheme="minorHAnsi"/>
          <w:b/>
        </w:rPr>
        <w:t>ure</w:t>
      </w:r>
      <w:r w:rsidRPr="00771758">
        <w:rPr>
          <w:rFonts w:asciiTheme="minorHAnsi" w:hAnsiTheme="minorHAnsi"/>
          <w:b/>
        </w:rPr>
        <w:t xml:space="preserve"> </w:t>
      </w:r>
      <w:r w:rsidR="00BE6870" w:rsidRPr="00771758">
        <w:rPr>
          <w:rFonts w:asciiTheme="minorHAnsi" w:hAnsiTheme="minorHAnsi"/>
          <w:b/>
        </w:rPr>
        <w:t>2</w:t>
      </w:r>
      <w:r w:rsidR="00887526" w:rsidRPr="00771758">
        <w:rPr>
          <w:rFonts w:asciiTheme="minorHAnsi" w:hAnsiTheme="minorHAnsi"/>
          <w:b/>
        </w:rPr>
        <w:t>S</w:t>
      </w:r>
      <w:r w:rsidRPr="00771758">
        <w:rPr>
          <w:rFonts w:asciiTheme="minorHAnsi" w:hAnsiTheme="minorHAnsi"/>
          <w:b/>
        </w:rPr>
        <w:t>.</w:t>
      </w:r>
      <w:r w:rsidRPr="005B5EED">
        <w:rPr>
          <w:rFonts w:asciiTheme="minorHAnsi" w:hAnsiTheme="minorHAnsi"/>
        </w:rPr>
        <w:t xml:space="preserve"> Evolution of the mean size (square and line) and zeta potential (circle and dotted line) of DEX-coated nanoparticles as a function of the DEX-to-HSA ratio. Data expressed as mean ± SD (</w:t>
      </w:r>
      <w:r w:rsidRPr="005B5EED">
        <w:rPr>
          <w:rFonts w:asciiTheme="minorHAnsi" w:hAnsiTheme="minorHAnsi"/>
          <w:i/>
          <w:iCs/>
        </w:rPr>
        <w:t>n</w:t>
      </w:r>
      <w:r w:rsidRPr="005B5EED">
        <w:rPr>
          <w:rFonts w:asciiTheme="minorHAnsi" w:hAnsiTheme="minorHAnsi"/>
        </w:rPr>
        <w:t xml:space="preserve"> &gt; 6).</w:t>
      </w:r>
    </w:p>
    <w:p w14:paraId="7AD65BF1" w14:textId="77777777" w:rsidR="00211B25" w:rsidRPr="005B5EED" w:rsidRDefault="00211B25" w:rsidP="005B5EED">
      <w:pPr>
        <w:spacing w:after="0" w:line="240" w:lineRule="auto"/>
        <w:rPr>
          <w:lang w:val="en-US"/>
        </w:rPr>
      </w:pPr>
    </w:p>
    <w:p w14:paraId="7AD65BF2" w14:textId="77777777" w:rsidR="00211B25" w:rsidRPr="005B5EED" w:rsidRDefault="00211B25" w:rsidP="005B5EED">
      <w:pPr>
        <w:pStyle w:val="Descripcin"/>
        <w:spacing w:after="0"/>
        <w:rPr>
          <w:rFonts w:asciiTheme="minorHAnsi" w:hAnsiTheme="minorHAnsi"/>
          <w:strike/>
        </w:rPr>
      </w:pPr>
    </w:p>
    <w:p w14:paraId="7AD65BF3" w14:textId="77777777" w:rsidR="00211B25" w:rsidRDefault="00211B25" w:rsidP="005B5EED">
      <w:pPr>
        <w:pStyle w:val="Descripcin"/>
        <w:spacing w:after="0"/>
        <w:rPr>
          <w:rFonts w:asciiTheme="minorHAnsi" w:hAnsiTheme="minorHAnsi"/>
        </w:rPr>
      </w:pPr>
      <w:r w:rsidRPr="005E31C4">
        <w:rPr>
          <w:rFonts w:asciiTheme="minorHAnsi" w:hAnsiTheme="minorHAnsi"/>
          <w:b/>
          <w:bCs w:val="0"/>
        </w:rPr>
        <w:t>Table</w:t>
      </w:r>
      <w:r w:rsidR="005B5EED" w:rsidRPr="005E31C4">
        <w:rPr>
          <w:rFonts w:asciiTheme="minorHAnsi" w:hAnsiTheme="minorHAnsi"/>
          <w:b/>
          <w:bCs w:val="0"/>
        </w:rPr>
        <w:t xml:space="preserve"> 1S</w:t>
      </w:r>
      <w:r w:rsidRPr="005E31C4">
        <w:rPr>
          <w:rFonts w:asciiTheme="minorHAnsi" w:hAnsiTheme="minorHAnsi"/>
          <w:b/>
          <w:bCs w:val="0"/>
        </w:rPr>
        <w:t>.</w:t>
      </w:r>
      <w:r w:rsidRPr="005B5EED">
        <w:rPr>
          <w:rFonts w:asciiTheme="minorHAnsi" w:hAnsiTheme="minorHAnsi"/>
        </w:rPr>
        <w:t xml:space="preserve"> Effect of the DEX-to-HSA ratio on the amount DEX incorporated in the</w:t>
      </w:r>
      <w:r w:rsidRPr="007F09A0">
        <w:rPr>
          <w:rFonts w:asciiTheme="minorHAnsi" w:hAnsiTheme="minorHAnsi"/>
        </w:rPr>
        <w:t xml:space="preserve"> nanoparticles. Data expressed as mean ± SD (</w:t>
      </w:r>
      <w:r w:rsidRPr="007F09A0">
        <w:rPr>
          <w:rFonts w:asciiTheme="minorHAnsi" w:hAnsiTheme="minorHAnsi"/>
          <w:i/>
          <w:iCs/>
        </w:rPr>
        <w:t xml:space="preserve">n </w:t>
      </w:r>
      <w:r w:rsidRPr="007F09A0">
        <w:rPr>
          <w:rFonts w:asciiTheme="minorHAnsi" w:hAnsiTheme="minorHAnsi"/>
        </w:rPr>
        <w:t>= 3).</w:t>
      </w:r>
    </w:p>
    <w:p w14:paraId="7AD65BF4" w14:textId="77777777" w:rsidR="005B5EED" w:rsidRPr="005B5EED" w:rsidRDefault="005B5EED" w:rsidP="005B5EED">
      <w:pPr>
        <w:spacing w:after="0" w:line="240" w:lineRule="auto"/>
        <w:rPr>
          <w:lang w:val="en-US"/>
        </w:rPr>
      </w:pPr>
    </w:p>
    <w:tbl>
      <w:tblPr>
        <w:tblStyle w:val="Tablaconcuadrcula"/>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405"/>
        <w:gridCol w:w="1847"/>
        <w:gridCol w:w="2160"/>
        <w:gridCol w:w="2092"/>
      </w:tblGrid>
      <w:tr w:rsidR="00211B25" w:rsidRPr="007F09A0" w14:paraId="7AD65BFA" w14:textId="77777777" w:rsidTr="001A58CA">
        <w:trPr>
          <w:trHeight w:val="103"/>
        </w:trPr>
        <w:tc>
          <w:tcPr>
            <w:tcW w:w="1414" w:type="pct"/>
            <w:tcBorders>
              <w:top w:val="single" w:sz="6" w:space="0" w:color="auto"/>
              <w:bottom w:val="single" w:sz="6" w:space="0" w:color="auto"/>
            </w:tcBorders>
            <w:shd w:val="clear" w:color="auto" w:fill="DBDBDB" w:themeFill="accent3" w:themeFillTint="66"/>
            <w:vAlign w:val="center"/>
          </w:tcPr>
          <w:p w14:paraId="7AD65BF5" w14:textId="77777777" w:rsidR="00211B25" w:rsidRPr="007F09A0" w:rsidRDefault="00211B25" w:rsidP="005B5EED">
            <w:pPr>
              <w:pStyle w:val="Celltext"/>
              <w:spacing w:after="0"/>
              <w:rPr>
                <w:rFonts w:asciiTheme="minorHAnsi" w:hAnsiTheme="minorHAnsi" w:cstheme="minorHAnsi"/>
                <w:b/>
                <w:bCs/>
                <w:sz w:val="24"/>
                <w:szCs w:val="24"/>
                <w:lang w:val="en-GB"/>
              </w:rPr>
            </w:pPr>
            <w:r w:rsidRPr="007F09A0">
              <w:rPr>
                <w:rFonts w:asciiTheme="minorHAnsi" w:hAnsiTheme="minorHAnsi" w:cstheme="minorHAnsi"/>
                <w:b/>
                <w:bCs/>
                <w:sz w:val="24"/>
                <w:szCs w:val="24"/>
              </w:rPr>
              <w:t>Formulation</w:t>
            </w:r>
          </w:p>
        </w:tc>
        <w:tc>
          <w:tcPr>
            <w:tcW w:w="1086" w:type="pct"/>
            <w:tcBorders>
              <w:top w:val="single" w:sz="6" w:space="0" w:color="auto"/>
              <w:bottom w:val="single" w:sz="6" w:space="0" w:color="auto"/>
            </w:tcBorders>
            <w:shd w:val="clear" w:color="auto" w:fill="DBDBDB" w:themeFill="accent3" w:themeFillTint="66"/>
            <w:vAlign w:val="center"/>
          </w:tcPr>
          <w:p w14:paraId="7AD65BF6" w14:textId="77777777" w:rsidR="00211B25" w:rsidRPr="007F09A0" w:rsidRDefault="00211B25" w:rsidP="005B5EED">
            <w:pPr>
              <w:pStyle w:val="Celltext"/>
              <w:spacing w:after="0"/>
              <w:rPr>
                <w:rFonts w:asciiTheme="minorHAnsi" w:hAnsiTheme="minorHAnsi" w:cstheme="minorHAnsi"/>
                <w:b/>
                <w:bCs/>
                <w:sz w:val="24"/>
                <w:szCs w:val="24"/>
              </w:rPr>
            </w:pPr>
            <w:r w:rsidRPr="007F09A0">
              <w:rPr>
                <w:rFonts w:asciiTheme="minorHAnsi" w:hAnsiTheme="minorHAnsi" w:cstheme="minorHAnsi"/>
                <w:b/>
                <w:bCs/>
                <w:sz w:val="24"/>
                <w:szCs w:val="24"/>
              </w:rPr>
              <w:t>DEX-to-HSA ratio</w:t>
            </w:r>
          </w:p>
        </w:tc>
        <w:tc>
          <w:tcPr>
            <w:tcW w:w="1270" w:type="pct"/>
            <w:tcBorders>
              <w:top w:val="single" w:sz="6" w:space="0" w:color="auto"/>
              <w:bottom w:val="single" w:sz="6" w:space="0" w:color="auto"/>
            </w:tcBorders>
            <w:shd w:val="clear" w:color="auto" w:fill="DBDBDB" w:themeFill="accent3" w:themeFillTint="66"/>
            <w:vAlign w:val="center"/>
          </w:tcPr>
          <w:p w14:paraId="7AD65BF7" w14:textId="77777777" w:rsidR="00211B25" w:rsidRPr="007F09A0" w:rsidRDefault="00211B25" w:rsidP="005B5EED">
            <w:pPr>
              <w:pStyle w:val="Celltext"/>
              <w:spacing w:after="0"/>
              <w:rPr>
                <w:rFonts w:asciiTheme="minorHAnsi" w:hAnsiTheme="minorHAnsi" w:cstheme="minorHAnsi"/>
                <w:b/>
                <w:bCs/>
                <w:sz w:val="24"/>
                <w:szCs w:val="24"/>
              </w:rPr>
            </w:pPr>
            <w:r w:rsidRPr="007F09A0">
              <w:rPr>
                <w:rFonts w:asciiTheme="minorHAnsi" w:hAnsiTheme="minorHAnsi" w:cstheme="minorHAnsi"/>
                <w:b/>
                <w:bCs/>
                <w:sz w:val="24"/>
                <w:szCs w:val="24"/>
              </w:rPr>
              <w:t>Amount of HSA</w:t>
            </w:r>
          </w:p>
          <w:p w14:paraId="7AD65BF8" w14:textId="77777777" w:rsidR="00211B25" w:rsidRPr="007F09A0" w:rsidRDefault="00211B25" w:rsidP="005B5EED">
            <w:pPr>
              <w:pStyle w:val="Celltext"/>
              <w:spacing w:after="0"/>
              <w:rPr>
                <w:rFonts w:asciiTheme="minorHAnsi" w:hAnsiTheme="minorHAnsi" w:cstheme="minorHAnsi"/>
                <w:b/>
                <w:bCs/>
                <w:sz w:val="24"/>
                <w:szCs w:val="24"/>
              </w:rPr>
            </w:pPr>
            <w:r w:rsidRPr="007F09A0">
              <w:rPr>
                <w:rFonts w:asciiTheme="minorHAnsi" w:hAnsiTheme="minorHAnsi" w:cstheme="minorHAnsi"/>
                <w:b/>
                <w:bCs/>
                <w:sz w:val="24"/>
                <w:szCs w:val="24"/>
              </w:rPr>
              <w:t>(%)</w:t>
            </w:r>
          </w:p>
        </w:tc>
        <w:tc>
          <w:tcPr>
            <w:tcW w:w="1230" w:type="pct"/>
            <w:tcBorders>
              <w:top w:val="single" w:sz="6" w:space="0" w:color="auto"/>
              <w:bottom w:val="single" w:sz="6" w:space="0" w:color="auto"/>
            </w:tcBorders>
            <w:shd w:val="clear" w:color="auto" w:fill="DBDBDB" w:themeFill="accent3" w:themeFillTint="66"/>
            <w:vAlign w:val="center"/>
          </w:tcPr>
          <w:p w14:paraId="7AD65BF9" w14:textId="77777777" w:rsidR="00211B25" w:rsidRPr="007F09A0" w:rsidRDefault="00211B25" w:rsidP="005B5EED">
            <w:pPr>
              <w:pStyle w:val="Celltext"/>
              <w:spacing w:after="0"/>
              <w:rPr>
                <w:rFonts w:asciiTheme="minorHAnsi" w:hAnsiTheme="minorHAnsi" w:cstheme="minorHAnsi"/>
                <w:b/>
                <w:bCs/>
                <w:sz w:val="24"/>
                <w:szCs w:val="24"/>
              </w:rPr>
            </w:pPr>
            <w:r w:rsidRPr="007F09A0">
              <w:rPr>
                <w:rFonts w:asciiTheme="minorHAnsi" w:hAnsiTheme="minorHAnsi" w:cstheme="minorHAnsi"/>
                <w:b/>
                <w:bCs/>
                <w:sz w:val="24"/>
                <w:szCs w:val="24"/>
              </w:rPr>
              <w:t>Amount of DEX (mg)</w:t>
            </w:r>
          </w:p>
        </w:tc>
      </w:tr>
      <w:tr w:rsidR="00211B25" w:rsidRPr="007F09A0" w14:paraId="7AD65BFF" w14:textId="77777777" w:rsidTr="001A58CA">
        <w:tc>
          <w:tcPr>
            <w:tcW w:w="1414" w:type="pct"/>
            <w:tcBorders>
              <w:top w:val="single" w:sz="6" w:space="0" w:color="auto"/>
              <w:bottom w:val="single" w:sz="6" w:space="0" w:color="auto"/>
            </w:tcBorders>
            <w:vAlign w:val="bottom"/>
          </w:tcPr>
          <w:p w14:paraId="7AD65BFB"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NP-DEX10</w:t>
            </w:r>
          </w:p>
        </w:tc>
        <w:tc>
          <w:tcPr>
            <w:tcW w:w="1086" w:type="pct"/>
            <w:tcBorders>
              <w:top w:val="single" w:sz="6" w:space="0" w:color="auto"/>
              <w:bottom w:val="single" w:sz="6" w:space="0" w:color="auto"/>
            </w:tcBorders>
            <w:vAlign w:val="bottom"/>
          </w:tcPr>
          <w:p w14:paraId="7AD65BFC"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0.1</w:t>
            </w:r>
          </w:p>
        </w:tc>
        <w:tc>
          <w:tcPr>
            <w:tcW w:w="1270" w:type="pct"/>
            <w:tcBorders>
              <w:top w:val="single" w:sz="6" w:space="0" w:color="auto"/>
              <w:bottom w:val="single" w:sz="6" w:space="0" w:color="auto"/>
            </w:tcBorders>
            <w:vAlign w:val="bottom"/>
          </w:tcPr>
          <w:p w14:paraId="7AD65BFD"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60 ± 5</w:t>
            </w:r>
          </w:p>
        </w:tc>
        <w:tc>
          <w:tcPr>
            <w:tcW w:w="1230" w:type="pct"/>
            <w:tcBorders>
              <w:top w:val="single" w:sz="6" w:space="0" w:color="auto"/>
              <w:bottom w:val="single" w:sz="6" w:space="0" w:color="auto"/>
            </w:tcBorders>
            <w:vAlign w:val="bottom"/>
          </w:tcPr>
          <w:p w14:paraId="7AD65BFE"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1.5 ± 0.2</w:t>
            </w:r>
          </w:p>
        </w:tc>
      </w:tr>
      <w:tr w:rsidR="00211B25" w:rsidRPr="007F09A0" w14:paraId="7AD65C04" w14:textId="77777777" w:rsidTr="001A58CA">
        <w:tc>
          <w:tcPr>
            <w:tcW w:w="1414" w:type="pct"/>
            <w:tcBorders>
              <w:top w:val="single" w:sz="6" w:space="0" w:color="auto"/>
              <w:bottom w:val="single" w:sz="6" w:space="0" w:color="auto"/>
            </w:tcBorders>
            <w:vAlign w:val="bottom"/>
          </w:tcPr>
          <w:p w14:paraId="7AD65C00"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NP-DEX25</w:t>
            </w:r>
          </w:p>
        </w:tc>
        <w:tc>
          <w:tcPr>
            <w:tcW w:w="1086" w:type="pct"/>
            <w:tcBorders>
              <w:top w:val="single" w:sz="6" w:space="0" w:color="auto"/>
              <w:bottom w:val="single" w:sz="6" w:space="0" w:color="auto"/>
            </w:tcBorders>
            <w:vAlign w:val="bottom"/>
          </w:tcPr>
          <w:p w14:paraId="7AD65C01"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0.25</w:t>
            </w:r>
          </w:p>
        </w:tc>
        <w:tc>
          <w:tcPr>
            <w:tcW w:w="1270" w:type="pct"/>
            <w:tcBorders>
              <w:top w:val="single" w:sz="6" w:space="0" w:color="auto"/>
              <w:bottom w:val="single" w:sz="6" w:space="0" w:color="auto"/>
            </w:tcBorders>
            <w:vAlign w:val="bottom"/>
          </w:tcPr>
          <w:p w14:paraId="7AD65C02"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65 ± 2</w:t>
            </w:r>
          </w:p>
        </w:tc>
        <w:tc>
          <w:tcPr>
            <w:tcW w:w="1230" w:type="pct"/>
            <w:tcBorders>
              <w:top w:val="single" w:sz="6" w:space="0" w:color="auto"/>
              <w:bottom w:val="single" w:sz="6" w:space="0" w:color="auto"/>
            </w:tcBorders>
            <w:vAlign w:val="bottom"/>
          </w:tcPr>
          <w:p w14:paraId="7AD65C03"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3.3 ± 0.3</w:t>
            </w:r>
          </w:p>
        </w:tc>
      </w:tr>
      <w:tr w:rsidR="00211B25" w:rsidRPr="007F09A0" w14:paraId="7AD65C09" w14:textId="77777777" w:rsidTr="001A58CA">
        <w:tc>
          <w:tcPr>
            <w:tcW w:w="1414" w:type="pct"/>
            <w:tcBorders>
              <w:top w:val="single" w:sz="6" w:space="0" w:color="auto"/>
              <w:bottom w:val="single" w:sz="6" w:space="0" w:color="auto"/>
            </w:tcBorders>
            <w:vAlign w:val="bottom"/>
          </w:tcPr>
          <w:p w14:paraId="7AD65C05"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NP-DEX50</w:t>
            </w:r>
          </w:p>
        </w:tc>
        <w:tc>
          <w:tcPr>
            <w:tcW w:w="1086" w:type="pct"/>
            <w:tcBorders>
              <w:top w:val="single" w:sz="6" w:space="0" w:color="auto"/>
              <w:bottom w:val="single" w:sz="6" w:space="0" w:color="auto"/>
            </w:tcBorders>
            <w:vAlign w:val="bottom"/>
          </w:tcPr>
          <w:p w14:paraId="7AD65C06"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0.5</w:t>
            </w:r>
          </w:p>
        </w:tc>
        <w:tc>
          <w:tcPr>
            <w:tcW w:w="1270" w:type="pct"/>
            <w:tcBorders>
              <w:top w:val="single" w:sz="6" w:space="0" w:color="auto"/>
              <w:bottom w:val="single" w:sz="6" w:space="0" w:color="auto"/>
            </w:tcBorders>
            <w:vAlign w:val="bottom"/>
          </w:tcPr>
          <w:p w14:paraId="7AD65C07"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72 ± 2</w:t>
            </w:r>
          </w:p>
        </w:tc>
        <w:tc>
          <w:tcPr>
            <w:tcW w:w="1230" w:type="pct"/>
            <w:tcBorders>
              <w:top w:val="single" w:sz="6" w:space="0" w:color="auto"/>
              <w:bottom w:val="single" w:sz="6" w:space="0" w:color="auto"/>
            </w:tcBorders>
            <w:vAlign w:val="bottom"/>
          </w:tcPr>
          <w:p w14:paraId="7AD65C08" w14:textId="77777777" w:rsidR="00211B25" w:rsidRPr="007F09A0" w:rsidRDefault="00211B25" w:rsidP="005B5EED">
            <w:pPr>
              <w:pStyle w:val="Celltext"/>
              <w:spacing w:after="0"/>
              <w:rPr>
                <w:rFonts w:asciiTheme="minorHAnsi" w:hAnsiTheme="minorHAnsi" w:cstheme="minorHAnsi"/>
                <w:sz w:val="24"/>
                <w:szCs w:val="24"/>
              </w:rPr>
            </w:pPr>
            <w:r w:rsidRPr="007F09A0">
              <w:rPr>
                <w:rFonts w:asciiTheme="minorHAnsi" w:hAnsiTheme="minorHAnsi" w:cstheme="minorHAnsi"/>
                <w:sz w:val="24"/>
                <w:szCs w:val="24"/>
              </w:rPr>
              <w:t>5.8 ± 1.5</w:t>
            </w:r>
          </w:p>
        </w:tc>
      </w:tr>
    </w:tbl>
    <w:p w14:paraId="7AD65C0A" w14:textId="77777777" w:rsidR="00211B25" w:rsidRPr="007F09A0" w:rsidRDefault="00211B25" w:rsidP="005B5EED">
      <w:pPr>
        <w:spacing w:after="0" w:line="240" w:lineRule="auto"/>
        <w:rPr>
          <w:rFonts w:cstheme="minorHAnsi"/>
          <w:szCs w:val="24"/>
        </w:rPr>
      </w:pPr>
    </w:p>
    <w:p w14:paraId="7AD65C0B" w14:textId="77777777" w:rsidR="00887526" w:rsidRPr="00D12471" w:rsidRDefault="00887526" w:rsidP="005B5EED">
      <w:pPr>
        <w:spacing w:after="0" w:line="240" w:lineRule="auto"/>
        <w:jc w:val="both"/>
        <w:rPr>
          <w:rFonts w:cstheme="minorHAnsi"/>
          <w:sz w:val="24"/>
          <w:szCs w:val="24"/>
          <w:lang w:val="en-GB"/>
        </w:rPr>
      </w:pPr>
    </w:p>
    <w:p w14:paraId="7AD65C0C" w14:textId="0F0DC7A4" w:rsidR="00211B25" w:rsidRPr="00D12471" w:rsidRDefault="00D12471" w:rsidP="00D12471">
      <w:pPr>
        <w:spacing w:after="0"/>
        <w:jc w:val="both"/>
        <w:rPr>
          <w:rFonts w:cstheme="minorHAnsi"/>
          <w:sz w:val="24"/>
          <w:szCs w:val="24"/>
          <w:lang w:val="en-GB"/>
        </w:rPr>
      </w:pPr>
      <w:r w:rsidRPr="00D12471">
        <w:rPr>
          <w:rFonts w:cstheme="minorHAnsi"/>
          <w:sz w:val="24"/>
          <w:szCs w:val="24"/>
          <w:lang w:val="en-GB"/>
        </w:rPr>
        <w:t xml:space="preserve">Figure </w:t>
      </w:r>
      <w:r w:rsidR="00EC6AA1">
        <w:rPr>
          <w:rFonts w:cstheme="minorHAnsi"/>
          <w:sz w:val="24"/>
          <w:szCs w:val="24"/>
          <w:lang w:val="en-GB"/>
        </w:rPr>
        <w:t>3</w:t>
      </w:r>
      <w:r w:rsidRPr="00D12471">
        <w:rPr>
          <w:rFonts w:cstheme="minorHAnsi"/>
          <w:sz w:val="24"/>
          <w:szCs w:val="24"/>
          <w:lang w:val="en-GB"/>
        </w:rPr>
        <w:t>S</w:t>
      </w:r>
      <w:r>
        <w:rPr>
          <w:rFonts w:cstheme="minorHAnsi"/>
          <w:sz w:val="24"/>
          <w:szCs w:val="24"/>
          <w:lang w:val="en-GB"/>
        </w:rPr>
        <w:t>-</w:t>
      </w:r>
      <w:r w:rsidRPr="00D12471">
        <w:rPr>
          <w:rFonts w:cstheme="minorHAnsi"/>
          <w:sz w:val="24"/>
          <w:szCs w:val="24"/>
          <w:lang w:val="en-GB"/>
        </w:rPr>
        <w:t>A</w:t>
      </w:r>
      <w:r w:rsidR="00211B25" w:rsidRPr="00D12471">
        <w:rPr>
          <w:rFonts w:cstheme="minorHAnsi"/>
          <w:sz w:val="24"/>
          <w:szCs w:val="24"/>
          <w:lang w:val="en-GB"/>
        </w:rPr>
        <w:t xml:space="preserve"> compiles the FTIR spectra of HSA, dextran 40,000 and DEX-coated albumin nanoparticles (NP-DEX50). It highlights the displacement and broadening of some vibration bands that might confirm the HSA-DEX interactio</w:t>
      </w:r>
      <w:r>
        <w:rPr>
          <w:rFonts w:cstheme="minorHAnsi"/>
          <w:sz w:val="24"/>
          <w:szCs w:val="24"/>
          <w:lang w:val="en-GB"/>
        </w:rPr>
        <w:t xml:space="preserve">n in DEX-coated nanoparticles. </w:t>
      </w:r>
      <w:r w:rsidR="00211B25" w:rsidRPr="00D12471">
        <w:rPr>
          <w:rFonts w:cstheme="minorHAnsi"/>
          <w:sz w:val="24"/>
          <w:szCs w:val="24"/>
          <w:lang w:val="en-GB"/>
        </w:rPr>
        <w:t>The Amide I vibration of HSA (1655 cm</w:t>
      </w:r>
      <w:r w:rsidR="00211B25" w:rsidRPr="00D12471">
        <w:rPr>
          <w:rFonts w:cstheme="minorHAnsi"/>
          <w:sz w:val="24"/>
          <w:szCs w:val="24"/>
          <w:vertAlign w:val="superscript"/>
          <w:lang w:val="en-GB"/>
        </w:rPr>
        <w:t>-1</w:t>
      </w:r>
      <w:r w:rsidR="00211B25" w:rsidRPr="00D12471">
        <w:rPr>
          <w:rFonts w:cstheme="minorHAnsi"/>
          <w:sz w:val="24"/>
          <w:szCs w:val="24"/>
          <w:lang w:val="en-GB"/>
        </w:rPr>
        <w:t xml:space="preserve">) undergoes broadening and shifting toward lower wavenumbers </w:t>
      </w:r>
      <w:r w:rsidRPr="00D12471">
        <w:rPr>
          <w:rFonts w:cstheme="minorHAnsi"/>
          <w:sz w:val="24"/>
          <w:szCs w:val="24"/>
          <w:lang w:val="en-GB"/>
        </w:rPr>
        <w:t>because</w:t>
      </w:r>
      <w:r w:rsidR="00211B25" w:rsidRPr="00D12471">
        <w:rPr>
          <w:rFonts w:cstheme="minorHAnsi"/>
          <w:sz w:val="24"/>
          <w:szCs w:val="24"/>
          <w:lang w:val="en-GB"/>
        </w:rPr>
        <w:t xml:space="preserve"> of an overlapping with the stretching vibration band of the carboxyl group (C=O; 1640 cm</w:t>
      </w:r>
      <w:r w:rsidR="00211B25" w:rsidRPr="00D12471">
        <w:rPr>
          <w:rFonts w:cstheme="minorHAnsi"/>
          <w:sz w:val="24"/>
          <w:szCs w:val="24"/>
          <w:vertAlign w:val="superscript"/>
          <w:lang w:val="en-GB"/>
        </w:rPr>
        <w:t>-1</w:t>
      </w:r>
      <w:r w:rsidR="00211B25" w:rsidRPr="00D12471">
        <w:rPr>
          <w:rFonts w:cstheme="minorHAnsi"/>
          <w:sz w:val="24"/>
          <w:szCs w:val="24"/>
          <w:lang w:val="en-GB"/>
        </w:rPr>
        <w:t>) of dextran. The band at 1103 cm</w:t>
      </w:r>
      <w:r w:rsidR="00211B25" w:rsidRPr="00D12471">
        <w:rPr>
          <w:rFonts w:cstheme="minorHAnsi"/>
          <w:sz w:val="24"/>
          <w:szCs w:val="24"/>
          <w:vertAlign w:val="superscript"/>
          <w:lang w:val="en-GB"/>
        </w:rPr>
        <w:t>-1</w:t>
      </w:r>
      <w:r w:rsidR="00211B25" w:rsidRPr="00D12471">
        <w:rPr>
          <w:rFonts w:cstheme="minorHAnsi"/>
          <w:sz w:val="24"/>
          <w:szCs w:val="24"/>
          <w:lang w:val="en-GB"/>
        </w:rPr>
        <w:t xml:space="preserve"> (C-O stretching) also appears broadened and shifted to 1072 cm</w:t>
      </w:r>
      <w:r w:rsidR="00211B25" w:rsidRPr="00D12471">
        <w:rPr>
          <w:rFonts w:cstheme="minorHAnsi"/>
          <w:sz w:val="24"/>
          <w:szCs w:val="24"/>
          <w:vertAlign w:val="superscript"/>
          <w:lang w:val="en-GB"/>
        </w:rPr>
        <w:t>-1</w:t>
      </w:r>
      <w:r w:rsidR="00211B25" w:rsidRPr="00D12471">
        <w:rPr>
          <w:rFonts w:cstheme="minorHAnsi"/>
          <w:sz w:val="24"/>
          <w:szCs w:val="24"/>
          <w:lang w:val="en-GB"/>
        </w:rPr>
        <w:t xml:space="preserve"> in the nanoparticles containing dextran (NP-DEX50), probably due to the interaction of HSA with the </w:t>
      </w:r>
      <w:r w:rsidR="00211B25" w:rsidRPr="00D12471">
        <w:rPr>
          <w:rFonts w:cstheme="minorHAnsi"/>
          <w:sz w:val="24"/>
          <w:szCs w:val="24"/>
        </w:rPr>
        <w:t>α</w:t>
      </w:r>
      <w:r w:rsidR="00211B25" w:rsidRPr="00D12471">
        <w:rPr>
          <w:rFonts w:cstheme="minorHAnsi"/>
          <w:sz w:val="24"/>
          <w:szCs w:val="24"/>
          <w:lang w:val="en-GB"/>
        </w:rPr>
        <w:t>-glycosidic bond of dextran (1000 cm</w:t>
      </w:r>
      <w:r w:rsidR="00211B25" w:rsidRPr="00D12471">
        <w:rPr>
          <w:rFonts w:cstheme="minorHAnsi"/>
          <w:sz w:val="24"/>
          <w:szCs w:val="24"/>
          <w:vertAlign w:val="superscript"/>
          <w:lang w:val="en-GB"/>
        </w:rPr>
        <w:t>-1</w:t>
      </w:r>
      <w:r w:rsidR="00211B25" w:rsidRPr="00D12471">
        <w:rPr>
          <w:rFonts w:cstheme="minorHAnsi"/>
          <w:sz w:val="24"/>
          <w:szCs w:val="24"/>
          <w:lang w:val="en-GB"/>
        </w:rPr>
        <w:t xml:space="preserve"> corresponding to chain flexibility). In addition, the absorption peak at 914 cm</w:t>
      </w:r>
      <w:r w:rsidR="00211B25" w:rsidRPr="00D12471">
        <w:rPr>
          <w:rFonts w:cstheme="minorHAnsi"/>
          <w:sz w:val="24"/>
          <w:szCs w:val="24"/>
          <w:vertAlign w:val="superscript"/>
          <w:lang w:val="en-GB"/>
        </w:rPr>
        <w:t>-1</w:t>
      </w:r>
      <w:r w:rsidR="00211B25" w:rsidRPr="00D12471">
        <w:rPr>
          <w:rFonts w:cstheme="minorHAnsi"/>
          <w:sz w:val="24"/>
          <w:szCs w:val="24"/>
          <w:lang w:val="en-GB"/>
        </w:rPr>
        <w:t xml:space="preserve"> shows an associated shoulder that correspond with the </w:t>
      </w:r>
      <w:r w:rsidR="00211B25" w:rsidRPr="00D12471">
        <w:rPr>
          <w:rFonts w:cstheme="minorHAnsi"/>
          <w:sz w:val="24"/>
          <w:szCs w:val="24"/>
        </w:rPr>
        <w:t>α</w:t>
      </w:r>
      <w:r w:rsidR="00211B25" w:rsidRPr="00D12471">
        <w:rPr>
          <w:rFonts w:cstheme="minorHAnsi"/>
          <w:sz w:val="24"/>
          <w:szCs w:val="24"/>
          <w:lang w:val="en-GB"/>
        </w:rPr>
        <w:t>-</w:t>
      </w:r>
      <w:r w:rsidR="00211B25" w:rsidRPr="00D12471">
        <w:rPr>
          <w:rFonts w:cstheme="minorHAnsi"/>
          <w:sz w:val="24"/>
          <w:szCs w:val="24"/>
          <w:lang w:val="en-GB"/>
        </w:rPr>
        <w:lastRenderedPageBreak/>
        <w:t xml:space="preserve">glycosidic bond of dextran and would confirm the interaction protein-polysaccharide in the DEX-coated albumin nanoparticles. </w:t>
      </w:r>
    </w:p>
    <w:p w14:paraId="7AD65C0D" w14:textId="77777777" w:rsidR="00211B25" w:rsidRPr="00D12471" w:rsidRDefault="00211B25" w:rsidP="00D12471">
      <w:pPr>
        <w:spacing w:after="0"/>
        <w:jc w:val="both"/>
        <w:rPr>
          <w:rFonts w:cstheme="minorHAnsi"/>
          <w:sz w:val="24"/>
          <w:szCs w:val="24"/>
          <w:lang w:val="en-GB"/>
        </w:rPr>
      </w:pPr>
      <w:r w:rsidRPr="00D12471">
        <w:rPr>
          <w:rFonts w:cstheme="minorHAnsi"/>
          <w:sz w:val="24"/>
          <w:szCs w:val="24"/>
          <w:lang w:val="en-GB"/>
        </w:rPr>
        <w:t xml:space="preserve">The thermal profile of DEX-coated nanoparticles and their individual components is shown in Figure </w:t>
      </w:r>
      <w:r w:rsidR="00EC6AA1">
        <w:rPr>
          <w:rFonts w:cstheme="minorHAnsi"/>
          <w:sz w:val="24"/>
          <w:szCs w:val="24"/>
          <w:lang w:val="en-GB"/>
        </w:rPr>
        <w:t>3</w:t>
      </w:r>
      <w:r w:rsidR="00D12471">
        <w:rPr>
          <w:rFonts w:cstheme="minorHAnsi"/>
          <w:sz w:val="24"/>
          <w:szCs w:val="24"/>
          <w:lang w:val="en-GB"/>
        </w:rPr>
        <w:t>S-</w:t>
      </w:r>
      <w:r w:rsidRPr="00D12471">
        <w:rPr>
          <w:rFonts w:cstheme="minorHAnsi"/>
          <w:sz w:val="24"/>
          <w:szCs w:val="24"/>
          <w:lang w:val="en-GB"/>
        </w:rPr>
        <w:t xml:space="preserve">B. HSA thermogram shows two weak endothermic signals at 133 °C and 143 °C (unfolded protein) followed by a sharp endothermic peak corresponding to the protein melting process (155 °C). DEX thermogram shows endothermic signals at 147 °C and 158 °C followed by a sharp endothermic peak at 202 °C corresponding to the polysaccharide melting. In DEX-coated </w:t>
      </w:r>
      <w:r w:rsidR="00D12471" w:rsidRPr="00D12471">
        <w:rPr>
          <w:rFonts w:cstheme="minorHAnsi"/>
          <w:sz w:val="24"/>
          <w:szCs w:val="24"/>
          <w:lang w:val="en-GB"/>
        </w:rPr>
        <w:t>nanoparticles,</w:t>
      </w:r>
      <w:r w:rsidRPr="00D12471">
        <w:rPr>
          <w:rFonts w:cstheme="minorHAnsi"/>
          <w:sz w:val="24"/>
          <w:szCs w:val="24"/>
          <w:lang w:val="en-GB"/>
        </w:rPr>
        <w:t xml:space="preserve"> the presence of dextran is evidenced by the detection of weak signals between 188-194 °C after the subsequent protein melting at 176 °C. In addition, the displacement at higher temperatures of the protein melting in the dextran-coated nanoparticles may be associated to HSA-DEX interaction.</w:t>
      </w:r>
    </w:p>
    <w:p w14:paraId="7AD65C0E" w14:textId="77777777" w:rsidR="00211B25" w:rsidRPr="00D12471" w:rsidRDefault="00211B25" w:rsidP="00D12471">
      <w:pPr>
        <w:spacing w:after="0"/>
        <w:jc w:val="both"/>
        <w:rPr>
          <w:rFonts w:cstheme="minorHAnsi"/>
          <w:sz w:val="24"/>
          <w:szCs w:val="24"/>
          <w:lang w:val="en-GB"/>
        </w:rPr>
      </w:pPr>
    </w:p>
    <w:p w14:paraId="7AD65C0F" w14:textId="77777777" w:rsidR="00211B25" w:rsidRPr="00BB1AF1" w:rsidRDefault="00211B25" w:rsidP="00211B25">
      <w:pPr>
        <w:spacing w:after="0"/>
        <w:rPr>
          <w:rFonts w:cstheme="minorHAnsi"/>
          <w:szCs w:val="24"/>
        </w:rPr>
      </w:pPr>
      <w:r w:rsidRPr="00BB1AF1">
        <w:rPr>
          <w:rFonts w:cstheme="minorHAnsi"/>
          <w:noProof/>
          <w:szCs w:val="24"/>
          <w:lang w:eastAsia="es-ES"/>
        </w:rPr>
        <w:drawing>
          <wp:inline distT="0" distB="0" distL="0" distR="0" wp14:anchorId="7AD65C18" wp14:editId="7AD65C19">
            <wp:extent cx="4679199" cy="3618411"/>
            <wp:effectExtent l="0" t="0" r="7620" b="1270"/>
            <wp:docPr id="437995851" name="Imagen 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995851" name="Imagen 2" descr="Diagrama&#10;&#10;Descripción generada automáticamente"/>
                    <pic:cNvPicPr/>
                  </pic:nvPicPr>
                  <pic:blipFill rotWithShape="1">
                    <a:blip r:embed="rId7" cstate="print">
                      <a:extLst>
                        <a:ext uri="{28A0092B-C50C-407E-A947-70E740481C1C}">
                          <a14:useLocalDpi xmlns:a14="http://schemas.microsoft.com/office/drawing/2010/main" val="0"/>
                        </a:ext>
                      </a:extLst>
                    </a:blip>
                    <a:srcRect l="8317" t="6772" r="6992" b="5913"/>
                    <a:stretch/>
                  </pic:blipFill>
                  <pic:spPr bwMode="auto">
                    <a:xfrm>
                      <a:off x="0" y="0"/>
                      <a:ext cx="4680000" cy="3619031"/>
                    </a:xfrm>
                    <a:prstGeom prst="rect">
                      <a:avLst/>
                    </a:prstGeom>
                    <a:ln>
                      <a:noFill/>
                    </a:ln>
                    <a:extLst>
                      <a:ext uri="{53640926-AAD7-44D8-BBD7-CCE9431645EC}">
                        <a14:shadowObscured xmlns:a14="http://schemas.microsoft.com/office/drawing/2010/main"/>
                      </a:ext>
                    </a:extLst>
                  </pic:spPr>
                </pic:pic>
              </a:graphicData>
            </a:graphic>
          </wp:inline>
        </w:drawing>
      </w:r>
    </w:p>
    <w:p w14:paraId="7AD65C10" w14:textId="77777777" w:rsidR="00211B25" w:rsidRPr="00BB1AF1" w:rsidRDefault="00211B25" w:rsidP="00211B25">
      <w:pPr>
        <w:keepNext/>
        <w:spacing w:after="0"/>
        <w:rPr>
          <w:rFonts w:cstheme="minorHAnsi"/>
          <w:szCs w:val="24"/>
        </w:rPr>
      </w:pPr>
      <w:r w:rsidRPr="00BB1AF1">
        <w:rPr>
          <w:rFonts w:cstheme="minorHAnsi"/>
          <w:noProof/>
          <w:szCs w:val="24"/>
          <w:lang w:eastAsia="es-ES"/>
        </w:rPr>
        <w:lastRenderedPageBreak/>
        <w:drawing>
          <wp:inline distT="0" distB="0" distL="0" distR="0" wp14:anchorId="7AD65C1A" wp14:editId="7AD65C1B">
            <wp:extent cx="5148000" cy="3368456"/>
            <wp:effectExtent l="0" t="0" r="0" b="3810"/>
            <wp:docPr id="2043573770"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573770" name="Imagen 3" descr="Diagrama&#10;&#10;Descripción generada automáticamente"/>
                    <pic:cNvPicPr/>
                  </pic:nvPicPr>
                  <pic:blipFill rotWithShape="1">
                    <a:blip r:embed="rId8" cstate="print">
                      <a:extLst>
                        <a:ext uri="{28A0092B-C50C-407E-A947-70E740481C1C}">
                          <a14:useLocalDpi xmlns:a14="http://schemas.microsoft.com/office/drawing/2010/main" val="0"/>
                        </a:ext>
                      </a:extLst>
                    </a:blip>
                    <a:srcRect l="-446" t="3111" b="9262"/>
                    <a:stretch/>
                  </pic:blipFill>
                  <pic:spPr bwMode="auto">
                    <a:xfrm>
                      <a:off x="0" y="0"/>
                      <a:ext cx="5148000" cy="3368456"/>
                    </a:xfrm>
                    <a:prstGeom prst="rect">
                      <a:avLst/>
                    </a:prstGeom>
                    <a:ln>
                      <a:noFill/>
                    </a:ln>
                    <a:extLst>
                      <a:ext uri="{53640926-AAD7-44D8-BBD7-CCE9431645EC}">
                        <a14:shadowObscured xmlns:a14="http://schemas.microsoft.com/office/drawing/2010/main"/>
                      </a:ext>
                    </a:extLst>
                  </pic:spPr>
                </pic:pic>
              </a:graphicData>
            </a:graphic>
          </wp:inline>
        </w:drawing>
      </w:r>
    </w:p>
    <w:p w14:paraId="7AD65C11" w14:textId="77777777" w:rsidR="00D12471" w:rsidRDefault="00D12471" w:rsidP="00211B25">
      <w:pPr>
        <w:pStyle w:val="Descripcin"/>
        <w:spacing w:after="0"/>
        <w:rPr>
          <w:rFonts w:asciiTheme="minorHAnsi" w:hAnsiTheme="minorHAnsi"/>
          <w:b/>
          <w:bCs w:val="0"/>
        </w:rPr>
      </w:pPr>
    </w:p>
    <w:p w14:paraId="7AD65C12" w14:textId="77777777" w:rsidR="00211B25" w:rsidRDefault="00D12471" w:rsidP="00211B25">
      <w:pPr>
        <w:pStyle w:val="Descripcin"/>
        <w:spacing w:after="0"/>
        <w:rPr>
          <w:rFonts w:asciiTheme="minorHAnsi" w:hAnsiTheme="minorHAnsi"/>
        </w:rPr>
      </w:pPr>
      <w:r w:rsidRPr="005E31C4">
        <w:rPr>
          <w:rFonts w:asciiTheme="minorHAnsi" w:hAnsiTheme="minorHAnsi"/>
          <w:b/>
        </w:rPr>
        <w:t xml:space="preserve">Figure </w:t>
      </w:r>
      <w:r w:rsidR="00EC6AA1" w:rsidRPr="005E31C4">
        <w:rPr>
          <w:rFonts w:asciiTheme="minorHAnsi" w:hAnsiTheme="minorHAnsi"/>
          <w:b/>
        </w:rPr>
        <w:t>3</w:t>
      </w:r>
      <w:r w:rsidRPr="005E31C4">
        <w:rPr>
          <w:rFonts w:asciiTheme="minorHAnsi" w:hAnsiTheme="minorHAnsi"/>
          <w:b/>
        </w:rPr>
        <w:t>S.</w:t>
      </w:r>
      <w:r w:rsidR="00211B25" w:rsidRPr="005B5EED">
        <w:rPr>
          <w:rFonts w:asciiTheme="minorHAnsi" w:hAnsiTheme="minorHAnsi"/>
        </w:rPr>
        <w:t xml:space="preserve"> (A) FTIR spectra of HSA, dextran and DEX-coated albumin nanoparticles (NP-</w:t>
      </w:r>
      <w:r w:rsidR="00211B25" w:rsidRPr="00BB1AF1">
        <w:rPr>
          <w:rFonts w:asciiTheme="minorHAnsi" w:hAnsiTheme="minorHAnsi"/>
        </w:rPr>
        <w:t>DEX50). Dashed lines correspond to amide I of albumin (1655 cm</w:t>
      </w:r>
      <w:r w:rsidR="00211B25" w:rsidRPr="00BB1AF1">
        <w:rPr>
          <w:rFonts w:asciiTheme="minorHAnsi" w:hAnsiTheme="minorHAnsi"/>
          <w:vertAlign w:val="superscript"/>
        </w:rPr>
        <w:t>-1</w:t>
      </w:r>
      <w:r w:rsidR="00211B25" w:rsidRPr="00BB1AF1">
        <w:rPr>
          <w:rFonts w:asciiTheme="minorHAnsi" w:hAnsiTheme="minorHAnsi"/>
        </w:rPr>
        <w:t>) and the DEX characteristics bands C=O (1640 cm</w:t>
      </w:r>
      <w:r w:rsidR="00211B25" w:rsidRPr="00BB1AF1">
        <w:rPr>
          <w:rFonts w:asciiTheme="minorHAnsi" w:hAnsiTheme="minorHAnsi"/>
          <w:vertAlign w:val="superscript"/>
        </w:rPr>
        <w:t>-1</w:t>
      </w:r>
      <w:r w:rsidR="00211B25" w:rsidRPr="00BB1AF1">
        <w:rPr>
          <w:rFonts w:asciiTheme="minorHAnsi" w:hAnsiTheme="minorHAnsi"/>
        </w:rPr>
        <w:t>), C-O band (1103 cm</w:t>
      </w:r>
      <w:r w:rsidR="00211B25" w:rsidRPr="00BB1AF1">
        <w:rPr>
          <w:rFonts w:asciiTheme="minorHAnsi" w:hAnsiTheme="minorHAnsi"/>
          <w:vertAlign w:val="superscript"/>
        </w:rPr>
        <w:t>-1</w:t>
      </w:r>
      <w:r w:rsidR="00211B25" w:rsidRPr="00BB1AF1">
        <w:rPr>
          <w:rFonts w:asciiTheme="minorHAnsi" w:hAnsiTheme="minorHAnsi"/>
        </w:rPr>
        <w:t>) and the α-glycosidic bond (1000 and 914 cm-</w:t>
      </w:r>
      <w:r w:rsidR="00211B25" w:rsidRPr="00BB1AF1">
        <w:rPr>
          <w:rFonts w:asciiTheme="minorHAnsi" w:hAnsiTheme="minorHAnsi"/>
          <w:vertAlign w:val="superscript"/>
        </w:rPr>
        <w:t>1</w:t>
      </w:r>
      <w:r w:rsidR="00211B25" w:rsidRPr="00BB1AF1">
        <w:rPr>
          <w:rFonts w:asciiTheme="minorHAnsi" w:hAnsiTheme="minorHAnsi"/>
        </w:rPr>
        <w:t>). (B) DSC curves of HSA, dextran, physical mixture of albumin and dextran, and DEX-coated albumin nanoparticles (NP-DEX50).</w:t>
      </w:r>
    </w:p>
    <w:p w14:paraId="7AD65C13" w14:textId="77777777" w:rsidR="00211B25" w:rsidRPr="00BB1AF1" w:rsidRDefault="00211B25" w:rsidP="00211B25">
      <w:pPr>
        <w:rPr>
          <w:b/>
          <w:lang w:val="en-US"/>
        </w:rPr>
      </w:pPr>
    </w:p>
    <w:sectPr w:rsidR="00211B25" w:rsidRPr="00BB1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altName w:val="Courier New"/>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3132AF"/>
    <w:multiLevelType w:val="multilevel"/>
    <w:tmpl w:val="70B0A210"/>
    <w:lvl w:ilvl="0">
      <w:start w:val="1"/>
      <w:numFmt w:val="none"/>
      <w:pStyle w:val="Ttulo1"/>
      <w:lvlText w:val=""/>
      <w:lvlJc w:val="left"/>
      <w:pPr>
        <w:ind w:left="360" w:hanging="360"/>
      </w:pPr>
      <w:rPr>
        <w:rFonts w:hint="default"/>
      </w:rPr>
    </w:lvl>
    <w:lvl w:ilvl="1">
      <w:start w:val="1"/>
      <w:numFmt w:val="decimal"/>
      <w:pStyle w:val="Ttulo2"/>
      <w:lvlText w:val="%2."/>
      <w:lvlJc w:val="left"/>
      <w:pPr>
        <w:ind w:left="5039" w:hanging="360"/>
      </w:pPr>
      <w:rPr>
        <w:rFonts w:hint="default"/>
      </w:rPr>
    </w:lvl>
    <w:lvl w:ilvl="2">
      <w:start w:val="1"/>
      <w:numFmt w:val="decimal"/>
      <w:pStyle w:val="Ttulo3"/>
      <w:lvlText w:val="%2.%3"/>
      <w:lvlJc w:val="left"/>
      <w:pPr>
        <w:ind w:left="1080" w:hanging="360"/>
      </w:pPr>
    </w:lvl>
    <w:lvl w:ilvl="3">
      <w:start w:val="1"/>
      <w:numFmt w:val="decimal"/>
      <w:pStyle w:val="Ttulo4"/>
      <w:lvlText w:val="%2.%3.%4"/>
      <w:lvlJc w:val="left"/>
      <w:pPr>
        <w:ind w:left="1440" w:hanging="360"/>
      </w:pPr>
      <w:rPr>
        <w:rFonts w:hint="default"/>
      </w:rPr>
    </w:lvl>
    <w:lvl w:ilvl="4">
      <w:start w:val="1"/>
      <w:numFmt w:val="decimal"/>
      <w:pStyle w:val="Ttulo5"/>
      <w:lvlText w:val="%2.%3.%4.%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788"/>
    <w:rsid w:val="001C3506"/>
    <w:rsid w:val="00211B25"/>
    <w:rsid w:val="00383F7E"/>
    <w:rsid w:val="003D562A"/>
    <w:rsid w:val="005B5EED"/>
    <w:rsid w:val="005E0C14"/>
    <w:rsid w:val="005E31C4"/>
    <w:rsid w:val="006C5C15"/>
    <w:rsid w:val="0074748D"/>
    <w:rsid w:val="00771758"/>
    <w:rsid w:val="007F09A0"/>
    <w:rsid w:val="00887526"/>
    <w:rsid w:val="008F1718"/>
    <w:rsid w:val="00A45B34"/>
    <w:rsid w:val="00B41788"/>
    <w:rsid w:val="00BE6870"/>
    <w:rsid w:val="00BE7F5D"/>
    <w:rsid w:val="00C63B56"/>
    <w:rsid w:val="00D12471"/>
    <w:rsid w:val="00DD5762"/>
    <w:rsid w:val="00E94AF4"/>
    <w:rsid w:val="00EC6AA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65BCB"/>
  <w15:chartTrackingRefBased/>
  <w15:docId w15:val="{1642E799-3C5F-4769-BE11-8F916AE7C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aliases w:val="CHAPTER"/>
    <w:basedOn w:val="Normal"/>
    <w:next w:val="Normal"/>
    <w:link w:val="Ttulo1Car"/>
    <w:uiPriority w:val="9"/>
    <w:qFormat/>
    <w:rsid w:val="00B41788"/>
    <w:pPr>
      <w:numPr>
        <w:numId w:val="1"/>
      </w:numPr>
      <w:spacing w:before="4560" w:after="0" w:line="240" w:lineRule="auto"/>
      <w:ind w:left="357" w:hanging="357"/>
      <w:jc w:val="right"/>
      <w:outlineLvl w:val="0"/>
    </w:pPr>
    <w:rPr>
      <w:rFonts w:ascii="Montserrat" w:eastAsia="Calibri" w:hAnsi="Montserrat" w:cs="Times New Roman"/>
      <w:sz w:val="56"/>
      <w:szCs w:val="56"/>
      <w:lang w:val="en-GB"/>
      <w14:ligatures w14:val="standardContextual"/>
    </w:rPr>
  </w:style>
  <w:style w:type="paragraph" w:styleId="Ttulo2">
    <w:name w:val="heading 2"/>
    <w:basedOn w:val="Normal"/>
    <w:next w:val="Normal"/>
    <w:link w:val="Ttulo2Car"/>
    <w:uiPriority w:val="9"/>
    <w:unhideWhenUsed/>
    <w:qFormat/>
    <w:rsid w:val="00B41788"/>
    <w:pPr>
      <w:numPr>
        <w:ilvl w:val="1"/>
        <w:numId w:val="1"/>
      </w:numPr>
      <w:tabs>
        <w:tab w:val="left" w:pos="426"/>
      </w:tabs>
      <w:spacing w:before="240" w:after="240" w:line="240" w:lineRule="auto"/>
      <w:ind w:left="426" w:hanging="426"/>
      <w:contextualSpacing/>
      <w:jc w:val="both"/>
      <w:outlineLvl w:val="1"/>
    </w:pPr>
    <w:rPr>
      <w:rFonts w:ascii="Times New Roman" w:eastAsia="Calibri" w:hAnsi="Times New Roman" w:cs="Times New Roman"/>
      <w:b/>
      <w:bCs/>
      <w:sz w:val="24"/>
      <w:szCs w:val="24"/>
      <w:lang w:val="en-GB"/>
      <w14:ligatures w14:val="standardContextual"/>
    </w:rPr>
  </w:style>
  <w:style w:type="paragraph" w:styleId="Ttulo3">
    <w:name w:val="heading 3"/>
    <w:basedOn w:val="Normal"/>
    <w:next w:val="Normal"/>
    <w:link w:val="Ttulo3Car"/>
    <w:uiPriority w:val="9"/>
    <w:unhideWhenUsed/>
    <w:qFormat/>
    <w:rsid w:val="00B41788"/>
    <w:pPr>
      <w:numPr>
        <w:ilvl w:val="2"/>
        <w:numId w:val="1"/>
      </w:numPr>
      <w:tabs>
        <w:tab w:val="left" w:pos="284"/>
      </w:tabs>
      <w:spacing w:before="120" w:after="120" w:line="240" w:lineRule="auto"/>
      <w:ind w:left="567" w:hanging="567"/>
      <w:contextualSpacing/>
      <w:jc w:val="both"/>
      <w:outlineLvl w:val="2"/>
    </w:pPr>
    <w:rPr>
      <w:rFonts w:ascii="Times New Roman" w:eastAsia="Calibri" w:hAnsi="Times New Roman" w:cs="Times New Roman"/>
      <w:sz w:val="24"/>
      <w:szCs w:val="24"/>
      <w:lang w:val="en-GB"/>
      <w14:ligatures w14:val="standardContextual"/>
    </w:rPr>
  </w:style>
  <w:style w:type="paragraph" w:styleId="Ttulo4">
    <w:name w:val="heading 4"/>
    <w:basedOn w:val="Normal"/>
    <w:next w:val="Normal"/>
    <w:link w:val="Ttulo4Car"/>
    <w:uiPriority w:val="9"/>
    <w:unhideWhenUsed/>
    <w:qFormat/>
    <w:rsid w:val="00B41788"/>
    <w:pPr>
      <w:numPr>
        <w:ilvl w:val="3"/>
        <w:numId w:val="1"/>
      </w:numPr>
      <w:tabs>
        <w:tab w:val="left" w:pos="851"/>
      </w:tabs>
      <w:spacing w:before="120" w:after="80"/>
      <w:ind w:left="851" w:hanging="851"/>
      <w:jc w:val="both"/>
      <w:outlineLvl w:val="3"/>
    </w:pPr>
    <w:rPr>
      <w:rFonts w:ascii="Times New Roman" w:eastAsia="Calibri" w:hAnsi="Times New Roman" w:cs="Times New Roman"/>
      <w:iCs/>
      <w:sz w:val="24"/>
      <w:szCs w:val="24"/>
      <w:lang w:val="en-GB"/>
      <w14:ligatures w14:val="standardContextual"/>
    </w:rPr>
  </w:style>
  <w:style w:type="paragraph" w:styleId="Ttulo5">
    <w:name w:val="heading 5"/>
    <w:basedOn w:val="Ttulo4"/>
    <w:next w:val="Normal"/>
    <w:link w:val="Ttulo5Car"/>
    <w:uiPriority w:val="9"/>
    <w:unhideWhenUsed/>
    <w:qFormat/>
    <w:rsid w:val="00B41788"/>
    <w:pPr>
      <w:numPr>
        <w:ilvl w:val="4"/>
      </w:numPr>
      <w:ind w:left="851" w:hanging="851"/>
      <w:outlineLvl w:val="4"/>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HAPTER Car"/>
    <w:basedOn w:val="Fuentedeprrafopredeter"/>
    <w:link w:val="Ttulo1"/>
    <w:uiPriority w:val="9"/>
    <w:rsid w:val="00B41788"/>
    <w:rPr>
      <w:rFonts w:ascii="Montserrat" w:eastAsia="Calibri" w:hAnsi="Montserrat" w:cs="Times New Roman"/>
      <w:sz w:val="56"/>
      <w:szCs w:val="56"/>
      <w:lang w:val="en-GB"/>
      <w14:ligatures w14:val="standardContextual"/>
    </w:rPr>
  </w:style>
  <w:style w:type="character" w:customStyle="1" w:styleId="Ttulo2Car">
    <w:name w:val="Título 2 Car"/>
    <w:basedOn w:val="Fuentedeprrafopredeter"/>
    <w:link w:val="Ttulo2"/>
    <w:uiPriority w:val="9"/>
    <w:rsid w:val="00B41788"/>
    <w:rPr>
      <w:rFonts w:ascii="Times New Roman" w:eastAsia="Calibri" w:hAnsi="Times New Roman" w:cs="Times New Roman"/>
      <w:b/>
      <w:bCs/>
      <w:sz w:val="24"/>
      <w:szCs w:val="24"/>
      <w:lang w:val="en-GB"/>
      <w14:ligatures w14:val="standardContextual"/>
    </w:rPr>
  </w:style>
  <w:style w:type="character" w:customStyle="1" w:styleId="Ttulo3Car">
    <w:name w:val="Título 3 Car"/>
    <w:basedOn w:val="Fuentedeprrafopredeter"/>
    <w:link w:val="Ttulo3"/>
    <w:uiPriority w:val="9"/>
    <w:rsid w:val="00B41788"/>
    <w:rPr>
      <w:rFonts w:ascii="Times New Roman" w:eastAsia="Calibri" w:hAnsi="Times New Roman" w:cs="Times New Roman"/>
      <w:sz w:val="24"/>
      <w:szCs w:val="24"/>
      <w:lang w:val="en-GB"/>
      <w14:ligatures w14:val="standardContextual"/>
    </w:rPr>
  </w:style>
  <w:style w:type="character" w:customStyle="1" w:styleId="Ttulo4Car">
    <w:name w:val="Título 4 Car"/>
    <w:basedOn w:val="Fuentedeprrafopredeter"/>
    <w:link w:val="Ttulo4"/>
    <w:uiPriority w:val="9"/>
    <w:rsid w:val="00B41788"/>
    <w:rPr>
      <w:rFonts w:ascii="Times New Roman" w:eastAsia="Calibri" w:hAnsi="Times New Roman" w:cs="Times New Roman"/>
      <w:iCs/>
      <w:sz w:val="24"/>
      <w:szCs w:val="24"/>
      <w:lang w:val="en-GB"/>
      <w14:ligatures w14:val="standardContextual"/>
    </w:rPr>
  </w:style>
  <w:style w:type="character" w:customStyle="1" w:styleId="Ttulo5Car">
    <w:name w:val="Título 5 Car"/>
    <w:basedOn w:val="Fuentedeprrafopredeter"/>
    <w:link w:val="Ttulo5"/>
    <w:uiPriority w:val="9"/>
    <w:rsid w:val="00B41788"/>
    <w:rPr>
      <w:rFonts w:ascii="Times New Roman" w:eastAsia="Calibri" w:hAnsi="Times New Roman" w:cs="Times New Roman"/>
      <w:iCs/>
      <w:sz w:val="24"/>
      <w:szCs w:val="24"/>
      <w:lang w:val="en-GB"/>
      <w14:ligatures w14:val="standardContextual"/>
    </w:rPr>
  </w:style>
  <w:style w:type="paragraph" w:styleId="Descripcin">
    <w:name w:val="caption"/>
    <w:basedOn w:val="Normal"/>
    <w:next w:val="Normal"/>
    <w:uiPriority w:val="35"/>
    <w:unhideWhenUsed/>
    <w:qFormat/>
    <w:rsid w:val="00211B25"/>
    <w:pPr>
      <w:spacing w:after="200" w:line="240" w:lineRule="auto"/>
      <w:jc w:val="both"/>
    </w:pPr>
    <w:rPr>
      <w:rFonts w:ascii="Times New Roman" w:eastAsia="SimSun" w:hAnsi="Times New Roman" w:cstheme="minorHAnsi"/>
      <w:bCs/>
      <w:sz w:val="24"/>
      <w:szCs w:val="24"/>
      <w:lang w:val="en-US"/>
      <w14:ligatures w14:val="standardContextual"/>
    </w:rPr>
  </w:style>
  <w:style w:type="table" w:styleId="Tablaconcuadrcula">
    <w:name w:val="Table Grid"/>
    <w:basedOn w:val="Tablanormal"/>
    <w:uiPriority w:val="39"/>
    <w:rsid w:val="00211B25"/>
    <w:pPr>
      <w:spacing w:after="0" w:line="240" w:lineRule="auto"/>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elltext">
    <w:name w:val="Cell text"/>
    <w:basedOn w:val="Normal"/>
    <w:qFormat/>
    <w:rsid w:val="00211B25"/>
    <w:pPr>
      <w:spacing w:after="20" w:line="240" w:lineRule="auto"/>
      <w:ind w:left="57" w:right="57"/>
      <w:jc w:val="center"/>
    </w:pPr>
    <w:rPr>
      <w:rFonts w:ascii="Times New Roman" w:hAnsi="Times New Roman" w:cs="Times New Roman"/>
      <w:sz w:val="20"/>
      <w:lang w:val="en-US"/>
      <w14:ligatures w14:val="standardContextual"/>
    </w:rPr>
  </w:style>
  <w:style w:type="paragraph" w:styleId="Textodeglobo">
    <w:name w:val="Balloon Text"/>
    <w:basedOn w:val="Normal"/>
    <w:link w:val="TextodegloboCar"/>
    <w:uiPriority w:val="99"/>
    <w:semiHidden/>
    <w:unhideWhenUsed/>
    <w:rsid w:val="007F09A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09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1187</Words>
  <Characters>6533</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Universidad de Navarra</Company>
  <LinksUpToDate>false</LinksUpToDate>
  <CharactersWithSpaces>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 Irache Garreta</dc:creator>
  <cp:keywords/>
  <dc:description/>
  <cp:lastModifiedBy>Juan Manuel Irache Garreta</cp:lastModifiedBy>
  <cp:revision>2</cp:revision>
  <cp:lastPrinted>2024-02-23T16:45:00Z</cp:lastPrinted>
  <dcterms:created xsi:type="dcterms:W3CDTF">2024-08-07T08:36:00Z</dcterms:created>
  <dcterms:modified xsi:type="dcterms:W3CDTF">2024-08-07T08:36:00Z</dcterms:modified>
</cp:coreProperties>
</file>