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37AA75" w14:textId="77777777" w:rsidR="00166499" w:rsidRDefault="00166499" w:rsidP="00166499">
      <w:pPr>
        <w:spacing w:line="276" w:lineRule="auto"/>
        <w:rPr>
          <w:sz w:val="24"/>
          <w:szCs w:val="24"/>
        </w:rPr>
      </w:pPr>
    </w:p>
    <w:p w14:paraId="12930D58" w14:textId="77777777" w:rsidR="00166499" w:rsidRDefault="00166499" w:rsidP="00166499">
      <w:pPr>
        <w:spacing w:line="276" w:lineRule="auto"/>
        <w:jc w:val="left"/>
        <w:rPr>
          <w:b/>
          <w:bCs/>
          <w:sz w:val="24"/>
          <w:szCs w:val="24"/>
        </w:rPr>
      </w:pPr>
      <w:r>
        <w:rPr>
          <w:b/>
          <w:bCs/>
          <w:color w:val="000000"/>
          <w:sz w:val="20"/>
          <w:szCs w:val="20"/>
          <w:bdr w:val="none" w:sz="0" w:space="0" w:color="auto" w:frame="1"/>
        </w:rPr>
        <w:fldChar w:fldCharType="begin"/>
      </w:r>
      <w:r>
        <w:rPr>
          <w:b/>
          <w:bCs/>
          <w:color w:val="000000"/>
          <w:sz w:val="20"/>
          <w:szCs w:val="20"/>
          <w:bdr w:val="none" w:sz="0" w:space="0" w:color="auto" w:frame="1"/>
        </w:rPr>
        <w:instrText xml:space="preserve"> INCLUDEPICTURE "https://lh7-rt.googleusercontent.com/docsz/AD_4nXeVAI0xH0fzSGNBTR-xsS8w3lujYQbD6qNr42nH8rz3cNhcCtzEoeLb4zOFN9M4QjVWYSG4PtVvhFl3FSt0HRq61KG2v6W4vmoFLcnt5hFleb3ftTzYNAUp16FXlzagHhy4EdxQQMe0VYkUqDIP8z6HTN2O?key=JxuuFyd2WcRejTZgNHIUWw" \* MERGEFORMATINET </w:instrText>
      </w:r>
      <w:r>
        <w:rPr>
          <w:b/>
          <w:bCs/>
          <w:color w:val="000000"/>
          <w:sz w:val="20"/>
          <w:szCs w:val="20"/>
          <w:bdr w:val="none" w:sz="0" w:space="0" w:color="auto" w:frame="1"/>
        </w:rPr>
        <w:fldChar w:fldCharType="separate"/>
      </w:r>
      <w:r>
        <w:rPr>
          <w:b/>
          <w:bCs/>
          <w:noProof/>
          <w:color w:val="000000"/>
          <w:sz w:val="20"/>
          <w:szCs w:val="20"/>
          <w:bdr w:val="none" w:sz="0" w:space="0" w:color="auto" w:frame="1"/>
        </w:rPr>
        <w:drawing>
          <wp:inline distT="0" distB="0" distL="0" distR="0" wp14:anchorId="77D7C14A" wp14:editId="2B1F3895">
            <wp:extent cx="5943600" cy="3687445"/>
            <wp:effectExtent l="0" t="0" r="0" b="0"/>
            <wp:docPr id="468589115" name="Picture 2" descr="A picture containing text, screensh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 picture containing text, screensho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8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color w:val="000000"/>
          <w:sz w:val="20"/>
          <w:szCs w:val="20"/>
          <w:bdr w:val="none" w:sz="0" w:space="0" w:color="auto" w:frame="1"/>
        </w:rPr>
        <w:fldChar w:fldCharType="end"/>
      </w:r>
    </w:p>
    <w:p w14:paraId="2E739D58" w14:textId="77777777" w:rsidR="00166499" w:rsidRPr="00767AB2" w:rsidRDefault="00166499" w:rsidP="00166499">
      <w:pPr>
        <w:spacing w:line="276" w:lineRule="auto"/>
        <w:jc w:val="lef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Extended Data Fig. 1: </w:t>
      </w:r>
      <w:r w:rsidRPr="00767AB2">
        <w:rPr>
          <w:sz w:val="24"/>
          <w:szCs w:val="24"/>
        </w:rPr>
        <w:t>Example photos of community formation between 15- and 21-hours using methylene blue indicator. The ‘Example of Band’ image was taken after 21 hours in the absence of methylene blue indicator to improve image clarity.</w:t>
      </w:r>
      <w:r>
        <w:rPr>
          <w:sz w:val="24"/>
          <w:szCs w:val="24"/>
        </w:rPr>
        <w:br w:type="page"/>
      </w:r>
    </w:p>
    <w:p w14:paraId="24681189" w14:textId="77777777" w:rsidR="00166499" w:rsidRDefault="00166499" w:rsidP="00166499">
      <w:pPr>
        <w:rPr>
          <w:sz w:val="24"/>
          <w:szCs w:val="24"/>
        </w:rPr>
      </w:pPr>
    </w:p>
    <w:p w14:paraId="47758312" w14:textId="77777777" w:rsidR="00166499" w:rsidRDefault="00166499" w:rsidP="00166499">
      <w:pPr>
        <w:spacing w:line="276" w:lineRule="auto"/>
        <w:jc w:val="left"/>
        <w:rPr>
          <w:b/>
          <w:bCs/>
          <w:sz w:val="24"/>
          <w:szCs w:val="24"/>
        </w:rPr>
      </w:pPr>
      <w:r>
        <w:rPr>
          <w:color w:val="000000"/>
          <w:bdr w:val="none" w:sz="0" w:space="0" w:color="auto" w:frame="1"/>
        </w:rPr>
        <w:fldChar w:fldCharType="begin"/>
      </w:r>
      <w:r>
        <w:rPr>
          <w:color w:val="000000"/>
          <w:bdr w:val="none" w:sz="0" w:space="0" w:color="auto" w:frame="1"/>
        </w:rPr>
        <w:instrText xml:space="preserve"> INCLUDEPICTURE "https://lh7-rt.googleusercontent.com/docsz/AD_4nXcFLycsC8lTjcPsPwD93-veFMbwsoBiXpkliSz8KT9H-VOaiBnwuQw8UApk7azi5vDmNX3-3LmlEgPFPTU8gAqGs418QkSX4GsnlH3HaZ8E2Kw0I2TQeZEq1ea5jP9WuhkYm6f6QNy6qGtXm0N_cbEypCyX?key=JxuuFyd2WcRejTZgNHIUWw" \* MERGEFORMATINET </w:instrText>
      </w:r>
      <w:r>
        <w:rPr>
          <w:color w:val="000000"/>
          <w:bdr w:val="none" w:sz="0" w:space="0" w:color="auto" w:frame="1"/>
        </w:rPr>
        <w:fldChar w:fldCharType="separate"/>
      </w:r>
      <w:r>
        <w:rPr>
          <w:noProof/>
          <w:color w:val="000000"/>
          <w:bdr w:val="none" w:sz="0" w:space="0" w:color="auto" w:frame="1"/>
        </w:rPr>
        <w:drawing>
          <wp:inline distT="0" distB="0" distL="0" distR="0" wp14:anchorId="67CA79FA" wp14:editId="5DB66175">
            <wp:extent cx="3822970" cy="2968477"/>
            <wp:effectExtent l="0" t="0" r="0" b="3810"/>
            <wp:docPr id="362994439" name="Picture 1" descr="A graph of different colored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994439" name="Picture 1" descr="A graph of different colored lin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0082"/>
                    <a:stretch/>
                  </pic:blipFill>
                  <pic:spPr bwMode="auto">
                    <a:xfrm>
                      <a:off x="0" y="0"/>
                      <a:ext cx="3852427" cy="299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color w:val="000000"/>
          <w:bdr w:val="none" w:sz="0" w:space="0" w:color="auto" w:frame="1"/>
        </w:rPr>
        <w:fldChar w:fldCharType="end"/>
      </w:r>
    </w:p>
    <w:p w14:paraId="02321C44" w14:textId="77777777" w:rsidR="00166499" w:rsidRPr="00F23EF4" w:rsidRDefault="00166499" w:rsidP="00166499">
      <w:pPr>
        <w:spacing w:line="276" w:lineRule="auto"/>
        <w:jc w:val="left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Extended Data Fig. 2: </w:t>
      </w:r>
      <w:r w:rsidRPr="00177700">
        <w:rPr>
          <w:sz w:val="24"/>
          <w:szCs w:val="24"/>
        </w:rPr>
        <w:t xml:space="preserve">Flow cytometry quantified bacterial and viral populations during community formation and migration. </w:t>
      </w:r>
      <w:r>
        <w:rPr>
          <w:b/>
          <w:bCs/>
          <w:sz w:val="24"/>
          <w:szCs w:val="24"/>
        </w:rPr>
        <w:t>a,</w:t>
      </w:r>
      <w:r w:rsidRPr="00177700">
        <w:rPr>
          <w:sz w:val="24"/>
          <w:szCs w:val="24"/>
        </w:rPr>
        <w:t xml:space="preserve"> Population abundances of the bacterial and viral community during band formation. The virus-to-microbe ratio (VMR) shows the viral abundance divided by the bacterial abundance. Stars denote significant differences (P &lt; 0.05)</w:t>
      </w:r>
      <w:r>
        <w:rPr>
          <w:sz w:val="24"/>
          <w:szCs w:val="24"/>
        </w:rPr>
        <w:t xml:space="preserve">(Supplementary Table 10) </w:t>
      </w:r>
      <w:r w:rsidRPr="00177700">
        <w:rPr>
          <w:sz w:val="24"/>
          <w:szCs w:val="24"/>
        </w:rPr>
        <w:t>between timepoints using a two-way ANOVA for time and sewage replicated with Tukey post-hoc test</w:t>
      </w:r>
      <w:r>
        <w:rPr>
          <w:sz w:val="24"/>
          <w:szCs w:val="24"/>
        </w:rPr>
        <w:t xml:space="preserve">. </w:t>
      </w:r>
      <w:r>
        <w:rPr>
          <w:b/>
          <w:bCs/>
          <w:sz w:val="24"/>
          <w:szCs w:val="24"/>
        </w:rPr>
        <w:br w:type="page"/>
      </w:r>
    </w:p>
    <w:p w14:paraId="5772FE32" w14:textId="77777777" w:rsidR="00166499" w:rsidRDefault="00166499" w:rsidP="00166499">
      <w:pPr>
        <w:spacing w:line="276" w:lineRule="auto"/>
        <w:jc w:val="left"/>
        <w:rPr>
          <w:b/>
          <w:bCs/>
          <w:sz w:val="24"/>
          <w:szCs w:val="24"/>
        </w:rPr>
      </w:pPr>
      <w:r>
        <w:rPr>
          <w:color w:val="000000"/>
          <w:sz w:val="20"/>
          <w:szCs w:val="20"/>
          <w:bdr w:val="none" w:sz="0" w:space="0" w:color="auto" w:frame="1"/>
        </w:rPr>
        <w:lastRenderedPageBreak/>
        <w:fldChar w:fldCharType="begin"/>
      </w:r>
      <w:r>
        <w:rPr>
          <w:color w:val="000000"/>
          <w:sz w:val="20"/>
          <w:szCs w:val="20"/>
          <w:bdr w:val="none" w:sz="0" w:space="0" w:color="auto" w:frame="1"/>
        </w:rPr>
        <w:instrText xml:space="preserve"> INCLUDEPICTURE "https://lh7-rt.googleusercontent.com/docsz/AD_4nXc3NAooeZYauJzB0ut2sUltbtC2am9pJSdygI9z7Q9EMMbgnr6C17GPUYLQQTY_N0GVWD6kBycpsrBuZmZIMOFvemXU_Jv0IuqsdHYNEK2jcdxtGbUrQ2PWT1cawWRfHa4HZxRwJsupBnTAIlVsLHVmE2ND?key=JxuuFyd2WcRejTZgNHIUWw" \* MERGEFORMATINET </w:instrText>
      </w:r>
      <w:r>
        <w:rPr>
          <w:color w:val="000000"/>
          <w:sz w:val="20"/>
          <w:szCs w:val="20"/>
          <w:bdr w:val="none" w:sz="0" w:space="0" w:color="auto" w:frame="1"/>
        </w:rPr>
        <w:fldChar w:fldCharType="separate"/>
      </w:r>
      <w:r>
        <w:rPr>
          <w:noProof/>
          <w:color w:val="000000"/>
          <w:sz w:val="20"/>
          <w:szCs w:val="20"/>
          <w:bdr w:val="none" w:sz="0" w:space="0" w:color="auto" w:frame="1"/>
        </w:rPr>
        <w:drawing>
          <wp:inline distT="0" distB="0" distL="0" distR="0" wp14:anchorId="38C5A616" wp14:editId="11817901">
            <wp:extent cx="5943600" cy="2974848"/>
            <wp:effectExtent l="0" t="0" r="0" b="0"/>
            <wp:docPr id="2124956472" name="Picture 3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hart, scatter char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688"/>
                    <a:stretch/>
                  </pic:blipFill>
                  <pic:spPr bwMode="auto">
                    <a:xfrm>
                      <a:off x="0" y="0"/>
                      <a:ext cx="5943600" cy="2974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color w:val="000000"/>
          <w:sz w:val="20"/>
          <w:szCs w:val="20"/>
          <w:bdr w:val="none" w:sz="0" w:space="0" w:color="auto" w:frame="1"/>
        </w:rPr>
        <w:fldChar w:fldCharType="end"/>
      </w:r>
    </w:p>
    <w:p w14:paraId="718EA56C" w14:textId="77777777" w:rsidR="00166499" w:rsidRDefault="00166499" w:rsidP="00166499">
      <w:pPr>
        <w:spacing w:line="276" w:lineRule="auto"/>
        <w:jc w:val="left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Extended Data Fig. 3: </w:t>
      </w:r>
      <w:r w:rsidRPr="001D4FAD">
        <w:rPr>
          <w:sz w:val="24"/>
          <w:szCs w:val="24"/>
        </w:rPr>
        <w:t xml:space="preserve">PCoA of community formation samples. Data was square root transformed then used Bray-Curtis </w:t>
      </w:r>
      <w:r>
        <w:rPr>
          <w:sz w:val="24"/>
          <w:szCs w:val="24"/>
        </w:rPr>
        <w:t>dis</w:t>
      </w:r>
      <w:r w:rsidRPr="001D4FAD">
        <w:rPr>
          <w:sz w:val="24"/>
          <w:szCs w:val="24"/>
        </w:rPr>
        <w:t xml:space="preserve">similarity. Performing a </w:t>
      </w:r>
      <w:r>
        <w:rPr>
          <w:sz w:val="24"/>
          <w:szCs w:val="24"/>
        </w:rPr>
        <w:t>P</w:t>
      </w:r>
      <w:r w:rsidRPr="001D4FAD">
        <w:rPr>
          <w:sz w:val="24"/>
          <w:szCs w:val="24"/>
        </w:rPr>
        <w:t xml:space="preserve">earson correlation, the taxa with the highest </w:t>
      </w:r>
      <w:r>
        <w:rPr>
          <w:sz w:val="24"/>
          <w:szCs w:val="24"/>
        </w:rPr>
        <w:t>correlation</w:t>
      </w:r>
      <w:r w:rsidRPr="001D4FA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with </w:t>
      </w:r>
      <w:r w:rsidRPr="001D4FAD">
        <w:rPr>
          <w:sz w:val="24"/>
          <w:szCs w:val="24"/>
        </w:rPr>
        <w:t>PC</w:t>
      </w:r>
      <w:r>
        <w:rPr>
          <w:sz w:val="24"/>
          <w:szCs w:val="24"/>
        </w:rPr>
        <w:t>o</w:t>
      </w:r>
      <w:r w:rsidRPr="001D4FAD">
        <w:rPr>
          <w:sz w:val="24"/>
          <w:szCs w:val="24"/>
        </w:rPr>
        <w:t xml:space="preserve">1 are </w:t>
      </w:r>
      <w:r w:rsidRPr="001D4FAD">
        <w:rPr>
          <w:i/>
          <w:iCs/>
          <w:sz w:val="24"/>
          <w:szCs w:val="24"/>
        </w:rPr>
        <w:t>Blautia, Cloacibacterium, Roseburia, Faecalibacterium</w:t>
      </w:r>
      <w:r w:rsidRPr="001D4FAD">
        <w:rPr>
          <w:sz w:val="24"/>
          <w:szCs w:val="24"/>
        </w:rPr>
        <w:t xml:space="preserve">, and </w:t>
      </w:r>
      <w:r w:rsidRPr="001D4FAD">
        <w:rPr>
          <w:i/>
          <w:iCs/>
          <w:sz w:val="24"/>
          <w:szCs w:val="24"/>
        </w:rPr>
        <w:t>Bacteroides</w:t>
      </w:r>
      <w:r w:rsidRPr="001D4FAD">
        <w:rPr>
          <w:sz w:val="24"/>
          <w:szCs w:val="24"/>
        </w:rPr>
        <w:t xml:space="preserve"> with correlations of -0.960, -0.959, -0.957, -0.967, and -0.978 respectively. The taxa with the highest loading explaining P</w:t>
      </w:r>
      <w:r>
        <w:rPr>
          <w:sz w:val="24"/>
          <w:szCs w:val="24"/>
        </w:rPr>
        <w:t>Co</w:t>
      </w:r>
      <w:r w:rsidRPr="001D4FAD">
        <w:rPr>
          <w:sz w:val="24"/>
          <w:szCs w:val="24"/>
        </w:rPr>
        <w:t>2 are A</w:t>
      </w:r>
      <w:r w:rsidRPr="001D4FAD">
        <w:rPr>
          <w:i/>
          <w:iCs/>
          <w:sz w:val="24"/>
          <w:szCs w:val="24"/>
        </w:rPr>
        <w:t>eromonadaceae, Aeromonas, Shewanella</w:t>
      </w:r>
      <w:r w:rsidRPr="001D4FAD">
        <w:rPr>
          <w:sz w:val="24"/>
          <w:szCs w:val="24"/>
        </w:rPr>
        <w:t xml:space="preserve">, and </w:t>
      </w:r>
      <w:r w:rsidRPr="001D4FAD">
        <w:rPr>
          <w:i/>
          <w:iCs/>
          <w:sz w:val="24"/>
          <w:szCs w:val="24"/>
        </w:rPr>
        <w:t xml:space="preserve">Lactococcus </w:t>
      </w:r>
      <w:r w:rsidRPr="001D4FAD">
        <w:rPr>
          <w:sz w:val="24"/>
          <w:szCs w:val="24"/>
        </w:rPr>
        <w:t xml:space="preserve">with </w:t>
      </w:r>
      <w:r>
        <w:rPr>
          <w:sz w:val="24"/>
          <w:szCs w:val="24"/>
        </w:rPr>
        <w:t xml:space="preserve">Pearson </w:t>
      </w:r>
      <w:r w:rsidRPr="001D4FAD">
        <w:rPr>
          <w:sz w:val="24"/>
          <w:szCs w:val="24"/>
        </w:rPr>
        <w:t>correlations of -0.839, -0.786, -0.645 and 0.636 respectively.</w:t>
      </w:r>
    </w:p>
    <w:p w14:paraId="086D083D" w14:textId="77777777" w:rsidR="00166499" w:rsidRDefault="00166499" w:rsidP="00166499">
      <w:pPr>
        <w:spacing w:line="276" w:lineRule="auto"/>
        <w:jc w:val="left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2F0BDB21" wp14:editId="66C19C88">
            <wp:extent cx="4374490" cy="7290816"/>
            <wp:effectExtent l="0" t="0" r="0" b="0"/>
            <wp:docPr id="1028296498" name="Picture 5" descr="A group of graphs showing different types of dat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296498" name="Picture 5" descr="A group of graphs showing different types of data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2061" cy="7336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E1C421" w14:textId="77777777" w:rsidR="00166499" w:rsidRPr="009439C4" w:rsidRDefault="00166499" w:rsidP="00166499">
      <w:pPr>
        <w:spacing w:line="276" w:lineRule="auto"/>
        <w:jc w:val="left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Extended Data Fig. 4: </w:t>
      </w:r>
      <w:r>
        <w:rPr>
          <w:sz w:val="24"/>
          <w:szCs w:val="24"/>
        </w:rPr>
        <w:t xml:space="preserve">Rank abundance curves of bacterial taxa detected at the start (blue) and end (red) of one week of continual migration. Each plot denotes a separate sequenced tube. The rank for the communities for the end samples is retained in each plot. </w:t>
      </w:r>
    </w:p>
    <w:p w14:paraId="452E1A21" w14:textId="77777777" w:rsidR="00166499" w:rsidRPr="004272B3" w:rsidRDefault="00166499" w:rsidP="00166499">
      <w:pPr>
        <w:spacing w:line="276" w:lineRule="auto"/>
        <w:jc w:val="left"/>
        <w:rPr>
          <w:b/>
          <w:bCs/>
          <w:sz w:val="24"/>
          <w:szCs w:val="24"/>
        </w:rPr>
      </w:pPr>
      <w:r w:rsidRPr="00074F85">
        <w:rPr>
          <w:noProof/>
        </w:rPr>
        <w:lastRenderedPageBreak/>
        <w:t xml:space="preserve"> </w:t>
      </w:r>
      <w:r w:rsidRPr="00074F85">
        <w:rPr>
          <w:b/>
          <w:bCs/>
          <w:noProof/>
          <w:sz w:val="24"/>
          <w:szCs w:val="24"/>
        </w:rPr>
        <w:drawing>
          <wp:inline distT="0" distB="0" distL="0" distR="0" wp14:anchorId="285384C1" wp14:editId="7F071BCE">
            <wp:extent cx="5647121" cy="2959100"/>
            <wp:effectExtent l="0" t="0" r="4445" b="0"/>
            <wp:docPr id="811933102" name="Picture 1" descr="A diagram of a diagram with red and blue circl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1933102" name="Picture 1" descr="A diagram of a diagram with red and blue circles&#10;&#10;Description automatically generated"/>
                    <pic:cNvPicPr/>
                  </pic:nvPicPr>
                  <pic:blipFill rotWithShape="1">
                    <a:blip r:embed="rId8"/>
                    <a:srcRect l="968"/>
                    <a:stretch/>
                  </pic:blipFill>
                  <pic:spPr bwMode="auto">
                    <a:xfrm>
                      <a:off x="0" y="0"/>
                      <a:ext cx="5647121" cy="2959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AD2C4C" w14:textId="77777777" w:rsidR="00166499" w:rsidRDefault="00166499" w:rsidP="00166499">
      <w:pPr>
        <w:spacing w:line="276" w:lineRule="auto"/>
        <w:jc w:val="left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Extended Data Fig. 5: </w:t>
      </w:r>
      <w:r>
        <w:rPr>
          <w:sz w:val="24"/>
          <w:szCs w:val="24"/>
        </w:rPr>
        <w:t xml:space="preserve">Principal Coordinate Analysis of square root transformed, Bray-Curtis transformed profiles before (start) and after (end) long term community migration. </w:t>
      </w:r>
      <w:r w:rsidRPr="007C0A6F">
        <w:rPr>
          <w:b/>
          <w:bCs/>
          <w:sz w:val="24"/>
          <w:szCs w:val="24"/>
        </w:rPr>
        <w:t>a,</w:t>
      </w:r>
      <w:r>
        <w:rPr>
          <w:sz w:val="24"/>
          <w:szCs w:val="24"/>
        </w:rPr>
        <w:t xml:space="preserve"> Relative abundance of bacterial genera </w:t>
      </w:r>
      <w:r>
        <w:rPr>
          <w:b/>
          <w:bCs/>
          <w:sz w:val="24"/>
          <w:szCs w:val="24"/>
        </w:rPr>
        <w:t xml:space="preserve">b, </w:t>
      </w:r>
      <w:r>
        <w:rPr>
          <w:sz w:val="24"/>
          <w:szCs w:val="24"/>
        </w:rPr>
        <w:t>Relative abundance of viral species</w:t>
      </w:r>
      <w:r>
        <w:rPr>
          <w:b/>
          <w:bCs/>
          <w:sz w:val="24"/>
          <w:szCs w:val="24"/>
        </w:rPr>
        <w:t xml:space="preserve">. c, </w:t>
      </w:r>
      <w:r>
        <w:rPr>
          <w:sz w:val="24"/>
          <w:szCs w:val="24"/>
        </w:rPr>
        <w:t xml:space="preserve">Relative abundance of Level 3 SEED Subsystems </w:t>
      </w:r>
      <w:r>
        <w:rPr>
          <w:sz w:val="24"/>
          <w:szCs w:val="24"/>
        </w:rPr>
        <w:br w:type="page"/>
      </w:r>
    </w:p>
    <w:p w14:paraId="52891DF3" w14:textId="77777777" w:rsidR="00166499" w:rsidRPr="002F3B7E" w:rsidRDefault="00166499" w:rsidP="00166499">
      <w:pPr>
        <w:spacing w:line="276" w:lineRule="auto"/>
        <w:jc w:val="left"/>
        <w:rPr>
          <w:sz w:val="24"/>
          <w:szCs w:val="24"/>
        </w:rPr>
      </w:pPr>
      <w:r>
        <w:rPr>
          <w:color w:val="000000"/>
          <w:sz w:val="20"/>
          <w:szCs w:val="20"/>
          <w:bdr w:val="none" w:sz="0" w:space="0" w:color="auto" w:frame="1"/>
        </w:rPr>
        <w:lastRenderedPageBreak/>
        <w:fldChar w:fldCharType="begin"/>
      </w:r>
      <w:r>
        <w:rPr>
          <w:color w:val="000000"/>
          <w:sz w:val="20"/>
          <w:szCs w:val="20"/>
          <w:bdr w:val="none" w:sz="0" w:space="0" w:color="auto" w:frame="1"/>
        </w:rPr>
        <w:instrText xml:space="preserve"> INCLUDEPICTURE "https://lh7-rt.googleusercontent.com/docsz/AD_4nXc8SHEaUlSVKXckpPczpdOEA1tTOReDG_XkRJOfOTB9lbZLS3d7t1K8SsvJbb4j2IZBzPALyP0k0qZt5fP3GoRtROlzuw0ALPTeLUZeUfXaQv9DdR7M2v57Lzor7cSLXLd0uavPrcIHjZ87xsTDm2oU0mM?key=JxuuFyd2WcRejTZgNHIUWw" \* MERGEFORMATINET </w:instrText>
      </w:r>
      <w:r>
        <w:rPr>
          <w:color w:val="000000"/>
          <w:sz w:val="20"/>
          <w:szCs w:val="20"/>
          <w:bdr w:val="none" w:sz="0" w:space="0" w:color="auto" w:frame="1"/>
        </w:rPr>
        <w:fldChar w:fldCharType="separate"/>
      </w:r>
      <w:r>
        <w:rPr>
          <w:noProof/>
          <w:color w:val="000000"/>
          <w:sz w:val="20"/>
          <w:szCs w:val="20"/>
          <w:bdr w:val="none" w:sz="0" w:space="0" w:color="auto" w:frame="1"/>
        </w:rPr>
        <w:drawing>
          <wp:inline distT="0" distB="0" distL="0" distR="0" wp14:anchorId="769D859C" wp14:editId="4EC2BA2D">
            <wp:extent cx="5943600" cy="3109595"/>
            <wp:effectExtent l="0" t="0" r="0" b="1905"/>
            <wp:docPr id="1995649932" name="Picture 4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5649932" name="Picture 4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09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0"/>
          <w:szCs w:val="20"/>
          <w:bdr w:val="none" w:sz="0" w:space="0" w:color="auto" w:frame="1"/>
        </w:rPr>
        <w:fldChar w:fldCharType="end"/>
      </w:r>
    </w:p>
    <w:p w14:paraId="714ED1E9" w14:textId="77777777" w:rsidR="00166499" w:rsidRPr="00C70F07" w:rsidRDefault="00166499" w:rsidP="00166499">
      <w:pPr>
        <w:spacing w:line="276" w:lineRule="auto"/>
        <w:jc w:val="left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Extended Data Fig. 6: </w:t>
      </w:r>
      <w:r>
        <w:rPr>
          <w:sz w:val="24"/>
          <w:szCs w:val="24"/>
        </w:rPr>
        <w:t xml:space="preserve">Similarity of MAGs recovered from the community migration experiment. </w:t>
      </w:r>
      <w:r>
        <w:rPr>
          <w:b/>
          <w:bCs/>
          <w:sz w:val="24"/>
          <w:szCs w:val="24"/>
        </w:rPr>
        <w:t>a,</w:t>
      </w:r>
      <w:r w:rsidRPr="00996AD7">
        <w:rPr>
          <w:sz w:val="24"/>
          <w:szCs w:val="24"/>
        </w:rPr>
        <w:t xml:space="preserve"> Alignment coverage and </w:t>
      </w:r>
      <w:r>
        <w:rPr>
          <w:b/>
          <w:bCs/>
          <w:sz w:val="24"/>
          <w:szCs w:val="24"/>
        </w:rPr>
        <w:t>b,</w:t>
      </w:r>
      <w:r w:rsidRPr="00996AD7">
        <w:rPr>
          <w:sz w:val="24"/>
          <w:szCs w:val="24"/>
        </w:rPr>
        <w:t xml:space="preserve"> Percentage of identity calculated using pyani of high-quality MAGs generated from the residual community.</w:t>
      </w:r>
    </w:p>
    <w:p w14:paraId="0DD61497" w14:textId="77777777" w:rsidR="00755780" w:rsidRDefault="00755780"/>
    <w:sectPr w:rsidR="00755780" w:rsidSect="00166499">
      <w:pgSz w:w="12240" w:h="15840"/>
      <w:pgMar w:top="1440" w:right="1440" w:bottom="1440" w:left="1440" w:header="720" w:footer="720" w:gutter="0"/>
      <w:lnNumType w:countBy="1" w:restart="continuous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6499"/>
    <w:rsid w:val="00166499"/>
    <w:rsid w:val="00331A6B"/>
    <w:rsid w:val="00755780"/>
    <w:rsid w:val="00857596"/>
    <w:rsid w:val="00A56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0BD91"/>
  <w15:chartTrackingRefBased/>
  <w15:docId w15:val="{88545359-EB87-4A65-AB9A-95F784C82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6499"/>
    <w:pPr>
      <w:spacing w:after="0" w:line="240" w:lineRule="auto"/>
      <w:jc w:val="both"/>
    </w:pPr>
    <w:rPr>
      <w:rFonts w:ascii="Arial" w:eastAsia="Arial" w:hAnsi="Arial" w:cs="Arial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6499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6499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6499"/>
    <w:pPr>
      <w:keepNext/>
      <w:keepLines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6499"/>
    <w:pPr>
      <w:keepNext/>
      <w:keepLines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6499"/>
    <w:pPr>
      <w:keepNext/>
      <w:keepLines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6499"/>
    <w:pPr>
      <w:keepNext/>
      <w:keepLines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6499"/>
    <w:pPr>
      <w:keepNext/>
      <w:keepLines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6499"/>
    <w:pPr>
      <w:keepNext/>
      <w:keepLines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6499"/>
    <w:pPr>
      <w:keepNext/>
      <w:keepLines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64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64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64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649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649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64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64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64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64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6499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664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6499"/>
    <w:pPr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664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6499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664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6499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664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64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64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6499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1664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471</Words>
  <Characters>2688</Characters>
  <Application>Microsoft Office Word</Application>
  <DocSecurity>0</DocSecurity>
  <Lines>22</Lines>
  <Paragraphs>6</Paragraphs>
  <ScaleCrop>false</ScaleCrop>
  <Company>Springer Nature</Company>
  <LinksUpToDate>false</LinksUpToDate>
  <CharactersWithSpaces>3153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2024-09-18T08:45:00Z</dcterms:created>
  <dcterms:modified xsi:type="dcterms:W3CDTF">2024-09-18T08:45:00Z</dcterms:modified>
</cp:coreProperties>
</file>