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A463B8" w:rsidP="34826B08" w:rsidRDefault="58E1F8B2" w14:paraId="73129AFB" w14:textId="212B3292">
      <w:pPr>
        <w:spacing w:line="259" w:lineRule="auto"/>
        <w:jc w:val="center"/>
        <w:rPr>
          <w:rFonts w:ascii="Times New Roman" w:hAnsi="Times New Roman" w:eastAsia="Times New Roman" w:cs="Times New Roman"/>
          <w:b w:val="1"/>
          <w:bCs w:val="1"/>
          <w:color w:val="000000" w:themeColor="text1"/>
          <w:sz w:val="28"/>
          <w:szCs w:val="28"/>
        </w:rPr>
      </w:pPr>
      <w:r w:rsidRPr="7040CF34" w:rsidR="58E1F8B2">
        <w:rPr>
          <w:rFonts w:ascii="Times New Roman" w:hAnsi="Times New Roman" w:eastAsia="Times New Roman" w:cs="Times New Roman"/>
          <w:b w:val="1"/>
          <w:bCs w:val="1"/>
          <w:color w:val="000000" w:themeColor="text1" w:themeTint="FF" w:themeShade="FF"/>
          <w:sz w:val="28"/>
          <w:szCs w:val="28"/>
        </w:rPr>
        <w:t>Supplementary</w:t>
      </w:r>
      <w:r w:rsidRPr="7040CF34" w:rsidR="58E1F8B2">
        <w:rPr>
          <w:rFonts w:ascii="Times New Roman" w:hAnsi="Times New Roman" w:eastAsia="Times New Roman" w:cs="Times New Roman"/>
          <w:b w:val="1"/>
          <w:bCs w:val="1"/>
          <w:color w:val="000000" w:themeColor="text1" w:themeTint="FF" w:themeShade="FF"/>
          <w:sz w:val="28"/>
          <w:szCs w:val="28"/>
        </w:rPr>
        <w:t xml:space="preserve"> Information for </w:t>
      </w:r>
    </w:p>
    <w:p w:rsidR="45A9360C" w:rsidP="7040CF34" w:rsidRDefault="45A9360C" w14:paraId="6BDCD01A" w14:textId="6BA9FBAE">
      <w:pPr>
        <w:spacing w:after="160" w:line="259" w:lineRule="auto"/>
        <w:jc w:val="center"/>
        <w:rPr>
          <w:rFonts w:ascii="Times New Roman" w:hAnsi="Times New Roman" w:eastAsia="Times New Roman" w:cs="Times New Roman"/>
          <w:b w:val="0"/>
          <w:bCs w:val="0"/>
          <w:i w:val="0"/>
          <w:iCs w:val="0"/>
          <w:caps w:val="0"/>
          <w:smallCaps w:val="0"/>
          <w:noProof w:val="0"/>
          <w:color w:val="000000" w:themeColor="text1" w:themeTint="FF" w:themeShade="FF"/>
          <w:sz w:val="28"/>
          <w:szCs w:val="28"/>
          <w:lang w:val="en-US"/>
        </w:rPr>
      </w:pPr>
      <w:r w:rsidRPr="7040CF34" w:rsidR="45A9360C">
        <w:rPr>
          <w:rFonts w:ascii="Times New Roman" w:hAnsi="Times New Roman" w:eastAsia="Times New Roman" w:cs="Times New Roman"/>
          <w:b w:val="1"/>
          <w:bCs w:val="1"/>
          <w:i w:val="0"/>
          <w:iCs w:val="0"/>
          <w:caps w:val="0"/>
          <w:smallCaps w:val="0"/>
          <w:noProof w:val="0"/>
          <w:color w:val="000000" w:themeColor="text1" w:themeTint="FF" w:themeShade="FF"/>
          <w:sz w:val="28"/>
          <w:szCs w:val="28"/>
          <w:lang w:val="en-US"/>
        </w:rPr>
        <w:t>Multivariate compound events drive historical floods and associated losses along the U.S. East and Gulf coasts</w:t>
      </w:r>
    </w:p>
    <w:p w:rsidR="45A9360C" w:rsidP="7040CF34" w:rsidRDefault="45A9360C" w14:paraId="4EF2566B" w14:textId="2964E7FE">
      <w:pPr>
        <w:spacing w:after="160" w:line="259" w:lineRule="auto"/>
        <w:jc w:val="center"/>
        <w:rPr>
          <w:rFonts w:ascii="Times New Roman" w:hAnsi="Times New Roman" w:eastAsia="Times New Roman" w:cs="Times New Roman"/>
          <w:b w:val="0"/>
          <w:bCs w:val="0"/>
          <w:i w:val="0"/>
          <w:iCs w:val="0"/>
          <w:caps w:val="0"/>
          <w:smallCaps w:val="0"/>
          <w:noProof w:val="0"/>
          <w:color w:val="000000" w:themeColor="text1" w:themeTint="FF" w:themeShade="FF"/>
          <w:sz w:val="19"/>
          <w:szCs w:val="19"/>
          <w:lang w:val="en-US"/>
        </w:rPr>
      </w:pPr>
      <w:r w:rsidRPr="7040CF34" w:rsidR="45A9360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Javed Ali</w:t>
      </w:r>
      <w:r w:rsidRPr="7040CF34" w:rsidR="45A9360C">
        <w:rPr>
          <w:rFonts w:ascii="Times New Roman" w:hAnsi="Times New Roman" w:eastAsia="Times New Roman" w:cs="Times New Roman"/>
          <w:b w:val="0"/>
          <w:bCs w:val="0"/>
          <w:i w:val="0"/>
          <w:iCs w:val="0"/>
          <w:caps w:val="0"/>
          <w:smallCaps w:val="0"/>
          <w:noProof w:val="0"/>
          <w:color w:val="000000" w:themeColor="text1" w:themeTint="FF" w:themeShade="FF"/>
          <w:sz w:val="24"/>
          <w:szCs w:val="24"/>
          <w:vertAlign w:val="superscript"/>
          <w:lang w:val="en-US"/>
        </w:rPr>
        <w:t>1,2*</w:t>
      </w:r>
      <w:r w:rsidRPr="7040CF34" w:rsidR="45A9360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Thomas Wahl</w:t>
      </w:r>
      <w:r w:rsidRPr="7040CF34" w:rsidR="45A9360C">
        <w:rPr>
          <w:rFonts w:ascii="Times New Roman" w:hAnsi="Times New Roman" w:eastAsia="Times New Roman" w:cs="Times New Roman"/>
          <w:b w:val="0"/>
          <w:bCs w:val="0"/>
          <w:i w:val="0"/>
          <w:iCs w:val="0"/>
          <w:caps w:val="0"/>
          <w:smallCaps w:val="0"/>
          <w:noProof w:val="0"/>
          <w:color w:val="000000" w:themeColor="text1" w:themeTint="FF" w:themeShade="FF"/>
          <w:sz w:val="24"/>
          <w:szCs w:val="24"/>
          <w:vertAlign w:val="superscript"/>
          <w:lang w:val="en-US"/>
        </w:rPr>
        <w:t>1,2</w:t>
      </w:r>
      <w:r w:rsidRPr="7040CF34" w:rsidR="45A9360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Joao Morim</w:t>
      </w:r>
      <w:r w:rsidRPr="7040CF34" w:rsidR="45A9360C">
        <w:rPr>
          <w:rFonts w:ascii="Times New Roman" w:hAnsi="Times New Roman" w:eastAsia="Times New Roman" w:cs="Times New Roman"/>
          <w:b w:val="0"/>
          <w:bCs w:val="0"/>
          <w:i w:val="0"/>
          <w:iCs w:val="0"/>
          <w:caps w:val="0"/>
          <w:smallCaps w:val="0"/>
          <w:noProof w:val="0"/>
          <w:color w:val="000000" w:themeColor="text1" w:themeTint="FF" w:themeShade="FF"/>
          <w:sz w:val="24"/>
          <w:szCs w:val="24"/>
          <w:vertAlign w:val="superscript"/>
          <w:lang w:val="en-US"/>
        </w:rPr>
        <w:t>1,2</w:t>
      </w:r>
      <w:r w:rsidRPr="7040CF34" w:rsidR="45A9360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Alejandra Enriquez</w:t>
      </w:r>
      <w:r w:rsidRPr="7040CF34" w:rsidR="45A9360C">
        <w:rPr>
          <w:rFonts w:ascii="Times New Roman" w:hAnsi="Times New Roman" w:eastAsia="Times New Roman" w:cs="Times New Roman"/>
          <w:b w:val="0"/>
          <w:bCs w:val="0"/>
          <w:i w:val="0"/>
          <w:iCs w:val="0"/>
          <w:caps w:val="0"/>
          <w:smallCaps w:val="0"/>
          <w:noProof w:val="0"/>
          <w:color w:val="000000" w:themeColor="text1" w:themeTint="FF" w:themeShade="FF"/>
          <w:sz w:val="24"/>
          <w:szCs w:val="24"/>
          <w:vertAlign w:val="superscript"/>
          <w:lang w:val="en-US"/>
        </w:rPr>
        <w:t>1,2,3</w:t>
      </w:r>
      <w:r w:rsidRPr="7040CF34" w:rsidR="45A9360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Melanie Gall</w:t>
      </w:r>
      <w:r w:rsidRPr="7040CF34" w:rsidR="45A9360C">
        <w:rPr>
          <w:rFonts w:ascii="Times New Roman" w:hAnsi="Times New Roman" w:eastAsia="Times New Roman" w:cs="Times New Roman"/>
          <w:b w:val="0"/>
          <w:bCs w:val="0"/>
          <w:i w:val="0"/>
          <w:iCs w:val="0"/>
          <w:caps w:val="0"/>
          <w:smallCaps w:val="0"/>
          <w:noProof w:val="0"/>
          <w:color w:val="000000" w:themeColor="text1" w:themeTint="FF" w:themeShade="FF"/>
          <w:sz w:val="24"/>
          <w:szCs w:val="24"/>
          <w:vertAlign w:val="superscript"/>
          <w:lang w:val="en-US"/>
        </w:rPr>
        <w:t>4</w:t>
      </w:r>
      <w:r w:rsidRPr="7040CF34" w:rsidR="45A9360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Christopher T. Emrich</w:t>
      </w:r>
      <w:r w:rsidRPr="7040CF34" w:rsidR="45A9360C">
        <w:rPr>
          <w:rFonts w:ascii="Times New Roman" w:hAnsi="Times New Roman" w:eastAsia="Times New Roman" w:cs="Times New Roman"/>
          <w:b w:val="0"/>
          <w:bCs w:val="0"/>
          <w:i w:val="0"/>
          <w:iCs w:val="0"/>
          <w:caps w:val="0"/>
          <w:smallCaps w:val="0"/>
          <w:noProof w:val="0"/>
          <w:color w:val="000000" w:themeColor="text1" w:themeTint="FF" w:themeShade="FF"/>
          <w:sz w:val="24"/>
          <w:szCs w:val="24"/>
          <w:vertAlign w:val="superscript"/>
          <w:lang w:val="en-US"/>
        </w:rPr>
        <w:t>2,5</w:t>
      </w:r>
    </w:p>
    <w:p w:rsidR="45A9360C" w:rsidP="7040CF34" w:rsidRDefault="45A9360C" w14:paraId="2C21A1F3" w14:textId="3D7EE62D">
      <w:pPr>
        <w:spacing w:after="160" w:line="259" w:lineRule="auto"/>
        <w:jc w:val="center"/>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7040CF34" w:rsidR="45A9360C">
        <w:rPr>
          <w:rFonts w:ascii="Times New Roman" w:hAnsi="Times New Roman" w:eastAsia="Times New Roman" w:cs="Times New Roman"/>
          <w:b w:val="0"/>
          <w:bCs w:val="0"/>
          <w:i w:val="0"/>
          <w:iCs w:val="0"/>
          <w:caps w:val="0"/>
          <w:smallCaps w:val="0"/>
          <w:noProof w:val="0"/>
          <w:color w:val="000000" w:themeColor="text1" w:themeTint="FF" w:themeShade="FF"/>
          <w:sz w:val="24"/>
          <w:szCs w:val="24"/>
          <w:vertAlign w:val="superscript"/>
          <w:lang w:val="en-US"/>
        </w:rPr>
        <w:t>1</w:t>
      </w:r>
      <w:r w:rsidRPr="7040CF34" w:rsidR="45A9360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Department of Civil, Environmental and Construction Engineering, University of Central Florida, Orlando, FL, 32816 USA.</w:t>
      </w:r>
      <w:r w:rsidRPr="7040CF34" w:rsidR="45A9360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p>
    <w:p w:rsidR="45A9360C" w:rsidP="7040CF34" w:rsidRDefault="45A9360C" w14:paraId="736CD7B7" w14:textId="02ED1A96">
      <w:pPr>
        <w:spacing w:after="160" w:line="259" w:lineRule="auto"/>
        <w:jc w:val="center"/>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7040CF34" w:rsidR="45A9360C">
        <w:rPr>
          <w:rFonts w:ascii="Times New Roman" w:hAnsi="Times New Roman" w:eastAsia="Times New Roman" w:cs="Times New Roman"/>
          <w:b w:val="0"/>
          <w:bCs w:val="0"/>
          <w:i w:val="0"/>
          <w:iCs w:val="0"/>
          <w:caps w:val="0"/>
          <w:smallCaps w:val="0"/>
          <w:noProof w:val="0"/>
          <w:color w:val="000000" w:themeColor="text1" w:themeTint="FF" w:themeShade="FF"/>
          <w:sz w:val="24"/>
          <w:szCs w:val="24"/>
          <w:vertAlign w:val="superscript"/>
          <w:lang w:val="en-US"/>
        </w:rPr>
        <w:t>2</w:t>
      </w:r>
      <w:r w:rsidRPr="7040CF34" w:rsidR="45A9360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National Center for Integrated Coastal Research, University of Central Florida, Orlando, FL, 32816 USA. </w:t>
      </w:r>
    </w:p>
    <w:p w:rsidR="45A9360C" w:rsidP="7040CF34" w:rsidRDefault="45A9360C" w14:paraId="343CE38C" w14:textId="3E277461">
      <w:pPr>
        <w:spacing w:after="160" w:line="259" w:lineRule="auto"/>
        <w:jc w:val="center"/>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7040CF34" w:rsidR="45A9360C">
        <w:rPr>
          <w:rFonts w:ascii="Times New Roman" w:hAnsi="Times New Roman" w:eastAsia="Times New Roman" w:cs="Times New Roman"/>
          <w:b w:val="0"/>
          <w:bCs w:val="0"/>
          <w:i w:val="0"/>
          <w:iCs w:val="0"/>
          <w:caps w:val="0"/>
          <w:smallCaps w:val="0"/>
          <w:noProof w:val="0"/>
          <w:color w:val="000000" w:themeColor="text1" w:themeTint="FF" w:themeShade="FF"/>
          <w:sz w:val="24"/>
          <w:szCs w:val="24"/>
          <w:vertAlign w:val="superscript"/>
          <w:lang w:val="en-US"/>
        </w:rPr>
        <w:t>3</w:t>
      </w:r>
      <w:r w:rsidRPr="7040CF34" w:rsidR="45A9360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Institute for Environmental Studies (IVM), Vrije Universiteit Amsterdam, 1081 HV Amsterdam, the Netherlands</w:t>
      </w:r>
    </w:p>
    <w:p w:rsidR="45A9360C" w:rsidP="7040CF34" w:rsidRDefault="45A9360C" w14:paraId="052E02D3" w14:textId="30A2362E">
      <w:pPr>
        <w:spacing w:after="160" w:line="259" w:lineRule="auto"/>
        <w:jc w:val="center"/>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7040CF34" w:rsidR="45A9360C">
        <w:rPr>
          <w:rFonts w:ascii="Times New Roman" w:hAnsi="Times New Roman" w:eastAsia="Times New Roman" w:cs="Times New Roman"/>
          <w:b w:val="0"/>
          <w:bCs w:val="0"/>
          <w:i w:val="0"/>
          <w:iCs w:val="0"/>
          <w:caps w:val="0"/>
          <w:smallCaps w:val="0"/>
          <w:noProof w:val="0"/>
          <w:color w:val="000000" w:themeColor="text1" w:themeTint="FF" w:themeShade="FF"/>
          <w:sz w:val="24"/>
          <w:szCs w:val="24"/>
          <w:vertAlign w:val="superscript"/>
          <w:lang w:val="en-US"/>
        </w:rPr>
        <w:t>4</w:t>
      </w:r>
      <w:r w:rsidRPr="7040CF34" w:rsidR="45A9360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Center for Emergency Management and Homeland Security, School of Public Affairs, Arizona State University, Phoenix, AZ, 85004</w:t>
      </w:r>
    </w:p>
    <w:p w:rsidR="45A9360C" w:rsidP="7040CF34" w:rsidRDefault="45A9360C" w14:paraId="77491746" w14:textId="19DF0460">
      <w:pPr>
        <w:spacing w:after="160" w:line="259" w:lineRule="auto"/>
        <w:jc w:val="center"/>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7040CF34" w:rsidR="45A9360C">
        <w:rPr>
          <w:rFonts w:ascii="Times New Roman" w:hAnsi="Times New Roman" w:eastAsia="Times New Roman" w:cs="Times New Roman"/>
          <w:b w:val="0"/>
          <w:bCs w:val="0"/>
          <w:i w:val="0"/>
          <w:iCs w:val="0"/>
          <w:caps w:val="0"/>
          <w:smallCaps w:val="0"/>
          <w:noProof w:val="0"/>
          <w:color w:val="000000" w:themeColor="text1" w:themeTint="FF" w:themeShade="FF"/>
          <w:sz w:val="24"/>
          <w:szCs w:val="24"/>
          <w:vertAlign w:val="superscript"/>
          <w:lang w:val="en-US"/>
        </w:rPr>
        <w:t>5</w:t>
      </w:r>
      <w:r w:rsidRPr="7040CF34" w:rsidR="45A9360C">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School of Public Administration, University of Central Florida, Orlando, FL 32816, USA</w:t>
      </w:r>
    </w:p>
    <w:p w:rsidR="45A9360C" w:rsidP="7040CF34" w:rsidRDefault="45A9360C" w14:paraId="2C2FF133" w14:textId="13084DF5">
      <w:pPr>
        <w:spacing w:after="160" w:line="259" w:lineRule="auto"/>
        <w:jc w:val="center"/>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7040CF34" w:rsidR="45A9360C">
        <w:rPr>
          <w:rFonts w:ascii="Times New Roman" w:hAnsi="Times New Roman" w:eastAsia="Times New Roman" w:cs="Times New Roman"/>
          <w:b w:val="1"/>
          <w:bCs w:val="1"/>
          <w:i w:val="0"/>
          <w:iCs w:val="0"/>
          <w:caps w:val="0"/>
          <w:smallCaps w:val="0"/>
          <w:noProof w:val="0"/>
          <w:color w:val="000000" w:themeColor="text1" w:themeTint="FF" w:themeShade="FF"/>
          <w:sz w:val="24"/>
          <w:szCs w:val="24"/>
          <w:lang w:val="en-US"/>
        </w:rPr>
        <w:t xml:space="preserve">*Corresponding author email: </w:t>
      </w:r>
      <w:hyperlink r:id="R0c25feacb2f04631">
        <w:r w:rsidRPr="7040CF34" w:rsidR="45A9360C">
          <w:rPr>
            <w:rStyle w:val="Hyperlink"/>
            <w:rFonts w:ascii="Times New Roman" w:hAnsi="Times New Roman" w:eastAsia="Times New Roman" w:cs="Times New Roman"/>
            <w:b w:val="0"/>
            <w:bCs w:val="0"/>
            <w:i w:val="0"/>
            <w:iCs w:val="0"/>
            <w:caps w:val="0"/>
            <w:smallCaps w:val="0"/>
            <w:strike w:val="0"/>
            <w:dstrike w:val="0"/>
            <w:noProof w:val="0"/>
            <w:sz w:val="24"/>
            <w:szCs w:val="24"/>
            <w:lang w:val="en-US"/>
          </w:rPr>
          <w:t>javed.ali@ucf.edu</w:t>
        </w:r>
      </w:hyperlink>
    </w:p>
    <w:p w:rsidR="7040CF34" w:rsidP="7040CF34" w:rsidRDefault="7040CF34" w14:paraId="34978E9A" w14:textId="2511EA28">
      <w:pPr>
        <w:spacing w:line="259" w:lineRule="auto"/>
        <w:jc w:val="center"/>
        <w:rPr>
          <w:rFonts w:ascii="Times New Roman" w:hAnsi="Times New Roman" w:eastAsia="Times New Roman" w:cs="Times New Roman"/>
        </w:rPr>
      </w:pPr>
    </w:p>
    <w:p w:rsidR="00A463B8" w:rsidRDefault="00A463B8" w14:paraId="2C078E63" w14:textId="228C13AF">
      <w:pPr>
        <w:rPr>
          <w:rFonts w:hint="eastAsia"/>
        </w:rPr>
      </w:pPr>
    </w:p>
    <w:p w:rsidR="34826B08" w:rsidP="32CB830F" w:rsidRDefault="34826B08" w14:paraId="5D75A84E" w14:textId="5915CB15">
      <w:pPr>
        <w:rPr>
          <w:rFonts w:hint="eastAsia"/>
        </w:rPr>
      </w:pPr>
    </w:p>
    <w:p w:rsidR="34826B08" w:rsidP="32CB830F" w:rsidRDefault="34826B08" w14:paraId="28C0AA33" w14:textId="0EFAADB7">
      <w:pPr>
        <w:rPr>
          <w:rFonts w:hint="eastAsia"/>
        </w:rPr>
      </w:pPr>
    </w:p>
    <w:p w:rsidR="34826B08" w:rsidP="32CB830F" w:rsidRDefault="354A525F" w14:paraId="13881528" w14:textId="469CB62F">
      <w:pPr>
        <w:rPr>
          <w:rFonts w:hint="eastAsia"/>
        </w:rPr>
      </w:pPr>
      <w:r>
        <w:rPr>
          <w:noProof/>
        </w:rPr>
        <w:drawing>
          <wp:inline distT="0" distB="0" distL="0" distR="0" wp14:anchorId="2802A557" wp14:editId="22EFB516">
            <wp:extent cx="6696075" cy="4388496"/>
            <wp:effectExtent l="0" t="0" r="0" b="0"/>
            <wp:docPr id="1569587816" name="Picture 1569587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cstate="print">
                      <a:extLst>
                        <a:ext uri="{28A0092B-C50C-407E-A947-70E740481C1C}">
                          <a14:useLocalDpi xmlns:a14="http://schemas.microsoft.com/office/drawing/2010/main" val="0"/>
                        </a:ext>
                      </a:extLst>
                    </a:blip>
                    <a:srcRect t="4225"/>
                    <a:stretch>
                      <a:fillRect/>
                    </a:stretch>
                  </pic:blipFill>
                  <pic:spPr>
                    <a:xfrm>
                      <a:off x="0" y="0"/>
                      <a:ext cx="6696075" cy="4388496"/>
                    </a:xfrm>
                    <a:prstGeom prst="rect">
                      <a:avLst/>
                    </a:prstGeom>
                  </pic:spPr>
                </pic:pic>
              </a:graphicData>
            </a:graphic>
          </wp:inline>
        </w:drawing>
      </w:r>
    </w:p>
    <w:p w:rsidR="4A52A524" w:rsidP="32CB830F" w:rsidRDefault="25B90347" w14:paraId="202A86B4" w14:textId="6344B461">
      <w:pPr>
        <w:rPr>
          <w:rFonts w:ascii="Times New Roman" w:hAnsi="Times New Roman" w:eastAsia="Times New Roman" w:cs="Times New Roman"/>
          <w:b/>
          <w:bCs/>
        </w:rPr>
      </w:pPr>
      <w:r w:rsidRPr="32CB830F">
        <w:rPr>
          <w:rFonts w:ascii="Times New Roman" w:hAnsi="Times New Roman" w:eastAsia="Times New Roman" w:cs="Times New Roman"/>
          <w:b/>
          <w:bCs/>
        </w:rPr>
        <w:t>Fig</w:t>
      </w:r>
      <w:r w:rsidR="00B02910">
        <w:rPr>
          <w:rFonts w:ascii="Times New Roman" w:hAnsi="Times New Roman" w:eastAsia="Times New Roman" w:cs="Times New Roman"/>
          <w:b/>
          <w:bCs/>
        </w:rPr>
        <w:t>.</w:t>
      </w:r>
      <w:r w:rsidRPr="32CB830F">
        <w:rPr>
          <w:rFonts w:ascii="Times New Roman" w:hAnsi="Times New Roman" w:eastAsia="Times New Roman" w:cs="Times New Roman"/>
          <w:b/>
          <w:bCs/>
        </w:rPr>
        <w:t xml:space="preserve"> S1: </w:t>
      </w:r>
      <w:r w:rsidRPr="32CB830F">
        <w:rPr>
          <w:rFonts w:ascii="Times New Roman" w:hAnsi="Times New Roman" w:eastAsia="Times New Roman" w:cs="Times New Roman"/>
        </w:rPr>
        <w:t>Total number of flooding events in 203 counties along the U.S. Atlantic and Gulf of Mexico coasts</w:t>
      </w:r>
    </w:p>
    <w:p w:rsidR="4A52A524" w:rsidP="32CB830F" w:rsidRDefault="4A52A524" w14:paraId="1014832D" w14:textId="1859D371">
      <w:pPr>
        <w:rPr>
          <w:rFonts w:ascii="Times New Roman" w:hAnsi="Times New Roman" w:eastAsia="Times New Roman" w:cs="Times New Roman"/>
          <w:b/>
          <w:bCs/>
        </w:rPr>
      </w:pPr>
    </w:p>
    <w:p w:rsidR="4A52A524" w:rsidP="32CB830F" w:rsidRDefault="4A52A524" w14:paraId="44E40A9F" w14:textId="475FDA06">
      <w:pPr>
        <w:rPr>
          <w:rFonts w:hint="eastAsia"/>
        </w:rPr>
      </w:pPr>
    </w:p>
    <w:p w:rsidR="4A52A524" w:rsidP="32CB830F" w:rsidRDefault="4A52A524" w14:paraId="3A1D3855" w14:textId="54641E6A">
      <w:pPr>
        <w:rPr>
          <w:rFonts w:hint="eastAsia"/>
        </w:rPr>
      </w:pPr>
    </w:p>
    <w:p w:rsidR="4A52A524" w:rsidP="32CB830F" w:rsidRDefault="0C67C149" w14:paraId="2086C930" w14:textId="7C5DD3AD">
      <w:pPr>
        <w:rPr>
          <w:rFonts w:hint="eastAsia"/>
        </w:rPr>
      </w:pPr>
      <w:r>
        <w:rPr>
          <w:noProof/>
        </w:rPr>
        <w:drawing>
          <wp:inline distT="0" distB="0" distL="0" distR="0" wp14:anchorId="7FE73DB3" wp14:editId="2618DD54">
            <wp:extent cx="6664460" cy="4367776"/>
            <wp:effectExtent l="0" t="0" r="0" b="0"/>
            <wp:docPr id="2041356689" name="Picture 20413566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print">
                      <a:extLst>
                        <a:ext uri="{28A0092B-C50C-407E-A947-70E740481C1C}">
                          <a14:useLocalDpi xmlns:a14="http://schemas.microsoft.com/office/drawing/2010/main" val="0"/>
                        </a:ext>
                      </a:extLst>
                    </a:blip>
                    <a:srcRect t="4225"/>
                    <a:stretch>
                      <a:fillRect/>
                    </a:stretch>
                  </pic:blipFill>
                  <pic:spPr>
                    <a:xfrm>
                      <a:off x="0" y="0"/>
                      <a:ext cx="6664460" cy="4367776"/>
                    </a:xfrm>
                    <a:prstGeom prst="rect">
                      <a:avLst/>
                    </a:prstGeom>
                  </pic:spPr>
                </pic:pic>
              </a:graphicData>
            </a:graphic>
          </wp:inline>
        </w:drawing>
      </w:r>
    </w:p>
    <w:p w:rsidR="4A52A524" w:rsidP="32CB830F" w:rsidRDefault="360B7FC8" w14:paraId="353F6410" w14:textId="38DD796D">
      <w:pPr>
        <w:rPr>
          <w:rFonts w:ascii="Times New Roman" w:hAnsi="Times New Roman" w:eastAsia="Times New Roman" w:cs="Times New Roman"/>
          <w:b/>
          <w:bCs/>
        </w:rPr>
      </w:pPr>
      <w:r w:rsidRPr="32CB830F">
        <w:rPr>
          <w:rFonts w:ascii="Times New Roman" w:hAnsi="Times New Roman" w:eastAsia="Times New Roman" w:cs="Times New Roman"/>
          <w:b/>
          <w:bCs/>
        </w:rPr>
        <w:t>Fig</w:t>
      </w:r>
      <w:r w:rsidR="00B02910">
        <w:rPr>
          <w:rFonts w:ascii="Times New Roman" w:hAnsi="Times New Roman" w:eastAsia="Times New Roman" w:cs="Times New Roman"/>
          <w:b/>
          <w:bCs/>
        </w:rPr>
        <w:t>.</w:t>
      </w:r>
      <w:r w:rsidRPr="32CB830F">
        <w:rPr>
          <w:rFonts w:ascii="Times New Roman" w:hAnsi="Times New Roman" w:eastAsia="Times New Roman" w:cs="Times New Roman"/>
          <w:b/>
          <w:bCs/>
        </w:rPr>
        <w:t xml:space="preserve"> S2: </w:t>
      </w:r>
      <w:r w:rsidRPr="32CB830F">
        <w:rPr>
          <w:rFonts w:ascii="Times New Roman" w:hAnsi="Times New Roman" w:eastAsia="Times New Roman" w:cs="Times New Roman"/>
        </w:rPr>
        <w:t>Total number of compound flooding events in 203 counties along the U.S. Atlantic and Gulf of Mexico coasts</w:t>
      </w:r>
    </w:p>
    <w:p w:rsidR="7B7AB36A" w:rsidP="7B7AB36A" w:rsidRDefault="7B7AB36A" w14:noSpellErr="1" w14:paraId="302AA4D9" w14:textId="1913E3C8">
      <w:pPr>
        <w:pStyle w:val="Normal"/>
      </w:pPr>
    </w:p>
    <w:p w:rsidR="3AAEF27B" w:rsidP="7E47E8EB" w:rsidRDefault="00CE203C" w14:paraId="0ADD970B" w14:textId="5BA0EAF7">
      <w:pPr>
        <w:rPr>
          <w:rFonts w:hint="eastAsia"/>
        </w:rPr>
      </w:pPr>
      <w:r>
        <w:rPr>
          <w:noProof/>
        </w:rPr>
        <w:drawing>
          <wp:anchor distT="0" distB="0" distL="114300" distR="114300" simplePos="0" relativeHeight="251658240" behindDoc="1" locked="0" layoutInCell="1" allowOverlap="1" wp14:anchorId="044239AC" wp14:editId="48CD5632">
            <wp:simplePos x="0" y="0"/>
            <wp:positionH relativeFrom="column">
              <wp:posOffset>-2269807</wp:posOffset>
            </wp:positionH>
            <wp:positionV relativeFrom="paragraph">
              <wp:posOffset>2850832</wp:posOffset>
            </wp:positionV>
            <wp:extent cx="8859520" cy="3165475"/>
            <wp:effectExtent l="0" t="4128" r="6033" b="6032"/>
            <wp:wrapTopAndBottom/>
            <wp:docPr id="1641336942" name="Picture 16413369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1336942" name=""/>
                    <pic:cNvPicPr/>
                  </pic:nvPicPr>
                  <pic:blipFill>
                    <a:blip r:embed="rId8" cstate="print">
                      <a:extLst>
                        <a:ext uri="{28A0092B-C50C-407E-A947-70E740481C1C}">
                          <a14:useLocalDpi xmlns:a14="http://schemas.microsoft.com/office/drawing/2010/main" val="0"/>
                        </a:ext>
                      </a:extLst>
                    </a:blip>
                    <a:stretch>
                      <a:fillRect/>
                    </a:stretch>
                  </pic:blipFill>
                  <pic:spPr>
                    <a:xfrm rot="16200000">
                      <a:off x="0" y="0"/>
                      <a:ext cx="8859520" cy="3165475"/>
                    </a:xfrm>
                    <a:prstGeom prst="rect">
                      <a:avLst/>
                    </a:prstGeom>
                  </pic:spPr>
                </pic:pic>
              </a:graphicData>
            </a:graphic>
            <wp14:sizeRelH relativeFrom="page">
              <wp14:pctWidth>0</wp14:pctWidth>
            </wp14:sizeRelH>
            <wp14:sizeRelV relativeFrom="page">
              <wp14:pctHeight>0</wp14:pctHeight>
            </wp14:sizeRelV>
          </wp:anchor>
        </w:drawing>
      </w:r>
      <w:r w:rsidR="007D5F65">
        <w:rPr>
          <w:noProof/>
        </w:rPr>
        <mc:AlternateContent>
          <mc:Choice Requires="wps">
            <w:drawing>
              <wp:anchor distT="0" distB="0" distL="114300" distR="114300" simplePos="0" relativeHeight="251658241" behindDoc="0" locked="0" layoutInCell="1" allowOverlap="1" wp14:anchorId="6E4147AE" wp14:editId="10393552">
                <wp:simplePos x="0" y="0"/>
                <wp:positionH relativeFrom="column">
                  <wp:posOffset>50165</wp:posOffset>
                </wp:positionH>
                <wp:positionV relativeFrom="paragraph">
                  <wp:posOffset>4078605</wp:posOffset>
                </wp:positionV>
                <wp:extent cx="8157210" cy="635"/>
                <wp:effectExtent l="3175" t="0" r="0" b="0"/>
                <wp:wrapTopAndBottom/>
                <wp:docPr id="1891499973" name="Text Box 1"/>
                <wp:cNvGraphicFramePr/>
                <a:graphic xmlns:a="http://schemas.openxmlformats.org/drawingml/2006/main">
                  <a:graphicData uri="http://schemas.microsoft.com/office/word/2010/wordprocessingShape">
                    <wps:wsp>
                      <wps:cNvSpPr txBox="1"/>
                      <wps:spPr>
                        <a:xfrm rot="16200000">
                          <a:off x="0" y="0"/>
                          <a:ext cx="8157210" cy="635"/>
                        </a:xfrm>
                        <a:prstGeom prst="rect">
                          <a:avLst/>
                        </a:prstGeom>
                        <a:solidFill>
                          <a:prstClr val="white"/>
                        </a:solidFill>
                        <a:ln>
                          <a:noFill/>
                        </a:ln>
                      </wps:spPr>
                      <wps:txbx>
                        <w:txbxContent>
                          <w:p w:rsidRPr="007D5F65" w:rsidR="007D5F65" w:rsidP="007D5F65" w:rsidRDefault="007D5F65" w14:paraId="6AC22094" w14:textId="51D91531">
                            <w:pPr>
                              <w:pStyle w:val="Caption"/>
                              <w:rPr>
                                <w:rFonts w:ascii="Times New Roman" w:hAnsi="Times New Roman" w:cs="Times New Roman"/>
                                <w:i w:val="0"/>
                                <w:iCs w:val="0"/>
                                <w:noProof/>
                                <w:color w:val="000000" w:themeColor="text1"/>
                                <w:sz w:val="24"/>
                                <w:szCs w:val="24"/>
                              </w:rPr>
                            </w:pPr>
                            <w:r w:rsidRPr="00B02910">
                              <w:rPr>
                                <w:rFonts w:ascii="Times New Roman" w:hAnsi="Times New Roman" w:cs="Times New Roman"/>
                                <w:b/>
                                <w:bCs/>
                                <w:i w:val="0"/>
                                <w:iCs w:val="0"/>
                                <w:color w:val="000000" w:themeColor="text1"/>
                                <w:sz w:val="24"/>
                                <w:szCs w:val="24"/>
                              </w:rPr>
                              <w:t>Fig. S</w:t>
                            </w:r>
                            <w:r w:rsidRPr="00B02910" w:rsidR="00CE203C">
                              <w:rPr>
                                <w:rFonts w:ascii="Times New Roman" w:hAnsi="Times New Roman" w:cs="Times New Roman"/>
                                <w:b/>
                                <w:bCs/>
                                <w:i w:val="0"/>
                                <w:iCs w:val="0"/>
                                <w:color w:val="000000" w:themeColor="text1"/>
                                <w:sz w:val="24"/>
                                <w:szCs w:val="24"/>
                              </w:rPr>
                              <w:t>3</w:t>
                            </w:r>
                            <w:r w:rsidRPr="00B02910">
                              <w:rPr>
                                <w:rFonts w:ascii="Times New Roman" w:hAnsi="Times New Roman" w:cs="Times New Roman"/>
                                <w:b/>
                                <w:bCs/>
                                <w:i w:val="0"/>
                                <w:iCs w:val="0"/>
                                <w:color w:val="000000" w:themeColor="text1"/>
                                <w:sz w:val="24"/>
                                <w:szCs w:val="24"/>
                              </w:rPr>
                              <w:t>:</w:t>
                            </w:r>
                            <w:r w:rsidRPr="007D5F65">
                              <w:rPr>
                                <w:rFonts w:ascii="Times New Roman" w:hAnsi="Times New Roman" w:cs="Times New Roman"/>
                                <w:i w:val="0"/>
                                <w:iCs w:val="0"/>
                                <w:color w:val="000000" w:themeColor="text1"/>
                                <w:sz w:val="24"/>
                                <w:szCs w:val="24"/>
                              </w:rPr>
                              <w:t xml:space="preserve"> </w:t>
                            </w:r>
                            <w:r w:rsidRPr="00CE203C" w:rsidR="00CE203C">
                              <w:rPr>
                                <w:rFonts w:ascii="Times New Roman" w:hAnsi="Times New Roman" w:cs="Times New Roman"/>
                                <w:i w:val="0"/>
                                <w:iCs w:val="0"/>
                                <w:color w:val="000000" w:themeColor="text1"/>
                                <w:sz w:val="24"/>
                                <w:szCs w:val="24"/>
                              </w:rPr>
                              <w:t>Hierarchical clustering analysis of the compound flooding impacts and drivers. The x-axis displays the county names while the y-axis indicates the distance or dissimilarity metric used to merge clusters at each level of the hierarchy. Counties within the same color group exhibit comparable patterns in the relative influence of the compound flooding drivers, suggesting potential regional similarities in the dominant hazard mechanisms.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w16du="http://schemas.microsoft.com/office/word/2023/wordml/word16du" xmlns:arto="http://schemas.microsoft.com/office/word/2006/arto">
            <w:pict>
              <v:shapetype id="_x0000_t202" coordsize="21600,21600" o:spt="202" path="m,l,21600r21600,l21600,xe" w14:anchorId="6E4147AE">
                <v:stroke joinstyle="miter"/>
                <v:path gradientshapeok="t" o:connecttype="rect"/>
              </v:shapetype>
              <v:shape id="Text Box 1" style="position:absolute;margin-left:3.95pt;margin-top:321.15pt;width:642.3pt;height:.05pt;rotation:-90;z-index:25165824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spid="_x0000_s1026"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">
                <v:textbox style="mso-fit-shape-to-text:t" inset="0,0,0,0">
                  <w:txbxContent>
                    <w:p w:rsidRPr="007D5F65" w:rsidR="007D5F65" w:rsidP="007D5F65" w:rsidRDefault="007D5F65" w14:paraId="6AC22094" w14:textId="51D91531">
                      <w:pPr>
                        <w:pStyle w:val="Caption"/>
                        <w:rPr>
                          <w:rFonts w:ascii="Times New Roman" w:hAnsi="Times New Roman" w:cs="Times New Roman"/>
                          <w:i w:val="0"/>
                          <w:iCs w:val="0"/>
                          <w:noProof/>
                          <w:color w:val="000000" w:themeColor="text1"/>
                          <w:sz w:val="24"/>
                          <w:szCs w:val="24"/>
                        </w:rPr>
                      </w:pPr>
                      <w:r w:rsidRPr="00B02910">
                        <w:rPr>
                          <w:rFonts w:ascii="Times New Roman" w:hAnsi="Times New Roman" w:cs="Times New Roman"/>
                          <w:b/>
                          <w:bCs/>
                          <w:i w:val="0"/>
                          <w:iCs w:val="0"/>
                          <w:color w:val="000000" w:themeColor="text1"/>
                          <w:sz w:val="24"/>
                          <w:szCs w:val="24"/>
                        </w:rPr>
                        <w:t>Fig. S</w:t>
                      </w:r>
                      <w:r w:rsidRPr="00B02910" w:rsidR="00CE203C">
                        <w:rPr>
                          <w:rFonts w:ascii="Times New Roman" w:hAnsi="Times New Roman" w:cs="Times New Roman"/>
                          <w:b/>
                          <w:bCs/>
                          <w:i w:val="0"/>
                          <w:iCs w:val="0"/>
                          <w:color w:val="000000" w:themeColor="text1"/>
                          <w:sz w:val="24"/>
                          <w:szCs w:val="24"/>
                        </w:rPr>
                        <w:t>3</w:t>
                      </w:r>
                      <w:r w:rsidRPr="00B02910">
                        <w:rPr>
                          <w:rFonts w:ascii="Times New Roman" w:hAnsi="Times New Roman" w:cs="Times New Roman"/>
                          <w:b/>
                          <w:bCs/>
                          <w:i w:val="0"/>
                          <w:iCs w:val="0"/>
                          <w:color w:val="000000" w:themeColor="text1"/>
                          <w:sz w:val="24"/>
                          <w:szCs w:val="24"/>
                        </w:rPr>
                        <w:t>:</w:t>
                      </w:r>
                      <w:r w:rsidRPr="007D5F65">
                        <w:rPr>
                          <w:rFonts w:ascii="Times New Roman" w:hAnsi="Times New Roman" w:cs="Times New Roman"/>
                          <w:i w:val="0"/>
                          <w:iCs w:val="0"/>
                          <w:color w:val="000000" w:themeColor="text1"/>
                          <w:sz w:val="24"/>
                          <w:szCs w:val="24"/>
                        </w:rPr>
                        <w:t xml:space="preserve"> </w:t>
                      </w:r>
                      <w:r w:rsidRPr="00CE203C" w:rsidR="00CE203C">
                        <w:rPr>
                          <w:rFonts w:ascii="Times New Roman" w:hAnsi="Times New Roman" w:cs="Times New Roman"/>
                          <w:i w:val="0"/>
                          <w:iCs w:val="0"/>
                          <w:color w:val="000000" w:themeColor="text1"/>
                          <w:sz w:val="24"/>
                          <w:szCs w:val="24"/>
                        </w:rPr>
                        <w:t>Hierarchical clustering analysis of the compound flooding impacts and drivers. The x-axis displays the county names while the y-axis indicates the distance or dissimilarity metric used to merge clusters at each level of the hierarchy. Counties within the same color group exhibit comparable patterns in the relative influence of the compound flooding drivers, suggesting potential regional similarities in the dominant hazard mechanisms.</w:t>
                      </w:r>
                    </w:p>
                  </w:txbxContent>
                </v:textbox>
                <w10:wrap type="topAndBottom"/>
              </v:shape>
            </w:pict>
          </mc:Fallback>
        </mc:AlternateContent>
      </w:r>
    </w:p>
    <w:p w:rsidR="0009727B" w:rsidP="32CB830F" w:rsidRDefault="0009727B" w14:paraId="587E4B73" w14:textId="77777777">
      <w:pPr>
        <w:rPr>
          <w:rFonts w:ascii="Times New Roman" w:hAnsi="Times New Roman" w:eastAsia="Times New Roman" w:cs="Times New Roman"/>
          <w:b/>
          <w:bCs/>
          <w:sz w:val="28"/>
          <w:szCs w:val="28"/>
        </w:rPr>
      </w:pPr>
    </w:p>
    <w:p w:rsidR="3D27B52D" w:rsidRDefault="3D27B52D" w14:paraId="5ABA4AA5" w14:textId="312D017C">
      <w:r>
        <w:br w:type="page"/>
      </w:r>
    </w:p>
    <w:p w:rsidR="52C04F45" w:rsidP="3D27B52D" w:rsidRDefault="52C04F45" w14:paraId="2E9B73D4" w14:textId="0563826A">
      <w:pPr>
        <w:pStyle w:val="Heading1"/>
        <w:rPr>
          <w:rFonts w:ascii="Times New Roman" w:hAnsi="Times New Roman" w:eastAsia="Times New Roman" w:cs="Times New Roman"/>
          <w:b w:val="1"/>
          <w:bCs w:val="1"/>
          <w:color w:val="auto"/>
          <w:sz w:val="28"/>
          <w:szCs w:val="28"/>
        </w:rPr>
      </w:pPr>
      <w:r w:rsidRPr="3D27B52D" w:rsidR="7A6D7178">
        <w:rPr>
          <w:rFonts w:ascii="Times New Roman" w:hAnsi="Times New Roman" w:eastAsia="Times New Roman" w:cs="Times New Roman"/>
          <w:b w:val="1"/>
          <w:bCs w:val="1"/>
          <w:color w:val="auto"/>
          <w:sz w:val="28"/>
          <w:szCs w:val="28"/>
        </w:rPr>
        <w:t>Sensitivity analysis using 99th percentile threshold</w:t>
      </w:r>
    </w:p>
    <w:p w:rsidR="52C04F45" w:rsidP="32CB830F" w:rsidRDefault="59334B0F" w14:paraId="2E8C217A" w14:textId="4C172CDD">
      <w:pPr>
        <w:rPr>
          <w:rFonts w:hint="eastAsia"/>
        </w:rPr>
      </w:pPr>
      <w:r>
        <w:rPr>
          <w:noProof/>
        </w:rPr>
        <w:drawing>
          <wp:inline distT="0" distB="0" distL="0" distR="0" wp14:anchorId="50B57595" wp14:editId="7AFE43A2">
            <wp:extent cx="6452272" cy="4228712"/>
            <wp:effectExtent l="0" t="0" r="0" b="0"/>
            <wp:docPr id="276841222" name="Picture 276841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extLst>
                        <a:ext uri="{28A0092B-C50C-407E-A947-70E740481C1C}">
                          <a14:useLocalDpi xmlns:a14="http://schemas.microsoft.com/office/drawing/2010/main" val="0"/>
                        </a:ext>
                      </a:extLst>
                    </a:blip>
                    <a:srcRect t="4225"/>
                    <a:stretch>
                      <a:fillRect/>
                    </a:stretch>
                  </pic:blipFill>
                  <pic:spPr>
                    <a:xfrm>
                      <a:off x="0" y="0"/>
                      <a:ext cx="6452272" cy="4228712"/>
                    </a:xfrm>
                    <a:prstGeom prst="rect">
                      <a:avLst/>
                    </a:prstGeom>
                  </pic:spPr>
                </pic:pic>
              </a:graphicData>
            </a:graphic>
          </wp:inline>
        </w:drawing>
      </w:r>
    </w:p>
    <w:p w:rsidR="52C04F45" w:rsidP="32CB830F" w:rsidRDefault="52C04F45" w14:paraId="27E33AAD" w14:textId="6B60B642">
      <w:pPr>
        <w:rPr>
          <w:rFonts w:ascii="Times New Roman" w:hAnsi="Times New Roman" w:eastAsia="Times New Roman" w:cs="Times New Roman"/>
          <w:color w:val="000000" w:themeColor="text1"/>
        </w:rPr>
      </w:pPr>
      <w:r w:rsidRPr="3D27B52D" w:rsidR="52C04F45">
        <w:rPr>
          <w:rFonts w:ascii="Times New Roman" w:hAnsi="Times New Roman" w:eastAsia="Times New Roman" w:cs="Times New Roman"/>
          <w:b w:val="1"/>
          <w:bCs w:val="1"/>
          <w:color w:val="000000" w:themeColor="text1" w:themeTint="FF" w:themeShade="FF"/>
        </w:rPr>
        <w:t>Fig</w:t>
      </w:r>
      <w:r w:rsidRPr="3D27B52D" w:rsidR="00C4465F">
        <w:rPr>
          <w:rFonts w:ascii="Times New Roman" w:hAnsi="Times New Roman" w:eastAsia="Times New Roman" w:cs="Times New Roman"/>
          <w:b w:val="1"/>
          <w:bCs w:val="1"/>
          <w:color w:val="000000" w:themeColor="text1" w:themeTint="FF" w:themeShade="FF"/>
        </w:rPr>
        <w:t>.</w:t>
      </w:r>
      <w:r w:rsidRPr="3D27B52D" w:rsidR="52C04F45">
        <w:rPr>
          <w:rFonts w:ascii="Times New Roman" w:hAnsi="Times New Roman" w:eastAsia="Times New Roman" w:cs="Times New Roman"/>
          <w:b w:val="1"/>
          <w:bCs w:val="1"/>
          <w:color w:val="000000" w:themeColor="text1" w:themeTint="FF" w:themeShade="FF"/>
        </w:rPr>
        <w:t xml:space="preserve"> S</w:t>
      </w:r>
      <w:r w:rsidRPr="3D27B52D" w:rsidR="4CA10F37">
        <w:rPr>
          <w:rFonts w:ascii="Times New Roman" w:hAnsi="Times New Roman" w:eastAsia="Times New Roman" w:cs="Times New Roman"/>
          <w:b w:val="1"/>
          <w:bCs w:val="1"/>
          <w:color w:val="000000" w:themeColor="text1" w:themeTint="FF" w:themeShade="FF"/>
        </w:rPr>
        <w:t>4</w:t>
      </w:r>
      <w:r w:rsidRPr="3D27B52D" w:rsidR="52C04F45">
        <w:rPr>
          <w:rFonts w:ascii="Times New Roman" w:hAnsi="Times New Roman" w:eastAsia="Times New Roman" w:cs="Times New Roman"/>
          <w:b w:val="1"/>
          <w:bCs w:val="1"/>
          <w:color w:val="000000" w:themeColor="text1" w:themeTint="FF" w:themeShade="FF"/>
        </w:rPr>
        <w:t xml:space="preserve">: </w:t>
      </w:r>
      <w:r w:rsidRPr="3D27B52D" w:rsidR="52C04F45">
        <w:rPr>
          <w:rFonts w:ascii="Times New Roman" w:hAnsi="Times New Roman" w:eastAsia="Times New Roman" w:cs="Times New Roman"/>
          <w:color w:val="000000" w:themeColor="text1" w:themeTint="FF" w:themeShade="FF"/>
        </w:rPr>
        <w:t xml:space="preserve">Percentage of compound flooding events in 203 counties along the U.S. </w:t>
      </w:r>
      <w:r w:rsidRPr="3D27B52D" w:rsidR="057243D9">
        <w:rPr>
          <w:rFonts w:ascii="Times New Roman" w:hAnsi="Times New Roman" w:eastAsia="Times New Roman" w:cs="Times New Roman"/>
          <w:color w:val="000000" w:themeColor="text1" w:themeTint="FF" w:themeShade="FF"/>
        </w:rPr>
        <w:t xml:space="preserve">East </w:t>
      </w:r>
      <w:r w:rsidRPr="3D27B52D" w:rsidR="52C04F45">
        <w:rPr>
          <w:rFonts w:ascii="Times New Roman" w:hAnsi="Times New Roman" w:eastAsia="Times New Roman" w:cs="Times New Roman"/>
          <w:color w:val="000000" w:themeColor="text1" w:themeTint="FF" w:themeShade="FF"/>
        </w:rPr>
        <w:t>and Gulf</w:t>
      </w:r>
      <w:r w:rsidRPr="3D27B52D" w:rsidR="2FCF2662">
        <w:rPr>
          <w:rFonts w:ascii="Times New Roman" w:hAnsi="Times New Roman" w:eastAsia="Times New Roman" w:cs="Times New Roman"/>
          <w:color w:val="000000" w:themeColor="text1" w:themeTint="FF" w:themeShade="FF"/>
        </w:rPr>
        <w:t xml:space="preserve"> </w:t>
      </w:r>
      <w:r w:rsidRPr="3D27B52D" w:rsidR="52C04F45">
        <w:rPr>
          <w:rFonts w:ascii="Times New Roman" w:hAnsi="Times New Roman" w:eastAsia="Times New Roman" w:cs="Times New Roman"/>
          <w:color w:val="000000" w:themeColor="text1" w:themeTint="FF" w:themeShade="FF"/>
        </w:rPr>
        <w:t>coasts</w:t>
      </w:r>
    </w:p>
    <w:p w:rsidR="32CB830F" w:rsidP="32CB830F" w:rsidRDefault="32CB830F" w14:paraId="6FB51C9F" w14:textId="17481FE8">
      <w:pPr>
        <w:rPr>
          <w:rFonts w:ascii="Times New Roman" w:hAnsi="Times New Roman" w:eastAsia="Times New Roman" w:cs="Times New Roman"/>
        </w:rPr>
      </w:pPr>
    </w:p>
    <w:p w:rsidR="52C04F45" w:rsidP="32CB830F" w:rsidRDefault="5EC692C5" w14:paraId="70F7F891" w14:textId="1152FC80">
      <w:pPr>
        <w:rPr>
          <w:rFonts w:hint="eastAsia"/>
        </w:rPr>
      </w:pPr>
      <w:r>
        <w:rPr>
          <w:noProof/>
        </w:rPr>
        <w:drawing>
          <wp:inline distT="0" distB="0" distL="0" distR="0" wp14:anchorId="1C762D5F" wp14:editId="2A93966B">
            <wp:extent cx="6555839" cy="7016886"/>
            <wp:effectExtent l="0" t="0" r="0" b="0"/>
            <wp:docPr id="1987754617" name="Picture 1987754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555839" cy="7016886"/>
                    </a:xfrm>
                    <a:prstGeom prst="rect">
                      <a:avLst/>
                    </a:prstGeom>
                  </pic:spPr>
                </pic:pic>
              </a:graphicData>
            </a:graphic>
          </wp:inline>
        </w:drawing>
      </w:r>
    </w:p>
    <w:p w:rsidR="52C04F45" w:rsidP="32CB830F" w:rsidRDefault="52C04F45" w14:paraId="1730D29B" w14:textId="7B9F0482">
      <w:pPr/>
      <w:r w:rsidRPr="3D27B52D" w:rsidR="52C04F45">
        <w:rPr>
          <w:rFonts w:ascii="Times New Roman" w:hAnsi="Times New Roman" w:eastAsia="Times New Roman" w:cs="Times New Roman"/>
          <w:b w:val="1"/>
          <w:bCs w:val="1"/>
          <w:color w:val="000000" w:themeColor="text1" w:themeTint="FF" w:themeShade="FF"/>
        </w:rPr>
        <w:t>Fig</w:t>
      </w:r>
      <w:r w:rsidRPr="3D27B52D" w:rsidR="00C4465F">
        <w:rPr>
          <w:rFonts w:ascii="Times New Roman" w:hAnsi="Times New Roman" w:eastAsia="Times New Roman" w:cs="Times New Roman"/>
          <w:b w:val="1"/>
          <w:bCs w:val="1"/>
          <w:color w:val="000000" w:themeColor="text1" w:themeTint="FF" w:themeShade="FF"/>
        </w:rPr>
        <w:t>.</w:t>
      </w:r>
      <w:r w:rsidRPr="3D27B52D" w:rsidR="52C04F45">
        <w:rPr>
          <w:rFonts w:ascii="Times New Roman" w:hAnsi="Times New Roman" w:eastAsia="Times New Roman" w:cs="Times New Roman"/>
          <w:b w:val="1"/>
          <w:bCs w:val="1"/>
          <w:color w:val="000000" w:themeColor="text1" w:themeTint="FF" w:themeShade="FF"/>
        </w:rPr>
        <w:t xml:space="preserve"> S</w:t>
      </w:r>
      <w:r w:rsidRPr="3D27B52D" w:rsidR="7211B5B8">
        <w:rPr>
          <w:rFonts w:ascii="Times New Roman" w:hAnsi="Times New Roman" w:eastAsia="Times New Roman" w:cs="Times New Roman"/>
          <w:b w:val="1"/>
          <w:bCs w:val="1"/>
          <w:color w:val="000000" w:themeColor="text1" w:themeTint="FF" w:themeShade="FF"/>
        </w:rPr>
        <w:t>5</w:t>
      </w:r>
      <w:r w:rsidRPr="3D27B52D" w:rsidR="52C04F45">
        <w:rPr>
          <w:rFonts w:ascii="Times New Roman" w:hAnsi="Times New Roman" w:eastAsia="Times New Roman" w:cs="Times New Roman"/>
          <w:b w:val="1"/>
          <w:bCs w:val="1"/>
          <w:color w:val="000000" w:themeColor="text1" w:themeTint="FF" w:themeShade="FF"/>
        </w:rPr>
        <w:t xml:space="preserve">: </w:t>
      </w:r>
      <w:r w:rsidRPr="3D27B52D" w:rsidR="4A036C76">
        <w:rPr>
          <w:rFonts w:ascii="Times New Roman" w:hAnsi="Times New Roman" w:eastAsia="Times New Roman" w:cs="Times New Roman"/>
          <w:color w:val="000000" w:themeColor="text1" w:themeTint="FF" w:themeShade="FF"/>
        </w:rPr>
        <w:t>Spatial distribution of the frequency contribution (%) of different flooding drivers to compound events, precipitation, river discharge, soil moisture, storm surge, and significant wave height. Drivers are considered to have contributed to a compound event when they exceeded their 99th percentile values.</w:t>
      </w:r>
    </w:p>
    <w:p w:rsidR="52C04F45" w:rsidP="7E47E8EB" w:rsidRDefault="52C04F45" w14:paraId="30FA9CE6" w14:textId="050DEE96">
      <w:pPr>
        <w:rPr>
          <w:rFonts w:ascii="Times New Roman" w:hAnsi="Times New Roman" w:eastAsia="Times New Roman" w:cs="Times New Roman"/>
          <w:color w:val="000000" w:themeColor="text1"/>
        </w:rPr>
      </w:pPr>
    </w:p>
    <w:p w:rsidR="52C04F45" w:rsidP="3D27B52D" w:rsidRDefault="32D3E157" w14:paraId="65EA6BC5" w14:textId="0D7F6DB4">
      <w:pPr>
        <w:pStyle w:val="Normal"/>
      </w:pPr>
      <w:r w:rsidR="1BF0820B">
        <w:drawing>
          <wp:inline wp14:editId="50ED5725" wp14:anchorId="4397DA4D">
            <wp:extent cx="5603264" cy="7600950"/>
            <wp:effectExtent l="0" t="0" r="0" b="0"/>
            <wp:docPr id="1379122519" name="" title=""/>
            <wp:cNvGraphicFramePr>
              <a:graphicFrameLocks noChangeAspect="1"/>
            </wp:cNvGraphicFramePr>
            <a:graphic>
              <a:graphicData uri="http://schemas.openxmlformats.org/drawingml/2006/picture">
                <pic:pic>
                  <pic:nvPicPr>
                    <pic:cNvPr id="0" name=""/>
                    <pic:cNvPicPr/>
                  </pic:nvPicPr>
                  <pic:blipFill>
                    <a:blip r:embed="R1bb8d0961bed4316">
                      <a:extLst>
                        <a:ext xmlns:a="http://schemas.openxmlformats.org/drawingml/2006/main" uri="{28A0092B-C50C-407E-A947-70E740481C1C}">
                          <a14:useLocalDpi val="0"/>
                        </a:ext>
                      </a:extLst>
                    </a:blip>
                    <a:stretch>
                      <a:fillRect/>
                    </a:stretch>
                  </pic:blipFill>
                  <pic:spPr>
                    <a:xfrm>
                      <a:off x="0" y="0"/>
                      <a:ext cx="5603264" cy="7600950"/>
                    </a:xfrm>
                    <a:prstGeom prst="rect">
                      <a:avLst/>
                    </a:prstGeom>
                  </pic:spPr>
                </pic:pic>
              </a:graphicData>
            </a:graphic>
          </wp:inline>
        </w:drawing>
      </w:r>
    </w:p>
    <w:p w:rsidR="32CB830F" w:rsidP="3D27B52D" w:rsidRDefault="32CB830F" w14:paraId="7A026450" w14:textId="160B82B2">
      <w:pPr>
        <w:pStyle w:val="Normal"/>
        <w:suppressLineNumbers w:val="0"/>
        <w:bidi w:val="0"/>
        <w:spacing w:before="0" w:beforeAutospacing="off" w:after="160" w:afterAutospacing="off" w:line="279" w:lineRule="auto"/>
        <w:ind w:left="0" w:right="0"/>
        <w:jc w:val="left"/>
        <w:rPr>
          <w:rFonts w:ascii="Times New Roman" w:hAnsi="Times New Roman" w:eastAsia="Times New Roman" w:cs="Times New Roman"/>
          <w:b w:val="0"/>
          <w:bCs w:val="0"/>
          <w:color w:val="000000" w:themeColor="text1" w:themeTint="FF" w:themeShade="FF"/>
        </w:rPr>
      </w:pPr>
      <w:r w:rsidRPr="3D27B52D" w:rsidR="52C04F45">
        <w:rPr>
          <w:rFonts w:ascii="Times New Roman" w:hAnsi="Times New Roman" w:eastAsia="Times New Roman" w:cs="Times New Roman"/>
          <w:b w:val="1"/>
          <w:bCs w:val="1"/>
          <w:color w:val="000000" w:themeColor="text1" w:themeTint="FF" w:themeShade="FF"/>
        </w:rPr>
        <w:t>Fig</w:t>
      </w:r>
      <w:r w:rsidRPr="3D27B52D" w:rsidR="00C4465F">
        <w:rPr>
          <w:rFonts w:ascii="Times New Roman" w:hAnsi="Times New Roman" w:eastAsia="Times New Roman" w:cs="Times New Roman"/>
          <w:b w:val="1"/>
          <w:bCs w:val="1"/>
          <w:color w:val="000000" w:themeColor="text1" w:themeTint="FF" w:themeShade="FF"/>
        </w:rPr>
        <w:t>.</w:t>
      </w:r>
      <w:r w:rsidRPr="3D27B52D" w:rsidR="52C04F45">
        <w:rPr>
          <w:rFonts w:ascii="Times New Roman" w:hAnsi="Times New Roman" w:eastAsia="Times New Roman" w:cs="Times New Roman"/>
          <w:b w:val="1"/>
          <w:bCs w:val="1"/>
          <w:color w:val="000000" w:themeColor="text1" w:themeTint="FF" w:themeShade="FF"/>
        </w:rPr>
        <w:t xml:space="preserve"> S</w:t>
      </w:r>
      <w:r w:rsidRPr="3D27B52D" w:rsidR="51AFFF9B">
        <w:rPr>
          <w:rFonts w:ascii="Times New Roman" w:hAnsi="Times New Roman" w:eastAsia="Times New Roman" w:cs="Times New Roman"/>
          <w:b w:val="1"/>
          <w:bCs w:val="1"/>
          <w:color w:val="000000" w:themeColor="text1" w:themeTint="FF" w:themeShade="FF"/>
        </w:rPr>
        <w:t>6</w:t>
      </w:r>
      <w:r w:rsidRPr="3D27B52D" w:rsidR="52C04F45">
        <w:rPr>
          <w:rFonts w:ascii="Times New Roman" w:hAnsi="Times New Roman" w:eastAsia="Times New Roman" w:cs="Times New Roman"/>
          <w:b w:val="1"/>
          <w:bCs w:val="1"/>
          <w:color w:val="000000" w:themeColor="text1" w:themeTint="FF" w:themeShade="FF"/>
        </w:rPr>
        <w:t xml:space="preserve">: </w:t>
      </w:r>
      <w:r w:rsidRPr="3D27B52D" w:rsidR="04A43F5D">
        <w:rPr>
          <w:rFonts w:ascii="Times New Roman" w:hAnsi="Times New Roman" w:eastAsia="Times New Roman" w:cs="Times New Roman"/>
          <w:b w:val="0"/>
          <w:bCs w:val="0"/>
          <w:color w:val="000000" w:themeColor="text1" w:themeTint="FF" w:themeShade="FF"/>
        </w:rPr>
        <w:t xml:space="preserve">Contribution of compound events to recorded losses. Percentage (%) of historical losses attributable to compound flooding for (a) property and (c) crop losses. The grey color </w:t>
      </w:r>
      <w:r w:rsidRPr="3D27B52D" w:rsidR="04A43F5D">
        <w:rPr>
          <w:rFonts w:ascii="Times New Roman" w:hAnsi="Times New Roman" w:eastAsia="Times New Roman" w:cs="Times New Roman"/>
          <w:b w:val="0"/>
          <w:bCs w:val="0"/>
          <w:color w:val="000000" w:themeColor="text1" w:themeTint="FF" w:themeShade="FF"/>
        </w:rPr>
        <w:t>indicates</w:t>
      </w:r>
      <w:r w:rsidRPr="3D27B52D" w:rsidR="04A43F5D">
        <w:rPr>
          <w:rFonts w:ascii="Times New Roman" w:hAnsi="Times New Roman" w:eastAsia="Times New Roman" w:cs="Times New Roman"/>
          <w:b w:val="0"/>
          <w:bCs w:val="0"/>
          <w:color w:val="000000" w:themeColor="text1" w:themeTint="FF" w:themeShade="FF"/>
        </w:rPr>
        <w:t xml:space="preserve"> counties where there are no historical crop losses from flooding events. The </w:t>
      </w:r>
      <w:r w:rsidRPr="3D27B52D" w:rsidR="04A43F5D">
        <w:rPr>
          <w:rFonts w:ascii="Times New Roman" w:hAnsi="Times New Roman" w:eastAsia="Times New Roman" w:cs="Times New Roman"/>
          <w:b w:val="0"/>
          <w:bCs w:val="0"/>
          <w:color w:val="000000" w:themeColor="text1" w:themeTint="FF" w:themeShade="FF"/>
        </w:rPr>
        <w:t>colorbar</w:t>
      </w:r>
      <w:r w:rsidRPr="3D27B52D" w:rsidR="04A43F5D">
        <w:rPr>
          <w:rFonts w:ascii="Times New Roman" w:hAnsi="Times New Roman" w:eastAsia="Times New Roman" w:cs="Times New Roman"/>
          <w:b w:val="0"/>
          <w:bCs w:val="0"/>
          <w:color w:val="000000" w:themeColor="text1" w:themeTint="FF" w:themeShade="FF"/>
        </w:rPr>
        <w:t xml:space="preserve"> is cutoff at 90% with lower values shown in the same color for property loss and crop loss.</w:t>
      </w:r>
    </w:p>
    <w:sectPr w:rsidR="32CB830F">
      <w:pgSz w:w="12240" w:h="15840" w:orient="portrait"/>
      <w:pgMar w:top="1440" w:right="1440" w:bottom="1440" w:left="1440" w:header="720" w:footer="720" w:gutter="0"/>
      <w:cols w:space="720"/>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9F54E8"/>
    <w:multiLevelType w:val="hybridMultilevel"/>
    <w:tmpl w:val="85C8B896"/>
    <w:lvl w:ilvl="0" w:tplc="081208AA">
      <w:start w:val="1"/>
      <w:numFmt w:val="bullet"/>
      <w:lvlText w:val=""/>
      <w:lvlJc w:val="left"/>
      <w:pPr>
        <w:ind w:left="720" w:hanging="360"/>
      </w:pPr>
      <w:rPr>
        <w:rFonts w:hint="default" w:ascii="Symbol" w:hAnsi="Symbol"/>
      </w:rPr>
    </w:lvl>
    <w:lvl w:ilvl="1" w:tplc="ADDED0D0">
      <w:start w:val="1"/>
      <w:numFmt w:val="bullet"/>
      <w:lvlText w:val="o"/>
      <w:lvlJc w:val="left"/>
      <w:pPr>
        <w:ind w:left="1440" w:hanging="360"/>
      </w:pPr>
      <w:rPr>
        <w:rFonts w:hint="default" w:ascii="Courier New" w:hAnsi="Courier New"/>
      </w:rPr>
    </w:lvl>
    <w:lvl w:ilvl="2" w:tplc="5EA67A04">
      <w:start w:val="1"/>
      <w:numFmt w:val="bullet"/>
      <w:lvlText w:val=""/>
      <w:lvlJc w:val="left"/>
      <w:pPr>
        <w:ind w:left="2160" w:hanging="360"/>
      </w:pPr>
      <w:rPr>
        <w:rFonts w:hint="default" w:ascii="Wingdings" w:hAnsi="Wingdings"/>
      </w:rPr>
    </w:lvl>
    <w:lvl w:ilvl="3" w:tplc="7558193C">
      <w:start w:val="1"/>
      <w:numFmt w:val="bullet"/>
      <w:lvlText w:val=""/>
      <w:lvlJc w:val="left"/>
      <w:pPr>
        <w:ind w:left="2880" w:hanging="360"/>
      </w:pPr>
      <w:rPr>
        <w:rFonts w:hint="default" w:ascii="Symbol" w:hAnsi="Symbol"/>
      </w:rPr>
    </w:lvl>
    <w:lvl w:ilvl="4" w:tplc="6A3C0BF8">
      <w:start w:val="1"/>
      <w:numFmt w:val="bullet"/>
      <w:lvlText w:val="o"/>
      <w:lvlJc w:val="left"/>
      <w:pPr>
        <w:ind w:left="3600" w:hanging="360"/>
      </w:pPr>
      <w:rPr>
        <w:rFonts w:hint="default" w:ascii="Courier New" w:hAnsi="Courier New"/>
      </w:rPr>
    </w:lvl>
    <w:lvl w:ilvl="5" w:tplc="A0C08CD4">
      <w:start w:val="1"/>
      <w:numFmt w:val="bullet"/>
      <w:lvlText w:val=""/>
      <w:lvlJc w:val="left"/>
      <w:pPr>
        <w:ind w:left="4320" w:hanging="360"/>
      </w:pPr>
      <w:rPr>
        <w:rFonts w:hint="default" w:ascii="Wingdings" w:hAnsi="Wingdings"/>
      </w:rPr>
    </w:lvl>
    <w:lvl w:ilvl="6" w:tplc="236C4E6E">
      <w:start w:val="1"/>
      <w:numFmt w:val="bullet"/>
      <w:lvlText w:val=""/>
      <w:lvlJc w:val="left"/>
      <w:pPr>
        <w:ind w:left="5040" w:hanging="360"/>
      </w:pPr>
      <w:rPr>
        <w:rFonts w:hint="default" w:ascii="Symbol" w:hAnsi="Symbol"/>
      </w:rPr>
    </w:lvl>
    <w:lvl w:ilvl="7" w:tplc="6354F1DA">
      <w:start w:val="1"/>
      <w:numFmt w:val="bullet"/>
      <w:lvlText w:val="o"/>
      <w:lvlJc w:val="left"/>
      <w:pPr>
        <w:ind w:left="5760" w:hanging="360"/>
      </w:pPr>
      <w:rPr>
        <w:rFonts w:hint="default" w:ascii="Courier New" w:hAnsi="Courier New"/>
      </w:rPr>
    </w:lvl>
    <w:lvl w:ilvl="8" w:tplc="F432A7B2">
      <w:start w:val="1"/>
      <w:numFmt w:val="bullet"/>
      <w:lvlText w:val=""/>
      <w:lvlJc w:val="left"/>
      <w:pPr>
        <w:ind w:left="6480" w:hanging="360"/>
      </w:pPr>
      <w:rPr>
        <w:rFonts w:hint="default" w:ascii="Wingdings" w:hAnsi="Wingdings"/>
      </w:rPr>
    </w:lvl>
  </w:abstractNum>
  <w:abstractNum w:abstractNumId="1" w15:restartNumberingAfterBreak="0">
    <w:nsid w:val="38086C55"/>
    <w:multiLevelType w:val="hybridMultilevel"/>
    <w:tmpl w:val="2A5EA75E"/>
    <w:lvl w:ilvl="0" w:tplc="51BC12B6">
      <w:start w:val="1"/>
      <w:numFmt w:val="bullet"/>
      <w:lvlText w:val=""/>
      <w:lvlJc w:val="left"/>
      <w:pPr>
        <w:ind w:left="720" w:hanging="360"/>
      </w:pPr>
      <w:rPr>
        <w:rFonts w:hint="default" w:ascii="Symbol" w:hAnsi="Symbol"/>
      </w:rPr>
    </w:lvl>
    <w:lvl w:ilvl="1" w:tplc="0F7EA5FE">
      <w:start w:val="1"/>
      <w:numFmt w:val="bullet"/>
      <w:lvlText w:val="o"/>
      <w:lvlJc w:val="left"/>
      <w:pPr>
        <w:ind w:left="1440" w:hanging="360"/>
      </w:pPr>
      <w:rPr>
        <w:rFonts w:hint="default" w:ascii="Courier New" w:hAnsi="Courier New"/>
      </w:rPr>
    </w:lvl>
    <w:lvl w:ilvl="2" w:tplc="AA2A8E38">
      <w:start w:val="1"/>
      <w:numFmt w:val="bullet"/>
      <w:lvlText w:val=""/>
      <w:lvlJc w:val="left"/>
      <w:pPr>
        <w:ind w:left="2160" w:hanging="360"/>
      </w:pPr>
      <w:rPr>
        <w:rFonts w:hint="default" w:ascii="Wingdings" w:hAnsi="Wingdings"/>
      </w:rPr>
    </w:lvl>
    <w:lvl w:ilvl="3" w:tplc="73ECB968">
      <w:start w:val="1"/>
      <w:numFmt w:val="bullet"/>
      <w:lvlText w:val=""/>
      <w:lvlJc w:val="left"/>
      <w:pPr>
        <w:ind w:left="2880" w:hanging="360"/>
      </w:pPr>
      <w:rPr>
        <w:rFonts w:hint="default" w:ascii="Symbol" w:hAnsi="Symbol"/>
      </w:rPr>
    </w:lvl>
    <w:lvl w:ilvl="4" w:tplc="3F528256">
      <w:start w:val="1"/>
      <w:numFmt w:val="bullet"/>
      <w:lvlText w:val="o"/>
      <w:lvlJc w:val="left"/>
      <w:pPr>
        <w:ind w:left="3600" w:hanging="360"/>
      </w:pPr>
      <w:rPr>
        <w:rFonts w:hint="default" w:ascii="Courier New" w:hAnsi="Courier New"/>
      </w:rPr>
    </w:lvl>
    <w:lvl w:ilvl="5" w:tplc="B34C0FCE">
      <w:start w:val="1"/>
      <w:numFmt w:val="bullet"/>
      <w:lvlText w:val=""/>
      <w:lvlJc w:val="left"/>
      <w:pPr>
        <w:ind w:left="4320" w:hanging="360"/>
      </w:pPr>
      <w:rPr>
        <w:rFonts w:hint="default" w:ascii="Wingdings" w:hAnsi="Wingdings"/>
      </w:rPr>
    </w:lvl>
    <w:lvl w:ilvl="6" w:tplc="BCCEDF24">
      <w:start w:val="1"/>
      <w:numFmt w:val="bullet"/>
      <w:lvlText w:val=""/>
      <w:lvlJc w:val="left"/>
      <w:pPr>
        <w:ind w:left="5040" w:hanging="360"/>
      </w:pPr>
      <w:rPr>
        <w:rFonts w:hint="default" w:ascii="Symbol" w:hAnsi="Symbol"/>
      </w:rPr>
    </w:lvl>
    <w:lvl w:ilvl="7" w:tplc="E81657C6">
      <w:start w:val="1"/>
      <w:numFmt w:val="bullet"/>
      <w:lvlText w:val="o"/>
      <w:lvlJc w:val="left"/>
      <w:pPr>
        <w:ind w:left="5760" w:hanging="360"/>
      </w:pPr>
      <w:rPr>
        <w:rFonts w:hint="default" w:ascii="Courier New" w:hAnsi="Courier New"/>
      </w:rPr>
    </w:lvl>
    <w:lvl w:ilvl="8" w:tplc="DDB4FFC2">
      <w:start w:val="1"/>
      <w:numFmt w:val="bullet"/>
      <w:lvlText w:val=""/>
      <w:lvlJc w:val="left"/>
      <w:pPr>
        <w:ind w:left="6480" w:hanging="360"/>
      </w:pPr>
      <w:rPr>
        <w:rFonts w:hint="default" w:ascii="Wingdings" w:hAnsi="Wingdings"/>
      </w:rPr>
    </w:lvl>
  </w:abstractNum>
  <w:abstractNum w:abstractNumId="2" w15:restartNumberingAfterBreak="0">
    <w:nsid w:val="38141705"/>
    <w:multiLevelType w:val="hybridMultilevel"/>
    <w:tmpl w:val="78CE19D4"/>
    <w:lvl w:ilvl="0" w:tplc="39E8D92C">
      <w:start w:val="1"/>
      <w:numFmt w:val="bullet"/>
      <w:lvlText w:val=""/>
      <w:lvlJc w:val="left"/>
      <w:pPr>
        <w:ind w:left="720" w:hanging="360"/>
      </w:pPr>
      <w:rPr>
        <w:rFonts w:hint="default" w:ascii="Symbol" w:hAnsi="Symbol"/>
      </w:rPr>
    </w:lvl>
    <w:lvl w:ilvl="1" w:tplc="1BD29DD4">
      <w:start w:val="1"/>
      <w:numFmt w:val="bullet"/>
      <w:lvlText w:val="o"/>
      <w:lvlJc w:val="left"/>
      <w:pPr>
        <w:ind w:left="1440" w:hanging="360"/>
      </w:pPr>
      <w:rPr>
        <w:rFonts w:hint="default" w:ascii="Courier New" w:hAnsi="Courier New"/>
      </w:rPr>
    </w:lvl>
    <w:lvl w:ilvl="2" w:tplc="6BD2AFB6">
      <w:start w:val="1"/>
      <w:numFmt w:val="bullet"/>
      <w:lvlText w:val=""/>
      <w:lvlJc w:val="left"/>
      <w:pPr>
        <w:ind w:left="2160" w:hanging="360"/>
      </w:pPr>
      <w:rPr>
        <w:rFonts w:hint="default" w:ascii="Wingdings" w:hAnsi="Wingdings"/>
      </w:rPr>
    </w:lvl>
    <w:lvl w:ilvl="3" w:tplc="63E8240A">
      <w:start w:val="1"/>
      <w:numFmt w:val="bullet"/>
      <w:lvlText w:val=""/>
      <w:lvlJc w:val="left"/>
      <w:pPr>
        <w:ind w:left="2880" w:hanging="360"/>
      </w:pPr>
      <w:rPr>
        <w:rFonts w:hint="default" w:ascii="Symbol" w:hAnsi="Symbol"/>
      </w:rPr>
    </w:lvl>
    <w:lvl w:ilvl="4" w:tplc="F49EEACE">
      <w:start w:val="1"/>
      <w:numFmt w:val="bullet"/>
      <w:lvlText w:val="o"/>
      <w:lvlJc w:val="left"/>
      <w:pPr>
        <w:ind w:left="3600" w:hanging="360"/>
      </w:pPr>
      <w:rPr>
        <w:rFonts w:hint="default" w:ascii="Courier New" w:hAnsi="Courier New"/>
      </w:rPr>
    </w:lvl>
    <w:lvl w:ilvl="5" w:tplc="64DA5A6C">
      <w:start w:val="1"/>
      <w:numFmt w:val="bullet"/>
      <w:lvlText w:val=""/>
      <w:lvlJc w:val="left"/>
      <w:pPr>
        <w:ind w:left="4320" w:hanging="360"/>
      </w:pPr>
      <w:rPr>
        <w:rFonts w:hint="default" w:ascii="Wingdings" w:hAnsi="Wingdings"/>
      </w:rPr>
    </w:lvl>
    <w:lvl w:ilvl="6" w:tplc="4B3E20B4">
      <w:start w:val="1"/>
      <w:numFmt w:val="bullet"/>
      <w:lvlText w:val=""/>
      <w:lvlJc w:val="left"/>
      <w:pPr>
        <w:ind w:left="5040" w:hanging="360"/>
      </w:pPr>
      <w:rPr>
        <w:rFonts w:hint="default" w:ascii="Symbol" w:hAnsi="Symbol"/>
      </w:rPr>
    </w:lvl>
    <w:lvl w:ilvl="7" w:tplc="E5D24A3C">
      <w:start w:val="1"/>
      <w:numFmt w:val="bullet"/>
      <w:lvlText w:val="o"/>
      <w:lvlJc w:val="left"/>
      <w:pPr>
        <w:ind w:left="5760" w:hanging="360"/>
      </w:pPr>
      <w:rPr>
        <w:rFonts w:hint="default" w:ascii="Courier New" w:hAnsi="Courier New"/>
      </w:rPr>
    </w:lvl>
    <w:lvl w:ilvl="8" w:tplc="37A2960C">
      <w:start w:val="1"/>
      <w:numFmt w:val="bullet"/>
      <w:lvlText w:val=""/>
      <w:lvlJc w:val="left"/>
      <w:pPr>
        <w:ind w:left="6480" w:hanging="360"/>
      </w:pPr>
      <w:rPr>
        <w:rFonts w:hint="default" w:ascii="Wingdings" w:hAnsi="Wingdings"/>
      </w:rPr>
    </w:lvl>
  </w:abstractNum>
  <w:abstractNum w:abstractNumId="3" w15:restartNumberingAfterBreak="0">
    <w:nsid w:val="461301DE"/>
    <w:multiLevelType w:val="hybridMultilevel"/>
    <w:tmpl w:val="4B3828BE"/>
    <w:lvl w:ilvl="0" w:tplc="4390630C">
      <w:start w:val="1"/>
      <w:numFmt w:val="bullet"/>
      <w:lvlText w:val=""/>
      <w:lvlJc w:val="left"/>
      <w:pPr>
        <w:ind w:left="720" w:hanging="360"/>
      </w:pPr>
      <w:rPr>
        <w:rFonts w:hint="default" w:ascii="Symbol" w:hAnsi="Symbol"/>
      </w:rPr>
    </w:lvl>
    <w:lvl w:ilvl="1" w:tplc="3ACE818E">
      <w:start w:val="1"/>
      <w:numFmt w:val="bullet"/>
      <w:lvlText w:val="o"/>
      <w:lvlJc w:val="left"/>
      <w:pPr>
        <w:ind w:left="1440" w:hanging="360"/>
      </w:pPr>
      <w:rPr>
        <w:rFonts w:hint="default" w:ascii="Courier New" w:hAnsi="Courier New"/>
      </w:rPr>
    </w:lvl>
    <w:lvl w:ilvl="2" w:tplc="88AEE1E8">
      <w:start w:val="1"/>
      <w:numFmt w:val="bullet"/>
      <w:lvlText w:val=""/>
      <w:lvlJc w:val="left"/>
      <w:pPr>
        <w:ind w:left="2160" w:hanging="360"/>
      </w:pPr>
      <w:rPr>
        <w:rFonts w:hint="default" w:ascii="Wingdings" w:hAnsi="Wingdings"/>
      </w:rPr>
    </w:lvl>
    <w:lvl w:ilvl="3" w:tplc="30FEF49C">
      <w:start w:val="1"/>
      <w:numFmt w:val="bullet"/>
      <w:lvlText w:val=""/>
      <w:lvlJc w:val="left"/>
      <w:pPr>
        <w:ind w:left="2880" w:hanging="360"/>
      </w:pPr>
      <w:rPr>
        <w:rFonts w:hint="default" w:ascii="Symbol" w:hAnsi="Symbol"/>
      </w:rPr>
    </w:lvl>
    <w:lvl w:ilvl="4" w:tplc="90B264BA">
      <w:start w:val="1"/>
      <w:numFmt w:val="bullet"/>
      <w:lvlText w:val="o"/>
      <w:lvlJc w:val="left"/>
      <w:pPr>
        <w:ind w:left="3600" w:hanging="360"/>
      </w:pPr>
      <w:rPr>
        <w:rFonts w:hint="default" w:ascii="Courier New" w:hAnsi="Courier New"/>
      </w:rPr>
    </w:lvl>
    <w:lvl w:ilvl="5" w:tplc="AC363346">
      <w:start w:val="1"/>
      <w:numFmt w:val="bullet"/>
      <w:lvlText w:val=""/>
      <w:lvlJc w:val="left"/>
      <w:pPr>
        <w:ind w:left="4320" w:hanging="360"/>
      </w:pPr>
      <w:rPr>
        <w:rFonts w:hint="default" w:ascii="Wingdings" w:hAnsi="Wingdings"/>
      </w:rPr>
    </w:lvl>
    <w:lvl w:ilvl="6" w:tplc="659685C4">
      <w:start w:val="1"/>
      <w:numFmt w:val="bullet"/>
      <w:lvlText w:val=""/>
      <w:lvlJc w:val="left"/>
      <w:pPr>
        <w:ind w:left="5040" w:hanging="360"/>
      </w:pPr>
      <w:rPr>
        <w:rFonts w:hint="default" w:ascii="Symbol" w:hAnsi="Symbol"/>
      </w:rPr>
    </w:lvl>
    <w:lvl w:ilvl="7" w:tplc="436E3BAA">
      <w:start w:val="1"/>
      <w:numFmt w:val="bullet"/>
      <w:lvlText w:val="o"/>
      <w:lvlJc w:val="left"/>
      <w:pPr>
        <w:ind w:left="5760" w:hanging="360"/>
      </w:pPr>
      <w:rPr>
        <w:rFonts w:hint="default" w:ascii="Courier New" w:hAnsi="Courier New"/>
      </w:rPr>
    </w:lvl>
    <w:lvl w:ilvl="8" w:tplc="5744673E">
      <w:start w:val="1"/>
      <w:numFmt w:val="bullet"/>
      <w:lvlText w:val=""/>
      <w:lvlJc w:val="left"/>
      <w:pPr>
        <w:ind w:left="6480" w:hanging="360"/>
      </w:pPr>
      <w:rPr>
        <w:rFonts w:hint="default" w:ascii="Wingdings" w:hAnsi="Wingdings"/>
      </w:rPr>
    </w:lvl>
  </w:abstractNum>
  <w:abstractNum w:abstractNumId="4" w15:restartNumberingAfterBreak="0">
    <w:nsid w:val="563693E4"/>
    <w:multiLevelType w:val="hybridMultilevel"/>
    <w:tmpl w:val="EAB6E1B8"/>
    <w:lvl w:ilvl="0" w:tplc="13086FB0">
      <w:start w:val="1"/>
      <w:numFmt w:val="decimal"/>
      <w:lvlText w:val="%1."/>
      <w:lvlJc w:val="left"/>
      <w:pPr>
        <w:ind w:left="720" w:hanging="360"/>
      </w:pPr>
    </w:lvl>
    <w:lvl w:ilvl="1" w:tplc="2E2A55CC">
      <w:start w:val="1"/>
      <w:numFmt w:val="lowerLetter"/>
      <w:lvlText w:val="%2."/>
      <w:lvlJc w:val="left"/>
      <w:pPr>
        <w:ind w:left="1440" w:hanging="360"/>
      </w:pPr>
    </w:lvl>
    <w:lvl w:ilvl="2" w:tplc="05025934">
      <w:start w:val="1"/>
      <w:numFmt w:val="lowerRoman"/>
      <w:lvlText w:val="%3."/>
      <w:lvlJc w:val="right"/>
      <w:pPr>
        <w:ind w:left="2160" w:hanging="180"/>
      </w:pPr>
    </w:lvl>
    <w:lvl w:ilvl="3" w:tplc="898AE058">
      <w:start w:val="1"/>
      <w:numFmt w:val="decimal"/>
      <w:lvlText w:val="%4."/>
      <w:lvlJc w:val="left"/>
      <w:pPr>
        <w:ind w:left="2880" w:hanging="360"/>
      </w:pPr>
    </w:lvl>
    <w:lvl w:ilvl="4" w:tplc="4A1691E6">
      <w:start w:val="1"/>
      <w:numFmt w:val="lowerLetter"/>
      <w:lvlText w:val="%5."/>
      <w:lvlJc w:val="left"/>
      <w:pPr>
        <w:ind w:left="3600" w:hanging="360"/>
      </w:pPr>
    </w:lvl>
    <w:lvl w:ilvl="5" w:tplc="A498EC88">
      <w:start w:val="1"/>
      <w:numFmt w:val="lowerRoman"/>
      <w:lvlText w:val="%6."/>
      <w:lvlJc w:val="right"/>
      <w:pPr>
        <w:ind w:left="4320" w:hanging="180"/>
      </w:pPr>
    </w:lvl>
    <w:lvl w:ilvl="6" w:tplc="A9245B8E">
      <w:start w:val="1"/>
      <w:numFmt w:val="decimal"/>
      <w:lvlText w:val="%7."/>
      <w:lvlJc w:val="left"/>
      <w:pPr>
        <w:ind w:left="5040" w:hanging="360"/>
      </w:pPr>
    </w:lvl>
    <w:lvl w:ilvl="7" w:tplc="DD0CD69A">
      <w:start w:val="1"/>
      <w:numFmt w:val="lowerLetter"/>
      <w:lvlText w:val="%8."/>
      <w:lvlJc w:val="left"/>
      <w:pPr>
        <w:ind w:left="5760" w:hanging="360"/>
      </w:pPr>
    </w:lvl>
    <w:lvl w:ilvl="8" w:tplc="8FD41AC6">
      <w:start w:val="1"/>
      <w:numFmt w:val="lowerRoman"/>
      <w:lvlText w:val="%9."/>
      <w:lvlJc w:val="right"/>
      <w:pPr>
        <w:ind w:left="6480" w:hanging="180"/>
      </w:pPr>
    </w:lvl>
  </w:abstractNum>
  <w:abstractNum w:abstractNumId="5" w15:restartNumberingAfterBreak="0">
    <w:nsid w:val="57BCD00E"/>
    <w:multiLevelType w:val="hybridMultilevel"/>
    <w:tmpl w:val="91120848"/>
    <w:lvl w:ilvl="0" w:tplc="13D8BEDA">
      <w:start w:val="1"/>
      <w:numFmt w:val="decimal"/>
      <w:lvlText w:val="%1."/>
      <w:lvlJc w:val="left"/>
      <w:pPr>
        <w:ind w:left="720" w:hanging="360"/>
      </w:pPr>
    </w:lvl>
    <w:lvl w:ilvl="1" w:tplc="2C10E804">
      <w:start w:val="1"/>
      <w:numFmt w:val="lowerLetter"/>
      <w:lvlText w:val="%2."/>
      <w:lvlJc w:val="left"/>
      <w:pPr>
        <w:ind w:left="1440" w:hanging="360"/>
      </w:pPr>
    </w:lvl>
    <w:lvl w:ilvl="2" w:tplc="88B6527C">
      <w:start w:val="1"/>
      <w:numFmt w:val="lowerRoman"/>
      <w:lvlText w:val="%3."/>
      <w:lvlJc w:val="right"/>
      <w:pPr>
        <w:ind w:left="2160" w:hanging="180"/>
      </w:pPr>
    </w:lvl>
    <w:lvl w:ilvl="3" w:tplc="B6FEA9B0">
      <w:start w:val="1"/>
      <w:numFmt w:val="decimal"/>
      <w:lvlText w:val="%4."/>
      <w:lvlJc w:val="left"/>
      <w:pPr>
        <w:ind w:left="2880" w:hanging="360"/>
      </w:pPr>
    </w:lvl>
    <w:lvl w:ilvl="4" w:tplc="67BCFE46">
      <w:start w:val="1"/>
      <w:numFmt w:val="lowerLetter"/>
      <w:lvlText w:val="%5."/>
      <w:lvlJc w:val="left"/>
      <w:pPr>
        <w:ind w:left="3600" w:hanging="360"/>
      </w:pPr>
    </w:lvl>
    <w:lvl w:ilvl="5" w:tplc="88A47056">
      <w:start w:val="1"/>
      <w:numFmt w:val="lowerRoman"/>
      <w:lvlText w:val="%6."/>
      <w:lvlJc w:val="right"/>
      <w:pPr>
        <w:ind w:left="4320" w:hanging="180"/>
      </w:pPr>
    </w:lvl>
    <w:lvl w:ilvl="6" w:tplc="2CC62296">
      <w:start w:val="1"/>
      <w:numFmt w:val="decimal"/>
      <w:lvlText w:val="%7."/>
      <w:lvlJc w:val="left"/>
      <w:pPr>
        <w:ind w:left="5040" w:hanging="360"/>
      </w:pPr>
    </w:lvl>
    <w:lvl w:ilvl="7" w:tplc="53B84504">
      <w:start w:val="1"/>
      <w:numFmt w:val="lowerLetter"/>
      <w:lvlText w:val="%8."/>
      <w:lvlJc w:val="left"/>
      <w:pPr>
        <w:ind w:left="5760" w:hanging="360"/>
      </w:pPr>
    </w:lvl>
    <w:lvl w:ilvl="8" w:tplc="1AB4C360">
      <w:start w:val="1"/>
      <w:numFmt w:val="lowerRoman"/>
      <w:lvlText w:val="%9."/>
      <w:lvlJc w:val="right"/>
      <w:pPr>
        <w:ind w:left="6480" w:hanging="180"/>
      </w:pPr>
    </w:lvl>
  </w:abstractNum>
  <w:abstractNum w:abstractNumId="6" w15:restartNumberingAfterBreak="0">
    <w:nsid w:val="68310C30"/>
    <w:multiLevelType w:val="hybridMultilevel"/>
    <w:tmpl w:val="2E7E1D04"/>
    <w:lvl w:ilvl="0" w:tplc="70723E18">
      <w:start w:val="1"/>
      <w:numFmt w:val="bullet"/>
      <w:lvlText w:val=""/>
      <w:lvlJc w:val="left"/>
      <w:pPr>
        <w:ind w:left="720" w:hanging="360"/>
      </w:pPr>
      <w:rPr>
        <w:rFonts w:hint="default" w:ascii="Symbol" w:hAnsi="Symbol"/>
      </w:rPr>
    </w:lvl>
    <w:lvl w:ilvl="1" w:tplc="69A44218">
      <w:start w:val="1"/>
      <w:numFmt w:val="bullet"/>
      <w:lvlText w:val="o"/>
      <w:lvlJc w:val="left"/>
      <w:pPr>
        <w:ind w:left="1440" w:hanging="360"/>
      </w:pPr>
      <w:rPr>
        <w:rFonts w:hint="default" w:ascii="Courier New" w:hAnsi="Courier New"/>
      </w:rPr>
    </w:lvl>
    <w:lvl w:ilvl="2" w:tplc="126279C0">
      <w:start w:val="1"/>
      <w:numFmt w:val="bullet"/>
      <w:lvlText w:val=""/>
      <w:lvlJc w:val="left"/>
      <w:pPr>
        <w:ind w:left="2160" w:hanging="360"/>
      </w:pPr>
      <w:rPr>
        <w:rFonts w:hint="default" w:ascii="Wingdings" w:hAnsi="Wingdings"/>
      </w:rPr>
    </w:lvl>
    <w:lvl w:ilvl="3" w:tplc="4A38971A">
      <w:start w:val="1"/>
      <w:numFmt w:val="bullet"/>
      <w:lvlText w:val=""/>
      <w:lvlJc w:val="left"/>
      <w:pPr>
        <w:ind w:left="2880" w:hanging="360"/>
      </w:pPr>
      <w:rPr>
        <w:rFonts w:hint="default" w:ascii="Symbol" w:hAnsi="Symbol"/>
      </w:rPr>
    </w:lvl>
    <w:lvl w:ilvl="4" w:tplc="37F6683E">
      <w:start w:val="1"/>
      <w:numFmt w:val="bullet"/>
      <w:lvlText w:val="o"/>
      <w:lvlJc w:val="left"/>
      <w:pPr>
        <w:ind w:left="3600" w:hanging="360"/>
      </w:pPr>
      <w:rPr>
        <w:rFonts w:hint="default" w:ascii="Courier New" w:hAnsi="Courier New"/>
      </w:rPr>
    </w:lvl>
    <w:lvl w:ilvl="5" w:tplc="9BD259C4">
      <w:start w:val="1"/>
      <w:numFmt w:val="bullet"/>
      <w:lvlText w:val=""/>
      <w:lvlJc w:val="left"/>
      <w:pPr>
        <w:ind w:left="4320" w:hanging="360"/>
      </w:pPr>
      <w:rPr>
        <w:rFonts w:hint="default" w:ascii="Wingdings" w:hAnsi="Wingdings"/>
      </w:rPr>
    </w:lvl>
    <w:lvl w:ilvl="6" w:tplc="09D0C250">
      <w:start w:val="1"/>
      <w:numFmt w:val="bullet"/>
      <w:lvlText w:val=""/>
      <w:lvlJc w:val="left"/>
      <w:pPr>
        <w:ind w:left="5040" w:hanging="360"/>
      </w:pPr>
      <w:rPr>
        <w:rFonts w:hint="default" w:ascii="Symbol" w:hAnsi="Symbol"/>
      </w:rPr>
    </w:lvl>
    <w:lvl w:ilvl="7" w:tplc="EAAA161E">
      <w:start w:val="1"/>
      <w:numFmt w:val="bullet"/>
      <w:lvlText w:val="o"/>
      <w:lvlJc w:val="left"/>
      <w:pPr>
        <w:ind w:left="5760" w:hanging="360"/>
      </w:pPr>
      <w:rPr>
        <w:rFonts w:hint="default" w:ascii="Courier New" w:hAnsi="Courier New"/>
      </w:rPr>
    </w:lvl>
    <w:lvl w:ilvl="8" w:tplc="F2149BB6">
      <w:start w:val="1"/>
      <w:numFmt w:val="bullet"/>
      <w:lvlText w:val=""/>
      <w:lvlJc w:val="left"/>
      <w:pPr>
        <w:ind w:left="6480" w:hanging="360"/>
      </w:pPr>
      <w:rPr>
        <w:rFonts w:hint="default" w:ascii="Wingdings" w:hAnsi="Wingdings"/>
      </w:rPr>
    </w:lvl>
  </w:abstractNum>
  <w:num w:numId="1" w16cid:durableId="543715074">
    <w:abstractNumId w:val="4"/>
  </w:num>
  <w:num w:numId="2" w16cid:durableId="556626637">
    <w:abstractNumId w:val="5"/>
  </w:num>
  <w:num w:numId="3" w16cid:durableId="955260506">
    <w:abstractNumId w:val="6"/>
  </w:num>
  <w:num w:numId="4" w16cid:durableId="853762064">
    <w:abstractNumId w:val="1"/>
  </w:num>
  <w:num w:numId="5" w16cid:durableId="1670477545">
    <w:abstractNumId w:val="2"/>
  </w:num>
  <w:num w:numId="6" w16cid:durableId="6954205">
    <w:abstractNumId w:val="0"/>
  </w:num>
  <w:num w:numId="7" w16cid:durableId="34014733">
    <w:abstractNumId w:val="3"/>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trackRevisions w:val="false"/>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8D4FB1D"/>
    <w:rsid w:val="0009727B"/>
    <w:rsid w:val="00245325"/>
    <w:rsid w:val="002FAD2F"/>
    <w:rsid w:val="003D2FB2"/>
    <w:rsid w:val="004B7331"/>
    <w:rsid w:val="0059251F"/>
    <w:rsid w:val="006C7010"/>
    <w:rsid w:val="007755BF"/>
    <w:rsid w:val="0079720B"/>
    <w:rsid w:val="007D5F65"/>
    <w:rsid w:val="00A463B8"/>
    <w:rsid w:val="00B02723"/>
    <w:rsid w:val="00B02910"/>
    <w:rsid w:val="00C4465F"/>
    <w:rsid w:val="00CE203C"/>
    <w:rsid w:val="00E55E1F"/>
    <w:rsid w:val="00EA7A6C"/>
    <w:rsid w:val="00EF0BDF"/>
    <w:rsid w:val="0173AC01"/>
    <w:rsid w:val="023BCBD6"/>
    <w:rsid w:val="0305D285"/>
    <w:rsid w:val="040EB749"/>
    <w:rsid w:val="0485DD21"/>
    <w:rsid w:val="04A43F5D"/>
    <w:rsid w:val="050A6405"/>
    <w:rsid w:val="057243D9"/>
    <w:rsid w:val="05794AC1"/>
    <w:rsid w:val="05C35DEC"/>
    <w:rsid w:val="0898E0C4"/>
    <w:rsid w:val="095F665B"/>
    <w:rsid w:val="0C534C48"/>
    <w:rsid w:val="0C67C149"/>
    <w:rsid w:val="0C9740C6"/>
    <w:rsid w:val="0CCC7DEE"/>
    <w:rsid w:val="0E6B792C"/>
    <w:rsid w:val="0EBD32CB"/>
    <w:rsid w:val="1027A5F7"/>
    <w:rsid w:val="11124DEE"/>
    <w:rsid w:val="119507C7"/>
    <w:rsid w:val="11A3F315"/>
    <w:rsid w:val="11B7E493"/>
    <w:rsid w:val="13D964ED"/>
    <w:rsid w:val="13F99917"/>
    <w:rsid w:val="14EE0D3F"/>
    <w:rsid w:val="153DA086"/>
    <w:rsid w:val="170B9D2E"/>
    <w:rsid w:val="1ADF63A3"/>
    <w:rsid w:val="1B58B4F0"/>
    <w:rsid w:val="1BF0820B"/>
    <w:rsid w:val="1C10BDC6"/>
    <w:rsid w:val="20EF78B2"/>
    <w:rsid w:val="2221CB69"/>
    <w:rsid w:val="2366C34C"/>
    <w:rsid w:val="23B6527D"/>
    <w:rsid w:val="24ADF01A"/>
    <w:rsid w:val="24F86FE4"/>
    <w:rsid w:val="25B90347"/>
    <w:rsid w:val="26183A8F"/>
    <w:rsid w:val="28833421"/>
    <w:rsid w:val="28C5D2F9"/>
    <w:rsid w:val="2922EA89"/>
    <w:rsid w:val="29D65363"/>
    <w:rsid w:val="2C299CEF"/>
    <w:rsid w:val="2C299CEF"/>
    <w:rsid w:val="2D78D766"/>
    <w:rsid w:val="2E3570D9"/>
    <w:rsid w:val="2E75703D"/>
    <w:rsid w:val="2EBE0257"/>
    <w:rsid w:val="2FCF2662"/>
    <w:rsid w:val="2FD0AC1D"/>
    <w:rsid w:val="2FFFBE70"/>
    <w:rsid w:val="3111E5F0"/>
    <w:rsid w:val="31D9B25A"/>
    <w:rsid w:val="31E2FFA6"/>
    <w:rsid w:val="32CB830F"/>
    <w:rsid w:val="32D3E157"/>
    <w:rsid w:val="32D657B6"/>
    <w:rsid w:val="3371A04C"/>
    <w:rsid w:val="341EE543"/>
    <w:rsid w:val="347CA659"/>
    <w:rsid w:val="34826B08"/>
    <w:rsid w:val="35408C24"/>
    <w:rsid w:val="354A525F"/>
    <w:rsid w:val="360B7FC8"/>
    <w:rsid w:val="37553B47"/>
    <w:rsid w:val="38A63FB2"/>
    <w:rsid w:val="3AAEF27B"/>
    <w:rsid w:val="3BD2A1F5"/>
    <w:rsid w:val="3C404F05"/>
    <w:rsid w:val="3C6820E2"/>
    <w:rsid w:val="3D27B52D"/>
    <w:rsid w:val="3DC9C538"/>
    <w:rsid w:val="3E0B27F1"/>
    <w:rsid w:val="3EB4F30B"/>
    <w:rsid w:val="41176D81"/>
    <w:rsid w:val="4152082F"/>
    <w:rsid w:val="43F36FEA"/>
    <w:rsid w:val="446D0BA3"/>
    <w:rsid w:val="45A9360C"/>
    <w:rsid w:val="45F47CD5"/>
    <w:rsid w:val="4734033E"/>
    <w:rsid w:val="477472F3"/>
    <w:rsid w:val="494E8E5E"/>
    <w:rsid w:val="499F329E"/>
    <w:rsid w:val="4A036C76"/>
    <w:rsid w:val="4A288400"/>
    <w:rsid w:val="4A52A524"/>
    <w:rsid w:val="4CA10F37"/>
    <w:rsid w:val="4D38D284"/>
    <w:rsid w:val="4F147FAA"/>
    <w:rsid w:val="5058D389"/>
    <w:rsid w:val="50743816"/>
    <w:rsid w:val="51AFFF9B"/>
    <w:rsid w:val="52AEAFDA"/>
    <w:rsid w:val="52C04F45"/>
    <w:rsid w:val="5496DF0F"/>
    <w:rsid w:val="54DC901B"/>
    <w:rsid w:val="54EBA6A0"/>
    <w:rsid w:val="568FF45C"/>
    <w:rsid w:val="568FF45C"/>
    <w:rsid w:val="58D4FB1D"/>
    <w:rsid w:val="58E1F8B2"/>
    <w:rsid w:val="592AEA64"/>
    <w:rsid w:val="59334B0F"/>
    <w:rsid w:val="5ABD604A"/>
    <w:rsid w:val="5AFE7E41"/>
    <w:rsid w:val="5BFFD7FA"/>
    <w:rsid w:val="5C17C272"/>
    <w:rsid w:val="5DA814AD"/>
    <w:rsid w:val="5E19BC45"/>
    <w:rsid w:val="5EB6D8EE"/>
    <w:rsid w:val="5EC692C5"/>
    <w:rsid w:val="605E157E"/>
    <w:rsid w:val="62909BE5"/>
    <w:rsid w:val="62F0D05B"/>
    <w:rsid w:val="6539A438"/>
    <w:rsid w:val="6816A6C7"/>
    <w:rsid w:val="68982238"/>
    <w:rsid w:val="69B51691"/>
    <w:rsid w:val="6AF88053"/>
    <w:rsid w:val="6BED061F"/>
    <w:rsid w:val="6C2D4A26"/>
    <w:rsid w:val="6D8E846A"/>
    <w:rsid w:val="6DBC7075"/>
    <w:rsid w:val="6F58DDE9"/>
    <w:rsid w:val="6FD1C719"/>
    <w:rsid w:val="7040CF34"/>
    <w:rsid w:val="7211B5B8"/>
    <w:rsid w:val="73810BD9"/>
    <w:rsid w:val="7452890F"/>
    <w:rsid w:val="74CB4756"/>
    <w:rsid w:val="7515049A"/>
    <w:rsid w:val="75D43F97"/>
    <w:rsid w:val="75EF893C"/>
    <w:rsid w:val="76CF70B2"/>
    <w:rsid w:val="77727111"/>
    <w:rsid w:val="78FE19AA"/>
    <w:rsid w:val="7A3F8AFE"/>
    <w:rsid w:val="7A6D7178"/>
    <w:rsid w:val="7A8F5BC9"/>
    <w:rsid w:val="7AA1655E"/>
    <w:rsid w:val="7AC38264"/>
    <w:rsid w:val="7AE030DD"/>
    <w:rsid w:val="7B65BB67"/>
    <w:rsid w:val="7B7AB36A"/>
    <w:rsid w:val="7E47E8EB"/>
    <w:rsid w:val="7E6EF1A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D4FB1D"/>
  <w15:chartTrackingRefBased/>
  <w15:docId w15:val="{2ADFCD53-3382-45AC-8507-558B3D33B9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Hyperlink">
    <w:name w:val="Hyperlink"/>
    <w:basedOn w:val="DefaultParagraphFont"/>
    <w:uiPriority w:val="99"/>
    <w:unhideWhenUsed/>
    <w:rPr>
      <w:color w:val="467886" w:themeColor="hyperlink"/>
      <w:u w:val="single"/>
    </w:rPr>
  </w:style>
  <w:style w:type="paragraph" w:styleId="ListParagraph">
    <w:name w:val="List Paragraph"/>
    <w:basedOn w:val="Normal"/>
    <w:uiPriority w:val="34"/>
    <w:qFormat/>
    <w:pPr>
      <w:ind w:left="720"/>
      <w:contextualSpacing/>
    </w:pPr>
  </w:style>
  <w:style w:type="paragraph" w:styleId="Caption">
    <w:name w:val="caption"/>
    <w:basedOn w:val="Normal"/>
    <w:next w:val="Normal"/>
    <w:uiPriority w:val="35"/>
    <w:unhideWhenUsed/>
    <w:qFormat/>
    <w:rsid w:val="007D5F65"/>
    <w:pPr>
      <w:spacing w:after="200" w:line="240" w:lineRule="auto"/>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3.png" Id="rId8" /><Relationship Type="http://schemas.openxmlformats.org/officeDocument/2006/relationships/fontTable" Target="fontTable.xml" Id="rId18" /><Relationship Type="http://schemas.openxmlformats.org/officeDocument/2006/relationships/settings" Target="settings.xml" Id="rId3" /><Relationship Type="http://schemas.openxmlformats.org/officeDocument/2006/relationships/image" Target="media/image2.png" Id="rId7" /><Relationship Type="http://schemas.openxmlformats.org/officeDocument/2006/relationships/styles" Target="styles.xml" Id="rId2" /><Relationship Type="http://schemas.openxmlformats.org/officeDocument/2006/relationships/image" Target="media/image11.png" Id="rId16" /><Relationship Type="http://schemas.openxmlformats.org/officeDocument/2006/relationships/numbering" Target="numbering.xml" Id="rId1" /><Relationship Type="http://schemas.openxmlformats.org/officeDocument/2006/relationships/image" Target="media/image1.png" Id="rId6" /><Relationship Type="http://schemas.openxmlformats.org/officeDocument/2006/relationships/image" Target="media/image10.png" Id="rId15" /><Relationship Type="http://schemas.openxmlformats.org/officeDocument/2006/relationships/theme" Target="theme/theme1.xml" Id="rId19" /><Relationship Type="http://schemas.openxmlformats.org/officeDocument/2006/relationships/webSettings" Target="webSettings.xml" Id="rId4" /><Relationship Type="http://schemas.microsoft.com/office/2011/relationships/people" Target="people.xml" Id="R426c4940b7874a02" /><Relationship Type="http://schemas.microsoft.com/office/2011/relationships/commentsExtended" Target="commentsExtended.xml" Id="Rb177cd5768504251" /><Relationship Type="http://schemas.microsoft.com/office/2016/09/relationships/commentsIds" Target="commentsIds.xml" Id="R87c78362cca14e80" /><Relationship Type="http://schemas.openxmlformats.org/officeDocument/2006/relationships/image" Target="/media/image8.png" Id="R1bb8d0961bed4316" /><Relationship Type="http://schemas.openxmlformats.org/officeDocument/2006/relationships/hyperlink" Target="mailto:javed.ali@ucf.edu" TargetMode="External" Id="R0c25feacb2f04631"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Javed Ali</dc:creator>
  <keywords/>
  <dc:description/>
  <lastModifiedBy>Javed Ali</lastModifiedBy>
  <revision>14</revision>
  <dcterms:created xsi:type="dcterms:W3CDTF">2024-07-04T23:49:00.0000000Z</dcterms:created>
  <dcterms:modified xsi:type="dcterms:W3CDTF">2024-09-06T00:55:01.0959152Z</dcterms:modified>
</coreProperties>
</file>