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78286" w14:textId="2EA12A31" w:rsidR="007D5507" w:rsidRPr="005828D0" w:rsidRDefault="007D5507" w:rsidP="007D5507">
      <w:pPr>
        <w:spacing w:line="480" w:lineRule="auto"/>
        <w:rPr>
          <w:rFonts w:ascii="Times New Roman" w:hAnsi="Times New Roman" w:cs="Times New Roman"/>
          <w:b/>
          <w:bCs/>
          <w:sz w:val="22"/>
          <w:lang w:bidi="en-US"/>
        </w:rPr>
      </w:pPr>
      <w:r>
        <w:rPr>
          <w:rFonts w:ascii="Times New Roman" w:hAnsi="Times New Roman" w:cs="Times New Roman" w:hint="eastAsia"/>
          <w:b/>
          <w:bCs/>
          <w:sz w:val="22"/>
          <w:lang w:bidi="en-US"/>
        </w:rPr>
        <w:t>Supplementary</w:t>
      </w:r>
    </w:p>
    <w:p w14:paraId="500746A4" w14:textId="77777777" w:rsidR="007D5507" w:rsidRPr="005828D0" w:rsidRDefault="007D5507" w:rsidP="007D5507">
      <w:pPr>
        <w:spacing w:line="480" w:lineRule="auto"/>
        <w:rPr>
          <w:rFonts w:ascii="Times New Roman" w:hAnsi="Times New Roman" w:cs="Times New Roman"/>
          <w:i/>
          <w:sz w:val="22"/>
          <w:lang w:bidi="en-US"/>
        </w:rPr>
      </w:pPr>
      <w:r w:rsidRPr="005828D0">
        <w:rPr>
          <w:rFonts w:ascii="Times New Roman" w:hAnsi="Times New Roman" w:cs="Times New Roman"/>
          <w:i/>
          <w:sz w:val="22"/>
          <w:lang w:bidi="en-US"/>
        </w:rPr>
        <w:t>PFS and OS were significantly associated with NCCN-IPI (3-year PFS: 100% vs 94.1% vs 67.6%, 53.8%, p</w:t>
      </w:r>
      <w:r w:rsidRPr="005828D0">
        <w:rPr>
          <w:rFonts w:ascii="Times New Roman" w:hAnsi="Times New Roman" w:cs="Times New Roman"/>
          <w:i/>
          <w:iCs/>
          <w:sz w:val="22"/>
          <w:lang w:bidi="en-US"/>
        </w:rPr>
        <w:t xml:space="preserve"> </w:t>
      </w:r>
      <w:r w:rsidRPr="005828D0">
        <w:rPr>
          <w:rFonts w:ascii="Times New Roman" w:hAnsi="Times New Roman" w:cs="Times New Roman"/>
          <w:i/>
          <w:sz w:val="22"/>
          <w:lang w:bidi="en-US"/>
        </w:rPr>
        <w:t>= 0.004, 3-year OS: 100% vs 93.8% vs 68.3% 53.8%, p</w:t>
      </w:r>
      <w:r w:rsidRPr="005828D0">
        <w:rPr>
          <w:rFonts w:ascii="Times New Roman" w:hAnsi="Times New Roman" w:cs="Times New Roman"/>
          <w:i/>
          <w:iCs/>
          <w:sz w:val="22"/>
          <w:lang w:bidi="en-US"/>
        </w:rPr>
        <w:t xml:space="preserve"> </w:t>
      </w:r>
      <w:r w:rsidRPr="005828D0">
        <w:rPr>
          <w:rFonts w:ascii="Times New Roman" w:hAnsi="Times New Roman" w:cs="Times New Roman"/>
          <w:i/>
          <w:sz w:val="22"/>
          <w:lang w:bidi="en-US"/>
        </w:rPr>
        <w:t>= 0.003).</w:t>
      </w:r>
    </w:p>
    <w:p w14:paraId="422DD400" w14:textId="3876F9C6" w:rsidR="007D5507" w:rsidRPr="005828D0" w:rsidRDefault="007D5507" w:rsidP="007D5507">
      <w:pPr>
        <w:spacing w:line="480" w:lineRule="auto"/>
        <w:rPr>
          <w:rFonts w:ascii="Times New Roman" w:hAnsi="Times New Roman" w:cs="Times New Roman"/>
          <w:sz w:val="22"/>
          <w:lang w:bidi="en-US"/>
        </w:rPr>
      </w:pPr>
      <w:r w:rsidRPr="000C4C1C">
        <w:rPr>
          <w:rFonts w:ascii="Times New Roman" w:hAnsi="Times New Roman" w:cs="Times New Roman"/>
          <w:b/>
          <w:sz w:val="22"/>
          <w:lang w:bidi="en-US"/>
        </w:rPr>
        <w:drawing>
          <wp:inline distT="0" distB="0" distL="0" distR="0" wp14:anchorId="732AD658" wp14:editId="4D6DDFB6">
            <wp:extent cx="5731510" cy="2620010"/>
            <wp:effectExtent l="0" t="0" r="2540" b="889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2"/>
          <w:lang w:bidi="en-US"/>
        </w:rPr>
        <w:t>Supplementary</w:t>
      </w:r>
      <w:r>
        <w:rPr>
          <w:rFonts w:ascii="Times New Roman" w:hAnsi="Times New Roman" w:cs="Times New Roman"/>
          <w:b/>
          <w:sz w:val="22"/>
          <w:lang w:bidi="en-US"/>
        </w:rPr>
        <w:t xml:space="preserve"> </w:t>
      </w:r>
      <w:r w:rsidRPr="005828D0">
        <w:rPr>
          <w:rFonts w:ascii="Times New Roman" w:hAnsi="Times New Roman" w:cs="Times New Roman"/>
          <w:b/>
          <w:sz w:val="22"/>
          <w:lang w:bidi="en-US"/>
        </w:rPr>
        <w:t xml:space="preserve">Figure 1. </w:t>
      </w:r>
      <w:r w:rsidRPr="005828D0">
        <w:rPr>
          <w:rFonts w:ascii="Times New Roman" w:hAnsi="Times New Roman" w:cs="Times New Roman"/>
          <w:sz w:val="22"/>
          <w:lang w:bidi="en-US"/>
        </w:rPr>
        <w:t>Kaplan-Meier survival curves of patients with DLBCL according to NCCN-IPI. Survival panels present the 3-year progression-free survival (PFS curves; left) and 3-year overall survival (OS curves, right). Statistical differences were calculated using the Breslow test and log rank test.</w:t>
      </w:r>
      <w:r w:rsidRPr="005828D0">
        <w:rPr>
          <w:rFonts w:ascii="Times New Roman" w:hAnsi="Times New Roman" w:cs="Times New Roman"/>
          <w:sz w:val="22"/>
          <w:lang w:bidi="en-US"/>
        </w:rPr>
        <w:br/>
        <w:t>Abbreviations: NCCN-IPI, National Comprehensive Cancer Network-IPI</w:t>
      </w:r>
    </w:p>
    <w:p w14:paraId="2DDB475D" w14:textId="77777777" w:rsidR="005D4887" w:rsidRDefault="005D4887"/>
    <w:sectPr w:rsidR="005D4887" w:rsidSect="007D5507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507"/>
    <w:rsid w:val="005D4887"/>
    <w:rsid w:val="007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FEAF4"/>
  <w15:chartTrackingRefBased/>
  <w15:docId w15:val="{FBD88293-F16F-403B-8CBD-DB381D00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D55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김미희</dc:creator>
  <cp:keywords/>
  <dc:description/>
  <cp:lastModifiedBy>김미희</cp:lastModifiedBy>
  <cp:revision>1</cp:revision>
  <dcterms:created xsi:type="dcterms:W3CDTF">2021-05-07T06:17:00Z</dcterms:created>
  <dcterms:modified xsi:type="dcterms:W3CDTF">2021-05-07T06:26:00Z</dcterms:modified>
</cp:coreProperties>
</file>