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4C3706" w14:textId="1D248BCF" w:rsidR="00BB1D62" w:rsidRPr="00355FF2" w:rsidRDefault="00180BBC" w:rsidP="00355FF2">
      <w:pPr>
        <w:widowControl/>
        <w:spacing w:line="390" w:lineRule="atLeast"/>
        <w:jc w:val="left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t xml:space="preserve">Table </w:t>
      </w:r>
      <w:r w:rsidR="00082440">
        <w:rPr>
          <w:rFonts w:ascii="Times New Roman" w:hAnsi="Times New Roman" w:cs="Times New Roman" w:hint="eastAsia"/>
          <w:b/>
          <w:bCs/>
          <w:sz w:val="22"/>
          <w:szCs w:val="28"/>
        </w:rPr>
        <w:t>S</w:t>
      </w:r>
      <w:r w:rsidR="00BB1D62" w:rsidRPr="00EC30A6">
        <w:rPr>
          <w:rFonts w:ascii="Times New Roman" w:hAnsi="Times New Roman" w:cs="Times New Roman"/>
          <w:b/>
          <w:bCs/>
          <w:sz w:val="22"/>
          <w:szCs w:val="28"/>
        </w:rPr>
        <w:t>1.</w:t>
      </w:r>
      <w:r w:rsidR="00355FF2"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 w:rsidR="00355FF2" w:rsidRPr="00DD066C">
        <w:rPr>
          <w:rFonts w:ascii="Times New Roman" w:hAnsi="Times New Roman" w:cs="Times New Roman"/>
          <w:b/>
          <w:bCs/>
          <w:sz w:val="22"/>
          <w:szCs w:val="28"/>
        </w:rPr>
        <w:t xml:space="preserve">Primary Outcome, Secondary Outcome and Bleeding Outcome with CYP2C19 </w:t>
      </w:r>
      <w:r w:rsidR="00355FF2" w:rsidRPr="00DD066C">
        <w:rPr>
          <w:rFonts w:ascii="Times New Roman" w:eastAsia="DengXian" w:hAnsi="Times New Roman" w:cs="Times New Roman"/>
          <w:b/>
          <w:bCs/>
          <w:color w:val="000000"/>
          <w:szCs w:val="21"/>
        </w:rPr>
        <w:t>Phenotype</w:t>
      </w:r>
    </w:p>
    <w:tbl>
      <w:tblPr>
        <w:tblW w:w="141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2835"/>
        <w:gridCol w:w="1134"/>
        <w:gridCol w:w="2835"/>
        <w:gridCol w:w="992"/>
      </w:tblGrid>
      <w:tr w:rsidR="00EC30A6" w:rsidRPr="00EC30A6" w14:paraId="03BA0B9C" w14:textId="77777777" w:rsidTr="00EC30A6">
        <w:trPr>
          <w:trHeight w:val="400"/>
        </w:trPr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DCD789" w14:textId="762409B2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bookmarkStart w:id="0" w:name="OLE_LINK84"/>
            <w:bookmarkStart w:id="1" w:name="OLE_LINK85"/>
            <w:bookmarkStart w:id="2" w:name="OLE_LINK86"/>
            <w:bookmarkStart w:id="3" w:name="OLE_LINK87"/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Outcome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9252" w14:textId="6F3E064E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0-365 Days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AD80" w14:textId="65AA3834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0-90 Days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0FAB" w14:textId="61E67C64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91-365 Days</w:t>
            </w:r>
          </w:p>
        </w:tc>
      </w:tr>
      <w:tr w:rsidR="00EC30A6" w:rsidRPr="00EC30A6" w14:paraId="3DD97E73" w14:textId="77777777" w:rsidTr="00EC30A6">
        <w:trPr>
          <w:trHeight w:val="400"/>
        </w:trPr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35C1626" w14:textId="77777777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A654E" w14:textId="0E8CEFE0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Hazard Ratio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95% CI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  <w:bookmarkStart w:id="4" w:name="OLE_LINK90"/>
            <w:bookmarkStart w:id="5" w:name="OLE_LINK91"/>
            <w:r w:rsidRPr="00EC30A6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  <w:vertAlign w:val="superscript"/>
              </w:rPr>
              <w:t>a</w:t>
            </w:r>
            <w:bookmarkEnd w:id="4"/>
            <w:bookmarkEnd w:id="5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D2F56" w14:textId="1E49A29E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 value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EC30A6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DD374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Hazard Ratio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95% CI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E17C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 value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0B71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Hazard Ratio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95% CI</w:t>
            </w: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BCD22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 value</w:t>
            </w:r>
          </w:p>
        </w:tc>
      </w:tr>
      <w:tr w:rsidR="00EC30A6" w:rsidRPr="00EC30A6" w14:paraId="0CEC3140" w14:textId="77777777" w:rsidTr="00EC30A6">
        <w:trPr>
          <w:trHeight w:val="400"/>
        </w:trPr>
        <w:tc>
          <w:tcPr>
            <w:tcW w:w="14175" w:type="dxa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C73C" w14:textId="1DE652BD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Primary Outcome</w:t>
            </w:r>
            <w:r w:rsidRPr="00FE6724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b</w:t>
            </w:r>
          </w:p>
        </w:tc>
      </w:tr>
      <w:tr w:rsidR="00EC30A6" w:rsidRPr="00EC30A6" w14:paraId="22341F97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2A1FAB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70DBE88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53585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97037BA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16B0AA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E843848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7009C8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C51279" w14:paraId="37F8A576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ACA6D7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E896EC8" w14:textId="4D783526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1.308 (0.788 - 2.170)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6BBEFA" w14:textId="50489921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0.299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58A723B" w14:textId="5D7B398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1.232 (0.544 - 2.790)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4D337A" w14:textId="4CC4DB4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0.616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BBC9455" w14:textId="743A895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1.641 (0.560 - 4.808)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933F84" w14:textId="6AB3AE90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0.366</w:t>
            </w:r>
          </w:p>
        </w:tc>
      </w:tr>
      <w:tr w:rsidR="00C51279" w:rsidRPr="00C51279" w14:paraId="5A3B9CDE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F0791B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1C62E776" w14:textId="5455539F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1.698 (0.865 - 3.3315)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566DDD" w14:textId="0E4CA862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0.124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3C18284" w14:textId="311D36B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2.944 (1.184 - 7.321)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B8C384" w14:textId="63E80A8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0.020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8317652" w14:textId="19F2BD4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1.194 (0.393 - 3.630)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94F9AF" w14:textId="05A8DA0E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0.754</w:t>
            </w:r>
          </w:p>
        </w:tc>
      </w:tr>
      <w:tr w:rsidR="00EC30A6" w:rsidRPr="00EC30A6" w14:paraId="1475D641" w14:textId="77777777" w:rsidTr="00EC30A6">
        <w:trPr>
          <w:trHeight w:val="400"/>
        </w:trPr>
        <w:tc>
          <w:tcPr>
            <w:tcW w:w="14175" w:type="dxa"/>
            <w:gridSpan w:val="7"/>
            <w:shd w:val="clear" w:color="auto" w:fill="auto"/>
            <w:noWrap/>
            <w:vAlign w:val="center"/>
            <w:hideMark/>
          </w:tcPr>
          <w:p w14:paraId="3BFDD8E0" w14:textId="77777777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Death from any cause</w:t>
            </w:r>
          </w:p>
        </w:tc>
      </w:tr>
      <w:tr w:rsidR="00EC30A6" w:rsidRPr="00EC30A6" w14:paraId="5A53AF55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A93D08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296FEFA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C07098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2AC64C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A2932F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9F56624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5C346A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C51279" w14:paraId="5A723BF6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7A2E23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548E1E4" w14:textId="6F5E4BF5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1.458 (0.552 - 3.851)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0E8DE4" w14:textId="5DBF432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0.447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1664828" w14:textId="75B226FE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2.107 (0.532 - 8.339)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EB08B1" w14:textId="5944A82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0.288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2B91FD4" w14:textId="438D2735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0.952 (0.225 - 4.019)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06E454" w14:textId="62C30CD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0.946</w:t>
            </w:r>
          </w:p>
        </w:tc>
      </w:tr>
      <w:tr w:rsidR="00C51279" w:rsidRPr="00C51279" w14:paraId="21F94335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733736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E1A1392" w14:textId="30748542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3.896 (1.368 - 11.093)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6D92BF" w14:textId="1FA2F42B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0.011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BA36089" w14:textId="7C5601B2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7.600 (1.826 - 31.627)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BB359E" w14:textId="3A4C30D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0.005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A04E40A" w14:textId="07BE3D5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1.395 (0.237 - 8.203)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AD0DD9" w14:textId="737F4AF2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0.713</w:t>
            </w:r>
          </w:p>
        </w:tc>
      </w:tr>
      <w:tr w:rsidR="00EC30A6" w:rsidRPr="00EC30A6" w14:paraId="34047166" w14:textId="77777777" w:rsidTr="00EC30A6">
        <w:trPr>
          <w:trHeight w:val="400"/>
        </w:trPr>
        <w:tc>
          <w:tcPr>
            <w:tcW w:w="14175" w:type="dxa"/>
            <w:gridSpan w:val="7"/>
            <w:shd w:val="clear" w:color="auto" w:fill="auto"/>
            <w:noWrap/>
            <w:vAlign w:val="center"/>
            <w:hideMark/>
          </w:tcPr>
          <w:p w14:paraId="72940804" w14:textId="77777777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Myocardial infarction</w:t>
            </w:r>
          </w:p>
        </w:tc>
      </w:tr>
      <w:tr w:rsidR="00EC30A6" w:rsidRPr="00EC30A6" w14:paraId="4D0E9ECC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7F17EB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BC55F40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E3DBAA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96ED231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82559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219D5F2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319430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EC30A6" w14:paraId="676BC1D9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EEDC23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1A80175D" w14:textId="7F61B9E1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1.035 (0.489 - 2.193)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0D0CCC" w14:textId="1A2710C9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0.928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2B0C8EB" w14:textId="27D3AB9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1.143 (0.342 - 3.817)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18E546" w14:textId="582D0F2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0.828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D205251" w14:textId="56F6D05A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0.999 (0.380 - 2.624)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02EDDC" w14:textId="0D51161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0.998</w:t>
            </w:r>
          </w:p>
        </w:tc>
      </w:tr>
      <w:tr w:rsidR="00C51279" w:rsidRPr="00EC30A6" w14:paraId="58E8822F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F89320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A30FEAD" w14:textId="3758BF7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1.150 (0.369 - 3.586)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A71AB3" w14:textId="630FC30A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0.810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9B81593" w14:textId="7AD381BE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1.532 (0.289 - 8.118)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208C5C" w14:textId="7583CB29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0.616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9B564BD" w14:textId="4D80948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0.924 (0.191 - 4.472)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E66CCB" w14:textId="36E42356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0.922</w:t>
            </w:r>
          </w:p>
        </w:tc>
      </w:tr>
      <w:tr w:rsidR="00EC30A6" w:rsidRPr="00EC30A6" w14:paraId="5B2B58C5" w14:textId="77777777" w:rsidTr="00EC30A6">
        <w:trPr>
          <w:trHeight w:val="400"/>
        </w:trPr>
        <w:tc>
          <w:tcPr>
            <w:tcW w:w="14175" w:type="dxa"/>
            <w:gridSpan w:val="7"/>
            <w:shd w:val="clear" w:color="auto" w:fill="auto"/>
            <w:noWrap/>
            <w:vAlign w:val="center"/>
            <w:hideMark/>
          </w:tcPr>
          <w:p w14:paraId="6AD72821" w14:textId="77777777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Stent Thrombosis</w:t>
            </w:r>
          </w:p>
        </w:tc>
      </w:tr>
      <w:tr w:rsidR="00EC30A6" w:rsidRPr="00EC30A6" w14:paraId="2502B23A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F9753B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5130EFC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329604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AB1E154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1E5778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80E4520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7EAEBF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EC30A6" w14:paraId="0748EA18" w14:textId="77777777" w:rsidTr="00AB1730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7C1091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IM 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9947F09" w14:textId="79BF0C4F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1.532 (0.494 - 4.750)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0DA7FEB" w14:textId="3900E33C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96A39C1" w14:textId="76F6ECFF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0.493 (0.043 - 5.708)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3683B8" w14:textId="5BAB1919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0.572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568052E" w14:textId="5934012A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2.267 (0.576 - 8.916)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9B9FA8" w14:textId="75EC8C90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0.242</w:t>
            </w:r>
          </w:p>
        </w:tc>
      </w:tr>
      <w:tr w:rsidR="00C51279" w:rsidRPr="00EC30A6" w14:paraId="15F89BDD" w14:textId="77777777" w:rsidTr="00AB1730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494A14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PM 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DAB8CF2" w14:textId="43D2EB5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0.855 (0.097 - 7.502)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94B1C25" w14:textId="01E4835B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0.887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11839794" w14:textId="47C6F2E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2.499 (0.199 - 31.415)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5ABDF8" w14:textId="541ABCA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0.478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4368539" w14:textId="476A0D92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A1A30B" w14:textId="2DCFA139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EC30A6" w:rsidRPr="00EC30A6" w14:paraId="39BD3042" w14:textId="77777777" w:rsidTr="00EC30A6">
        <w:trPr>
          <w:trHeight w:val="400"/>
        </w:trPr>
        <w:tc>
          <w:tcPr>
            <w:tcW w:w="14175" w:type="dxa"/>
            <w:gridSpan w:val="7"/>
            <w:shd w:val="clear" w:color="auto" w:fill="auto"/>
            <w:noWrap/>
            <w:vAlign w:val="center"/>
            <w:hideMark/>
          </w:tcPr>
          <w:p w14:paraId="7D802FF8" w14:textId="77777777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Ischemic Stroke</w:t>
            </w:r>
          </w:p>
        </w:tc>
      </w:tr>
      <w:tr w:rsidR="00EC30A6" w:rsidRPr="00EC30A6" w14:paraId="291DED53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F134DC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585B071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CEB4B2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8F6DBBE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58E204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9E36CB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CDE02D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EC30A6" w14:paraId="65F6D255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264DDC" w14:textId="64099FA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6485E06A" w14:textId="67A0E3CF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3.011 (0.284 - 31.929)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FF2722" w14:textId="04D28C51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D8D4162" w14:textId="539F02D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121428" w14:textId="24A255C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39C2E48" w14:textId="75CC386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3.011 (0.284 - 31.929)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A83B47" w14:textId="251C1CD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0.36</w:t>
            </w:r>
          </w:p>
        </w:tc>
      </w:tr>
      <w:tr w:rsidR="00C51279" w:rsidRPr="00EC30A6" w14:paraId="60F13344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EFE1EB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5BAC273" w14:textId="5BD2679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C27398" w14:textId="6BF291DB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6D96270" w14:textId="4BC082E5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A242D2" w14:textId="168FB49A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7EA4DDB" w14:textId="64CB5876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B97CB0" w14:textId="6A5A028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EC30A6" w:rsidRPr="00EC30A6" w14:paraId="20511621" w14:textId="77777777" w:rsidTr="00EC30A6">
        <w:trPr>
          <w:trHeight w:val="400"/>
        </w:trPr>
        <w:tc>
          <w:tcPr>
            <w:tcW w:w="14175" w:type="dxa"/>
            <w:gridSpan w:val="7"/>
            <w:shd w:val="clear" w:color="auto" w:fill="auto"/>
            <w:noWrap/>
            <w:vAlign w:val="center"/>
            <w:hideMark/>
          </w:tcPr>
          <w:p w14:paraId="2048B4E9" w14:textId="4559E92B" w:rsidR="00EC30A6" w:rsidRPr="00FE6724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E672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Secondary Outcome </w:t>
            </w:r>
            <w:r w:rsidRPr="00FE672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>c</w:t>
            </w:r>
          </w:p>
        </w:tc>
      </w:tr>
      <w:tr w:rsidR="00EC30A6" w:rsidRPr="00EC30A6" w14:paraId="0171EDF2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CAAE67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7918B06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8F2458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F722287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A377BA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234D68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16456B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C51279" w14:paraId="594D0559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C208C0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0D66B31" w14:textId="15066CA9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1.310 (0.824 - 2.083)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DB1A0B" w14:textId="73A2F469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0.253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C82F50F" w14:textId="5AC7C7D6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1.234 (0.546 - 2.794)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000ADB" w14:textId="66F6B771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0.613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7AD3531" w14:textId="67532A0F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1.372 (0.785 - 2.400)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DE9D80" w14:textId="0A6F8DDC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0.267</w:t>
            </w:r>
          </w:p>
        </w:tc>
      </w:tr>
      <w:tr w:rsidR="00C51279" w:rsidRPr="00C51279" w14:paraId="3CB9B778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D31CF7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100B36AE" w14:textId="01623321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1.677 (0.898 - 3.131)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3D69EF" w14:textId="2FB5BAB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0.105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415BC8E" w14:textId="426FA8C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3.309 (1.363 - 8.033)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EF7F69" w14:textId="2BDF139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0.008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EF7A13B" w14:textId="7823385A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0.884 (0.332 - 2.353)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F13637" w14:textId="7BBFC98C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0.805</w:t>
            </w:r>
          </w:p>
        </w:tc>
      </w:tr>
      <w:tr w:rsidR="00EC30A6" w:rsidRPr="00EC30A6" w14:paraId="5A9B725A" w14:textId="77777777" w:rsidTr="00EC30A6">
        <w:trPr>
          <w:trHeight w:val="400"/>
        </w:trPr>
        <w:tc>
          <w:tcPr>
            <w:tcW w:w="14175" w:type="dxa"/>
            <w:gridSpan w:val="7"/>
            <w:shd w:val="clear" w:color="auto" w:fill="auto"/>
            <w:noWrap/>
            <w:vAlign w:val="center"/>
            <w:hideMark/>
          </w:tcPr>
          <w:p w14:paraId="3BC0481E" w14:textId="77777777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Urgent TVR</w:t>
            </w:r>
          </w:p>
        </w:tc>
      </w:tr>
      <w:tr w:rsidR="00EC30A6" w:rsidRPr="00EC30A6" w14:paraId="7D7EDA1A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7EBD2A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12BBF4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55405D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F92ED26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A0C1F1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C3D0D0D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2A5EAD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C51279" w14:paraId="67ED018F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820DB0" w14:textId="603B6B11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4653BE54" w14:textId="34FE61B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1.347 (0.424 - 4.276)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B9687F" w14:textId="23152B3B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0.614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4EA8AA9" w14:textId="6704B3FE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6238D" w14:textId="787639E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61EADDE" w14:textId="7121195A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1.346 (0.424 - 4.276)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00E8BA" w14:textId="47A5C48C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0.614</w:t>
            </w:r>
          </w:p>
        </w:tc>
      </w:tr>
      <w:tr w:rsidR="00C51279" w:rsidRPr="00C51279" w14:paraId="28840B0F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61AA90" w14:textId="628752F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FD90118" w14:textId="590CC07C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1.464 (0.277 - 7.741)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0BEB0F" w14:textId="3720501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0.654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B456329" w14:textId="15DD7A09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F9E506" w14:textId="3D1EA7BA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0D3FBCF" w14:textId="39D6F78B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0.701 (0.080 - 6.151)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700BDE" w14:textId="5D809796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0.748</w:t>
            </w:r>
          </w:p>
        </w:tc>
      </w:tr>
      <w:tr w:rsidR="00EC30A6" w:rsidRPr="00EC30A6" w14:paraId="28EE3BEB" w14:textId="77777777" w:rsidTr="00EC30A6">
        <w:trPr>
          <w:trHeight w:val="400"/>
        </w:trPr>
        <w:tc>
          <w:tcPr>
            <w:tcW w:w="14175" w:type="dxa"/>
            <w:gridSpan w:val="7"/>
            <w:shd w:val="clear" w:color="auto" w:fill="auto"/>
            <w:noWrap/>
            <w:vAlign w:val="center"/>
            <w:hideMark/>
          </w:tcPr>
          <w:p w14:paraId="6CA8F5E5" w14:textId="59177D8E" w:rsidR="00EC30A6" w:rsidRPr="00EC30A6" w:rsidRDefault="00EC30A6" w:rsidP="00EC30A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Bleeding Outcome </w:t>
            </w:r>
            <w:r w:rsidRPr="00EC30A6">
              <w:rPr>
                <w:rFonts w:ascii="Times New Roman" w:hAnsi="Times New Roman" w:cs="Times New Roman"/>
                <w:color w:val="333333"/>
                <w:szCs w:val="21"/>
                <w:vertAlign w:val="superscript"/>
              </w:rPr>
              <w:t>d, e</w:t>
            </w:r>
          </w:p>
        </w:tc>
      </w:tr>
      <w:tr w:rsidR="00EC30A6" w:rsidRPr="00EC30A6" w14:paraId="5FC12F84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7D653C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NLOFM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3A197D9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4B2CA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3FC23A9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0D7F3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49938AE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2035EB" w14:textId="77777777" w:rsidR="00EC30A6" w:rsidRPr="00EC30A6" w:rsidRDefault="00EC30A6" w:rsidP="00EC30A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C51279" w:rsidRPr="00C51279" w14:paraId="52BF6BFD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48CF2C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14073E5" w14:textId="009B44E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0.885 (0.455 - 1.721)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AAF8C7" w14:textId="56A5B9E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0.718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A16A2F1" w14:textId="14603A8D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0.366 (0.069 - 1.951)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5B751" w14:textId="4B18806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0.239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C066802" w14:textId="3BD75F9B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1.075 (0.510 - 2.266)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D0D670" w14:textId="2CB948A3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0.849</w:t>
            </w:r>
          </w:p>
        </w:tc>
      </w:tr>
      <w:tr w:rsidR="00C51279" w:rsidRPr="00C51279" w14:paraId="694CB864" w14:textId="77777777" w:rsidTr="00EC30A6">
        <w:trPr>
          <w:trHeight w:val="40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9EB8EE" w14:textId="77777777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EC30A6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PM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8294B25" w14:textId="1FD0BD3E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1.152 (0.455 - 2.918)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348542" w14:textId="526197AF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0.766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0E9255F" w14:textId="2AC21898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1.172 (0.208 - 6.610)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4B72AC" w14:textId="03714F40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0.857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87AFD11" w14:textId="0E62106B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1.086 (0.352 - 3.346)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4B1AB6" w14:textId="583E4FA4" w:rsidR="00C51279" w:rsidRPr="00EC30A6" w:rsidRDefault="00C51279" w:rsidP="00C5127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C51279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0.886</w:t>
            </w:r>
          </w:p>
        </w:tc>
      </w:tr>
    </w:tbl>
    <w:bookmarkEnd w:id="0"/>
    <w:bookmarkEnd w:id="1"/>
    <w:bookmarkEnd w:id="2"/>
    <w:bookmarkEnd w:id="3"/>
    <w:p w14:paraId="40D6C90A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CI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confidence interval,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NLOFM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non-loss-of-function metabolizer,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IM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intermediate metabolizer,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PM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poor metabolizer.</w:t>
      </w:r>
    </w:p>
    <w:p w14:paraId="0AEB6302" w14:textId="77777777" w:rsidR="006F4394" w:rsidRPr="006F4394" w:rsidRDefault="006F4394" w:rsidP="006F4394">
      <w:pPr>
        <w:rPr>
          <w:rFonts w:ascii="Times New Roman" w:hAnsi="Times New Roman" w:cs="Times New Roman"/>
          <w:sz w:val="20"/>
          <w:szCs w:val="20"/>
        </w:rPr>
      </w:pPr>
      <w:r w:rsidRPr="006F4394">
        <w:rPr>
          <w:rFonts w:ascii="Times New Roman" w:hAnsi="Times New Roman" w:cs="Times New Roman"/>
          <w:color w:val="333333"/>
          <w:sz w:val="20"/>
          <w:szCs w:val="20"/>
          <w:vertAlign w:val="superscript"/>
        </w:rPr>
        <w:t xml:space="preserve">a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Hazard Ratios, confidence intervals and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p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values were calculated by means of Cox proportional hazard regression models adjusting for age, sex, coronary artery disease presentation,</w:t>
      </w:r>
      <w:r w:rsidRPr="006F4394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diabetes mellitus, hypertension, multiple-vessel disease, cerebrovascular disease, chronic kidney disease and previous myocardial infarction. </w:t>
      </w:r>
    </w:p>
    <w:p w14:paraId="034201C5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t>b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  <w:vertAlign w:val="superscript"/>
        </w:rPr>
        <w:t xml:space="preserve">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Primary outcome was the composite of death from any cause, myocardial infarction, definite or probable stent thrombosis and ischemic stroke.</w:t>
      </w:r>
    </w:p>
    <w:p w14:paraId="164AA555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t>c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  <w:vertAlign w:val="superscript"/>
        </w:rPr>
        <w:t xml:space="preserve">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Secondary outcome was the composite of death from any cause, myocardial infarction, definite or probable stent thrombosis, ischemic stroke and urgent target‑vessel revascularization.</w:t>
      </w:r>
    </w:p>
    <w:p w14:paraId="48B55B4A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t xml:space="preserve">d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Bleeding outcome was clinically signiﬁcant bleeding events as defined by Bleeding Academic Research Consortium (BARC) criteria (including BARC 2, BARC 3, BARC 4)</w:t>
      </w:r>
    </w:p>
    <w:p w14:paraId="707BF335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lastRenderedPageBreak/>
        <w:t>e</w:t>
      </w: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</w:rPr>
        <w:t xml:space="preserve"> The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BARC criteria were used for grading and categorizing bleeding events, BARC 2 referred to any overt, actionable sign of bleeding that requires medical intervention or evaluation, but not meet criteria for type 3 or higher BARC bleeding; BARC 3 indicated overt bleeding plus a decrease in hemoglobin of more than 3 g/dL, intracranial hemorrhage or intraocular hemorrhage compromising vision; BARC 4 was bleeding related to coronary‑artery bypass grafting.</w:t>
      </w:r>
    </w:p>
    <w:p w14:paraId="0FBCC87F" w14:textId="77777777" w:rsidR="00EC30A6" w:rsidRPr="006F4394" w:rsidRDefault="00EC30A6" w:rsidP="00FB46F5">
      <w:pPr>
        <w:widowControl/>
        <w:spacing w:line="390" w:lineRule="atLeast"/>
        <w:jc w:val="left"/>
        <w:rPr>
          <w:rFonts w:ascii="Times New Roman" w:hAnsi="Times New Roman" w:cs="Times New Roman"/>
          <w:kern w:val="0"/>
          <w:sz w:val="24"/>
        </w:rPr>
      </w:pPr>
    </w:p>
    <w:p w14:paraId="09898144" w14:textId="7B30B6C3" w:rsidR="00BB1D62" w:rsidRPr="00EC30A6" w:rsidRDefault="00BB1D62">
      <w:pPr>
        <w:widowControl/>
        <w:jc w:val="left"/>
        <w:rPr>
          <w:rFonts w:ascii="Times New Roman" w:hAnsi="Times New Roman" w:cs="Times New Roman"/>
          <w:kern w:val="0"/>
          <w:sz w:val="24"/>
        </w:rPr>
      </w:pPr>
      <w:r w:rsidRPr="00EC30A6">
        <w:rPr>
          <w:rFonts w:ascii="Times New Roman" w:hAnsi="Times New Roman" w:cs="Times New Roman"/>
          <w:kern w:val="0"/>
          <w:sz w:val="24"/>
        </w:rPr>
        <w:br w:type="page"/>
      </w:r>
    </w:p>
    <w:p w14:paraId="15829F00" w14:textId="2239DBA1" w:rsidR="00865E7F" w:rsidRPr="00082440" w:rsidRDefault="00180BBC" w:rsidP="00082440">
      <w:pPr>
        <w:widowControl/>
        <w:spacing w:line="390" w:lineRule="atLeast"/>
        <w:jc w:val="left"/>
        <w:rPr>
          <w:rFonts w:ascii="Times New Roman" w:hAnsi="Times New Roman" w:cs="Times New Roman"/>
          <w:b/>
          <w:bCs/>
          <w:kern w:val="0"/>
          <w:sz w:val="24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lastRenderedPageBreak/>
        <w:t xml:space="preserve">Table </w:t>
      </w:r>
      <w:r w:rsidR="00082440">
        <w:rPr>
          <w:rFonts w:ascii="Times New Roman" w:hAnsi="Times New Roman" w:cs="Times New Roman" w:hint="eastAsia"/>
          <w:b/>
          <w:bCs/>
          <w:kern w:val="0"/>
          <w:sz w:val="24"/>
        </w:rPr>
        <w:t>S</w:t>
      </w:r>
      <w:r w:rsidR="00355FF2" w:rsidRPr="007F7856">
        <w:rPr>
          <w:rFonts w:ascii="Times New Roman" w:hAnsi="Times New Roman" w:cs="Times New Roman"/>
          <w:b/>
          <w:bCs/>
          <w:kern w:val="0"/>
          <w:sz w:val="24"/>
        </w:rPr>
        <w:t>2</w:t>
      </w:r>
      <w:r w:rsidR="006673AA" w:rsidRPr="00EC30A6">
        <w:rPr>
          <w:rFonts w:ascii="Times New Roman" w:hAnsi="Times New Roman" w:cs="Times New Roman"/>
          <w:b/>
          <w:bCs/>
          <w:sz w:val="22"/>
          <w:szCs w:val="28"/>
        </w:rPr>
        <w:t>.</w:t>
      </w:r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 xml:space="preserve"> Primary Outcome</w:t>
      </w:r>
      <w:bookmarkStart w:id="6" w:name="OLE_LINK104"/>
      <w:bookmarkStart w:id="7" w:name="OLE_LINK105"/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>, Secondary Outcome</w:t>
      </w:r>
      <w:bookmarkEnd w:id="6"/>
      <w:bookmarkEnd w:id="7"/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 xml:space="preserve"> and </w:t>
      </w:r>
      <w:bookmarkStart w:id="8" w:name="OLE_LINK106"/>
      <w:bookmarkStart w:id="9" w:name="OLE_LINK107"/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>Bleeding Outcome</w:t>
      </w:r>
      <w:bookmarkEnd w:id="8"/>
      <w:bookmarkEnd w:id="9"/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 w:rsidR="00685F4F">
        <w:rPr>
          <w:rFonts w:ascii="Times New Roman" w:hAnsi="Times New Roman" w:cs="Times New Roman" w:hint="eastAsia"/>
          <w:b/>
          <w:bCs/>
          <w:sz w:val="22"/>
          <w:szCs w:val="28"/>
        </w:rPr>
        <w:t>A</w:t>
      </w:r>
      <w:r w:rsidR="00355FF2">
        <w:rPr>
          <w:rFonts w:ascii="Times New Roman" w:hAnsi="Times New Roman" w:cs="Times New Roman"/>
          <w:b/>
          <w:bCs/>
          <w:sz w:val="22"/>
          <w:szCs w:val="28"/>
        </w:rPr>
        <w:t>mong</w:t>
      </w:r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 w:rsidR="00301AFA">
        <w:rPr>
          <w:rFonts w:ascii="Times New Roman" w:hAnsi="Times New Roman" w:cs="Times New Roman" w:hint="eastAsia"/>
          <w:b/>
          <w:bCs/>
          <w:sz w:val="22"/>
          <w:szCs w:val="28"/>
        </w:rPr>
        <w:t>A</w:t>
      </w:r>
      <w:r w:rsidR="00301AFA" w:rsidRPr="00301AFA">
        <w:rPr>
          <w:rFonts w:ascii="Times New Roman" w:hAnsi="Times New Roman" w:cs="Times New Roman"/>
          <w:b/>
          <w:bCs/>
          <w:sz w:val="22"/>
          <w:szCs w:val="28"/>
        </w:rPr>
        <w:t xml:space="preserve">cute </w:t>
      </w:r>
      <w:r w:rsidR="00301AFA">
        <w:rPr>
          <w:rFonts w:ascii="Times New Roman" w:hAnsi="Times New Roman" w:cs="Times New Roman"/>
          <w:b/>
          <w:bCs/>
          <w:sz w:val="22"/>
          <w:szCs w:val="28"/>
        </w:rPr>
        <w:t>C</w:t>
      </w:r>
      <w:r w:rsidR="00301AFA" w:rsidRPr="00301AFA">
        <w:rPr>
          <w:rFonts w:ascii="Times New Roman" w:hAnsi="Times New Roman" w:cs="Times New Roman"/>
          <w:b/>
          <w:bCs/>
          <w:sz w:val="22"/>
          <w:szCs w:val="28"/>
        </w:rPr>
        <w:t xml:space="preserve">oronary </w:t>
      </w:r>
      <w:r w:rsidR="00301AFA">
        <w:rPr>
          <w:rFonts w:ascii="Times New Roman" w:hAnsi="Times New Roman" w:cs="Times New Roman"/>
          <w:b/>
          <w:bCs/>
          <w:sz w:val="22"/>
          <w:szCs w:val="28"/>
        </w:rPr>
        <w:t>S</w:t>
      </w:r>
      <w:r w:rsidR="00301AFA" w:rsidRPr="00301AFA">
        <w:rPr>
          <w:rFonts w:ascii="Times New Roman" w:hAnsi="Times New Roman" w:cs="Times New Roman"/>
          <w:b/>
          <w:bCs/>
          <w:sz w:val="22"/>
          <w:szCs w:val="28"/>
        </w:rPr>
        <w:t>yndromes</w:t>
      </w:r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 w:rsidR="00355FF2">
        <w:rPr>
          <w:rFonts w:ascii="Times New Roman" w:hAnsi="Times New Roman" w:cs="Times New Roman"/>
          <w:b/>
          <w:bCs/>
          <w:sz w:val="22"/>
          <w:szCs w:val="28"/>
        </w:rPr>
        <w:t>P</w:t>
      </w:r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>ati</w:t>
      </w:r>
      <w:r w:rsidR="00355FF2">
        <w:rPr>
          <w:rFonts w:ascii="Times New Roman" w:hAnsi="Times New Roman" w:cs="Times New Roman"/>
          <w:b/>
          <w:bCs/>
          <w:sz w:val="22"/>
          <w:szCs w:val="28"/>
        </w:rPr>
        <w:t>e</w:t>
      </w:r>
      <w:r w:rsidR="00FB46F5" w:rsidRPr="00EC30A6">
        <w:rPr>
          <w:rFonts w:ascii="Times New Roman" w:hAnsi="Times New Roman" w:cs="Times New Roman"/>
          <w:b/>
          <w:bCs/>
          <w:sz w:val="22"/>
          <w:szCs w:val="28"/>
        </w:rPr>
        <w:t xml:space="preserve">nts with CYP2C19 </w:t>
      </w:r>
      <w:r w:rsidR="00FB46F5" w:rsidRPr="00EC30A6">
        <w:rPr>
          <w:rFonts w:ascii="Times New Roman" w:eastAsia="DengXian" w:hAnsi="Times New Roman" w:cs="Times New Roman"/>
          <w:b/>
          <w:bCs/>
          <w:color w:val="000000"/>
          <w:szCs w:val="21"/>
        </w:rPr>
        <w:t>Phenotype</w:t>
      </w:r>
    </w:p>
    <w:tbl>
      <w:tblPr>
        <w:tblW w:w="1332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693"/>
        <w:gridCol w:w="1134"/>
        <w:gridCol w:w="2694"/>
        <w:gridCol w:w="992"/>
        <w:gridCol w:w="2835"/>
        <w:gridCol w:w="1134"/>
      </w:tblGrid>
      <w:tr w:rsidR="006673AA" w:rsidRPr="00EC30A6" w14:paraId="32508F7C" w14:textId="77777777" w:rsidTr="00FB46F5">
        <w:trPr>
          <w:trHeight w:val="420"/>
        </w:trPr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965602" w14:textId="5F94E0C8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10" w:name="OLE_LINK75"/>
            <w:bookmarkStart w:id="11" w:name="OLE_LINK76"/>
            <w:bookmarkStart w:id="12" w:name="OLE_LINK77"/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Ou</w:t>
            </w:r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t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come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6E6086" w14:textId="37F72CC9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0-365 </w:t>
            </w:r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D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ays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79A755" w14:textId="189DCAD3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0-90 </w:t>
            </w:r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D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ays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15399F" w14:textId="17E41613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91-365 </w:t>
            </w:r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D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ays</w:t>
            </w:r>
          </w:p>
        </w:tc>
      </w:tr>
      <w:tr w:rsidR="00FB46F5" w:rsidRPr="00EC30A6" w14:paraId="6AD1C205" w14:textId="77777777" w:rsidTr="006F4394">
        <w:trPr>
          <w:trHeight w:val="420"/>
        </w:trPr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79D524D" w14:textId="77777777" w:rsidR="006673AA" w:rsidRPr="006673AA" w:rsidRDefault="006673AA" w:rsidP="006673A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2E09" w14:textId="558C61AB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Hazard Ratio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（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95% CI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）</w:t>
            </w:r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1F5D9" w14:textId="66D62555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6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152DC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Hazard Ratio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（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95% CI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9146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EB9E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Hazard Ratio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（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95% CI</w:t>
            </w: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E749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</w:tr>
      <w:tr w:rsidR="006673AA" w:rsidRPr="006673AA" w14:paraId="6F80C5B4" w14:textId="77777777" w:rsidTr="00FB46F5">
        <w:trPr>
          <w:trHeight w:val="420"/>
        </w:trPr>
        <w:tc>
          <w:tcPr>
            <w:tcW w:w="13325" w:type="dxa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D263E" w14:textId="4997B8FA" w:rsidR="006673AA" w:rsidRPr="006673AA" w:rsidRDefault="006673AA" w:rsidP="006673A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Primary Outcome</w:t>
            </w:r>
            <w:bookmarkStart w:id="13" w:name="OLE_LINK3"/>
            <w:bookmarkStart w:id="14" w:name="OLE_LINK4"/>
            <w:bookmarkStart w:id="15" w:name="OLE_LINK5"/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bookmarkEnd w:id="13"/>
            <w:bookmarkEnd w:id="14"/>
            <w:bookmarkEnd w:id="15"/>
            <w:r w:rsidR="00FB46F5" w:rsidRPr="00EC30A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6673AA" w:rsidRPr="00266893" w14:paraId="2B1AD875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2D7889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D75FA34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0CA64F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A5503A3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793D03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82669CB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B55216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AB1730" w14:paraId="1BB9143E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EEB867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4250E3A" w14:textId="0954045E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1.3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75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(0.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816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- 2.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319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F937F" w14:textId="1307228A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232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0EA5377" w14:textId="0B711B0F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1.232 (0.544 - 2.790)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90DE62" w14:textId="49995F15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0.616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8B05402" w14:textId="37CB1AF9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1.381 (0.729 - 2.616)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93949D" w14:textId="11E9C74E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0.322</w:t>
            </w:r>
          </w:p>
        </w:tc>
      </w:tr>
      <w:tr w:rsidR="00266893" w:rsidRPr="00AB1730" w14:paraId="65E8AE2E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4A53C2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C7C0D06" w14:textId="2980ECDA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850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(0.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932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- 3.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671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0C66F7" w14:textId="32929E51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F6307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079</w:t>
            </w: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CD6C5A9" w14:textId="2CC5DC4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2.944 (1.184 - 7.321)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699327" w14:textId="228CF20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0.020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B3EFFD5" w14:textId="29B76B0F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0.867 (0.288 - 2.604)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95ED9" w14:textId="2CA5480F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0.799</w:t>
            </w:r>
          </w:p>
        </w:tc>
      </w:tr>
      <w:tr w:rsidR="006673AA" w:rsidRPr="00857B4E" w14:paraId="000FBB39" w14:textId="77777777" w:rsidTr="00FB46F5">
        <w:trPr>
          <w:trHeight w:val="420"/>
        </w:trPr>
        <w:tc>
          <w:tcPr>
            <w:tcW w:w="13325" w:type="dxa"/>
            <w:gridSpan w:val="7"/>
            <w:shd w:val="clear" w:color="auto" w:fill="auto"/>
            <w:noWrap/>
            <w:vAlign w:val="center"/>
            <w:hideMark/>
          </w:tcPr>
          <w:p w14:paraId="2A6F0496" w14:textId="77777777" w:rsidR="006673AA" w:rsidRPr="00857B4E" w:rsidRDefault="006673AA" w:rsidP="006673A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857B4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Death from any cause</w:t>
            </w:r>
          </w:p>
        </w:tc>
      </w:tr>
      <w:tr w:rsidR="006673AA" w:rsidRPr="00266893" w14:paraId="1B8B7A0D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8E2D2E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76835BF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E2C791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E0EBDB9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9136F4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BF5F2D4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716DBA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266893" w14:paraId="03AFCB42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D5F367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AE7967A" w14:textId="5CB213B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1.601 (0.614 - 4.173)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849AEA" w14:textId="66CD05B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0.336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737DF9F" w14:textId="2E0DF9B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2.107 (0.532 - 8.339)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8A9DB7" w14:textId="0A1E4BF2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0.288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1D17635" w14:textId="0441914E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1.120 (0.277 - 4.536)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B0AB7E" w14:textId="0283933E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0.874</w:t>
            </w:r>
          </w:p>
        </w:tc>
      </w:tr>
      <w:tr w:rsidR="00266893" w:rsidRPr="00266893" w14:paraId="04765FE9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154539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D0D4F8E" w14:textId="01DB086D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4.110 (1.462 - 11.554)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B1EF1A" w14:textId="6490EA1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0.007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F2E7D4D" w14:textId="512DFC8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7.600 (1.826 - 31.627)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89F067" w14:textId="03D8C1FD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0.005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7D87BF4" w14:textId="0A90389B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1.644 (0.300 - 9.018)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1825FE" w14:textId="59B7B92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0.567</w:t>
            </w:r>
          </w:p>
        </w:tc>
      </w:tr>
      <w:tr w:rsidR="006673AA" w:rsidRPr="00857B4E" w14:paraId="5543F8A5" w14:textId="77777777" w:rsidTr="00FB46F5">
        <w:trPr>
          <w:trHeight w:val="420"/>
        </w:trPr>
        <w:tc>
          <w:tcPr>
            <w:tcW w:w="13325" w:type="dxa"/>
            <w:gridSpan w:val="7"/>
            <w:shd w:val="clear" w:color="auto" w:fill="auto"/>
            <w:noWrap/>
            <w:vAlign w:val="center"/>
            <w:hideMark/>
          </w:tcPr>
          <w:p w14:paraId="4C4A30EE" w14:textId="77777777" w:rsidR="006673AA" w:rsidRPr="00857B4E" w:rsidRDefault="006673AA" w:rsidP="006673A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857B4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Myocardial infarction</w:t>
            </w:r>
          </w:p>
        </w:tc>
      </w:tr>
      <w:tr w:rsidR="006673AA" w:rsidRPr="00EC30A6" w14:paraId="2AB97120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A6B825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5F333FE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1E54DD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CAA87F6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2ED4DD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0A8FCB9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F42843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AB1730" w14:paraId="35E2BBE2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735A9D9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0C1BFC6" w14:textId="492844E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1.035 (0.489 - 2.193)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E6F5E2" w14:textId="45E48FCF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0.928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E73A89B" w14:textId="49F7B42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1.143 (0.342 - 3.817)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18236A" w14:textId="5D71BE9B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0.828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71382EF" w14:textId="6BF932A1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0.999 (0.380 - 2.624)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92D42D" w14:textId="06CE52E2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0.998</w:t>
            </w:r>
          </w:p>
        </w:tc>
      </w:tr>
      <w:tr w:rsidR="00266893" w:rsidRPr="00AB1730" w14:paraId="63873317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4E9867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0399650" w14:textId="3BEE3C0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1.150 (0.369 - 3.586)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484E4E" w14:textId="23EFC03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0.810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CF0FEF8" w14:textId="75CDFBD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1.532 (0.289 - 8.118)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725ADE" w14:textId="07326FA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0.616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214CA45" w14:textId="1BF8EDE6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0.924 (0.191 - 4.472)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A087D2" w14:textId="0B3481A2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0.922</w:t>
            </w:r>
          </w:p>
        </w:tc>
      </w:tr>
      <w:tr w:rsidR="006673AA" w:rsidRPr="00857B4E" w14:paraId="632F1320" w14:textId="77777777" w:rsidTr="00FB46F5">
        <w:trPr>
          <w:trHeight w:val="500"/>
        </w:trPr>
        <w:tc>
          <w:tcPr>
            <w:tcW w:w="13325" w:type="dxa"/>
            <w:gridSpan w:val="7"/>
            <w:shd w:val="clear" w:color="auto" w:fill="auto"/>
            <w:noWrap/>
            <w:vAlign w:val="center"/>
            <w:hideMark/>
          </w:tcPr>
          <w:p w14:paraId="54BFF537" w14:textId="77777777" w:rsidR="006673AA" w:rsidRPr="00857B4E" w:rsidRDefault="006673AA" w:rsidP="002668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857B4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Stent Thrombosis</w:t>
            </w:r>
          </w:p>
        </w:tc>
      </w:tr>
      <w:tr w:rsidR="006673AA" w:rsidRPr="00EC30A6" w14:paraId="5F0B37BB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FD8BCB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CE8A411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EAF84A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8442019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904A87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2880904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CEAE8D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EC30A6" w14:paraId="22F6DADE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65D8F9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A41B2B4" w14:textId="0BEC688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1.532 (0.494 - 4.750)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192F5" w14:textId="479CCD1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11FACAD" w14:textId="540181A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0.494 (0.043 - 5.717)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30435D" w14:textId="6720BAD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0.572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1950A73" w14:textId="6B43976F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2.267 (0.576 - 8.916)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BE9214" w14:textId="1D75AFBB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0.242</w:t>
            </w:r>
          </w:p>
        </w:tc>
      </w:tr>
      <w:tr w:rsidR="00266893" w:rsidRPr="00EC30A6" w14:paraId="58C4FBE1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372E2B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6F31851" w14:textId="1AA9364A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0.855 (0.097 - 7.502)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F89618" w14:textId="24DE1045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0.887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9A2F92D" w14:textId="36964516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2.499 (0.199 - 31.405)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3E00C0" w14:textId="1AEBB84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0.478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1AF9195" w14:textId="62ADE7EF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70ADB7" w14:textId="6E53135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</w:tr>
      <w:tr w:rsidR="006673AA" w:rsidRPr="00857B4E" w14:paraId="48CE07F9" w14:textId="77777777" w:rsidTr="00FB46F5">
        <w:trPr>
          <w:trHeight w:val="440"/>
        </w:trPr>
        <w:tc>
          <w:tcPr>
            <w:tcW w:w="13325" w:type="dxa"/>
            <w:gridSpan w:val="7"/>
            <w:shd w:val="clear" w:color="auto" w:fill="auto"/>
            <w:noWrap/>
            <w:vAlign w:val="center"/>
            <w:hideMark/>
          </w:tcPr>
          <w:p w14:paraId="17FFBBA3" w14:textId="77777777" w:rsidR="006673AA" w:rsidRPr="00857B4E" w:rsidRDefault="006673AA" w:rsidP="002668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857B4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Ischemic Stroke</w:t>
            </w:r>
          </w:p>
        </w:tc>
      </w:tr>
      <w:tr w:rsidR="006673AA" w:rsidRPr="00EC30A6" w14:paraId="31A95CEF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14B84C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CEEF11B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A48D2D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4C8AE45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D26C61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0947A83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2CD30C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EC30A6" w14:paraId="4DA69EF8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5F141E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F938DD3" w14:textId="0225501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3.024 (0.284 - 31.929)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B4CA12" w14:textId="19B1218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4B8D607" w14:textId="730A7532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F79AF2" w14:textId="5384032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2FFE592" w14:textId="648FBE5D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3.011 (0.284 - 31.929)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16D998" w14:textId="44003CFD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0.36</w:t>
            </w:r>
          </w:p>
        </w:tc>
      </w:tr>
      <w:tr w:rsidR="00266893" w:rsidRPr="00EC30A6" w14:paraId="54C07665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C2D6896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51209D3" w14:textId="5710AC9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0FBA7E" w14:textId="13FB54D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672619E" w14:textId="76ED0A7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17CF2C" w14:textId="4A1DE48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573D6F4" w14:textId="440CF1AE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0A0DCF" w14:textId="091E25EB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</w:tr>
      <w:tr w:rsidR="006673AA" w:rsidRPr="006673AA" w14:paraId="494195D1" w14:textId="77777777" w:rsidTr="00FB46F5">
        <w:trPr>
          <w:trHeight w:val="420"/>
        </w:trPr>
        <w:tc>
          <w:tcPr>
            <w:tcW w:w="13325" w:type="dxa"/>
            <w:gridSpan w:val="7"/>
            <w:shd w:val="clear" w:color="auto" w:fill="auto"/>
            <w:noWrap/>
            <w:vAlign w:val="center"/>
            <w:hideMark/>
          </w:tcPr>
          <w:p w14:paraId="768AE35E" w14:textId="1055A2A9" w:rsidR="006673AA" w:rsidRPr="00266893" w:rsidRDefault="006673AA" w:rsidP="00266893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Secondary Outcome </w:t>
            </w:r>
            <w:r w:rsidR="00FB46F5" w:rsidRPr="00266893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</w:tr>
      <w:tr w:rsidR="006673AA" w:rsidRPr="00EC30A6" w14:paraId="2BA08EFF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1D58C0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4E2B82F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C0B56C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3FCBB9E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B6458A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89667E6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1C8ED6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EC30A6" w14:paraId="6C13A904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9A8BA7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8EC564A" w14:textId="12F2795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1.356 (0.856 - 2.150)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B73FCF" w14:textId="5806977B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0.194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A17A364" w14:textId="3E2619BB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1.234 (0.546 - 2.794)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E42033" w14:textId="1D5F62E6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0.613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5B41B71" w14:textId="152C9171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1.372 (0.785 - 2.400)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8DB2DE" w14:textId="142C1AFD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0.267</w:t>
            </w:r>
          </w:p>
        </w:tc>
      </w:tr>
      <w:tr w:rsidR="00266893" w:rsidRPr="00EC30A6" w14:paraId="6BDAD042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47EB66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71E8616" w14:textId="4E623AD2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1.722 (0.927 - 3.199)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0AF8A0" w14:textId="6784F26A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0.085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4F0C48D" w14:textId="34C932A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3.309 (1.363 - 8.033)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B1386E" w14:textId="50E5289C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0CE9A52" w14:textId="63C41CF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0.884 (0.332 - 2.353)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0304C6" w14:textId="674EF0B5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0.805</w:t>
            </w:r>
          </w:p>
        </w:tc>
      </w:tr>
      <w:tr w:rsidR="006673AA" w:rsidRPr="006673AA" w14:paraId="3DC2FDA9" w14:textId="77777777" w:rsidTr="00FB46F5">
        <w:trPr>
          <w:trHeight w:val="420"/>
        </w:trPr>
        <w:tc>
          <w:tcPr>
            <w:tcW w:w="13325" w:type="dxa"/>
            <w:gridSpan w:val="7"/>
            <w:shd w:val="clear" w:color="auto" w:fill="auto"/>
            <w:noWrap/>
            <w:vAlign w:val="center"/>
            <w:hideMark/>
          </w:tcPr>
          <w:p w14:paraId="447453E3" w14:textId="77777777" w:rsidR="006673AA" w:rsidRPr="00857B4E" w:rsidRDefault="006673AA" w:rsidP="00857B4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857B4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Urgent TVR</w:t>
            </w:r>
          </w:p>
        </w:tc>
      </w:tr>
      <w:tr w:rsidR="006673AA" w:rsidRPr="00EC30A6" w14:paraId="31D3852D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8A2032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A021C44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035185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05B159D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58E7A6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ABBAD51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4AE67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EC30A6" w14:paraId="780A66F5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A8EE6F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DCFDF0E" w14:textId="407267C4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1.271 (0.404 - 4.006)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AD07E9" w14:textId="2629522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0.682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B1537BC" w14:textId="42916B8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07E2B7" w14:textId="2D7326A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19161E5" w14:textId="291443CA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1.272 (0.404 - 4.007)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6558C0" w14:textId="113B171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0.681</w:t>
            </w:r>
          </w:p>
        </w:tc>
      </w:tr>
      <w:tr w:rsidR="00266893" w:rsidRPr="00EC30A6" w14:paraId="6D398388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1CC176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4369A77" w14:textId="2AB685B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1.439 (0.279 - 7.418)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D0B5D4" w14:textId="60B03E8B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0.663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ADC3D63" w14:textId="424A822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2BE1B9" w14:textId="443694F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47F3945" w14:textId="2BE9902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0.719 (0.084 - 6.155)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C4D558" w14:textId="1573A4AC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0.763</w:t>
            </w:r>
          </w:p>
        </w:tc>
      </w:tr>
      <w:tr w:rsidR="006673AA" w:rsidRPr="006673AA" w14:paraId="5DFC9C44" w14:textId="77777777" w:rsidTr="00FB46F5">
        <w:trPr>
          <w:trHeight w:val="420"/>
        </w:trPr>
        <w:tc>
          <w:tcPr>
            <w:tcW w:w="13325" w:type="dxa"/>
            <w:gridSpan w:val="7"/>
            <w:shd w:val="clear" w:color="auto" w:fill="auto"/>
            <w:noWrap/>
            <w:vAlign w:val="center"/>
            <w:hideMark/>
          </w:tcPr>
          <w:p w14:paraId="5277EE45" w14:textId="59CC5E62" w:rsidR="006673AA" w:rsidRPr="006673AA" w:rsidRDefault="006673AA" w:rsidP="006673A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16" w:name="_Hlk66636607"/>
            <w:r w:rsidRPr="006673A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Bleeding Outcome </w:t>
            </w:r>
            <w:r w:rsidR="00FB46F5" w:rsidRPr="00EC30A6">
              <w:rPr>
                <w:rFonts w:ascii="Times New Roman" w:hAnsi="Times New Roman" w:cs="Times New Roman"/>
                <w:color w:val="333333"/>
                <w:szCs w:val="21"/>
                <w:vertAlign w:val="superscript"/>
              </w:rPr>
              <w:t>d, e</w:t>
            </w:r>
          </w:p>
        </w:tc>
      </w:tr>
      <w:bookmarkEnd w:id="16"/>
      <w:tr w:rsidR="006673AA" w:rsidRPr="00EC30A6" w14:paraId="51E40530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03B651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NLOFM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C76248F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654157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68873B4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CBBD13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2213EF7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798B5C" w14:textId="77777777" w:rsidR="006673AA" w:rsidRPr="006673AA" w:rsidRDefault="006673AA" w:rsidP="006673A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266893" w:rsidRPr="00EC30A6" w14:paraId="145266A3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A7E831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IM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B83785E" w14:textId="0FE43B26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0.864 (0.445 - 1.677)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AD7C74" w14:textId="2BBC11DD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0.665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38C1A7F" w14:textId="284476E8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0.366 (0.069 - 1.951)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E1685B" w14:textId="3E12958F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0.239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26D4C51" w14:textId="29A1C302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1.035 (0.493 - 2.176)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15906C" w14:textId="7BABFF2C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0.927 </w:t>
            </w:r>
          </w:p>
        </w:tc>
      </w:tr>
      <w:tr w:rsidR="00266893" w:rsidRPr="00EC30A6" w14:paraId="1D8CB4AD" w14:textId="77777777" w:rsidTr="006F4394">
        <w:trPr>
          <w:trHeight w:val="420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38482B" w14:textId="77777777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67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PM 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2356200" w14:textId="30F0A819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1.122 (0.445 - 2.829)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FD85AC" w14:textId="568FBD3E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0.808 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CFDF1FF" w14:textId="56A83A83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1.172 (0.208 - 6.610)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39ADA9" w14:textId="4DB14880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0.857 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0C80723" w14:textId="5109EDFE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1.075 (0.351 - 3.297)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C67BEB" w14:textId="5477910A" w:rsidR="00266893" w:rsidRPr="006673AA" w:rsidRDefault="00266893" w:rsidP="002668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6893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0.899 </w:t>
            </w:r>
          </w:p>
        </w:tc>
      </w:tr>
    </w:tbl>
    <w:bookmarkEnd w:id="10"/>
    <w:bookmarkEnd w:id="11"/>
    <w:bookmarkEnd w:id="12"/>
    <w:p w14:paraId="4B0AC7AB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CI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confidence interval,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NLOFM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non-loss-of-function metabolizer,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IM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intermediate metabolizer,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PM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poor metabolizer.</w:t>
      </w:r>
    </w:p>
    <w:p w14:paraId="779AC21C" w14:textId="77777777" w:rsidR="006F4394" w:rsidRPr="006F4394" w:rsidRDefault="006F4394" w:rsidP="006F4394">
      <w:pPr>
        <w:rPr>
          <w:rFonts w:ascii="Times New Roman" w:hAnsi="Times New Roman" w:cs="Times New Roman"/>
          <w:sz w:val="20"/>
          <w:szCs w:val="20"/>
        </w:rPr>
      </w:pPr>
      <w:r w:rsidRPr="006F4394">
        <w:rPr>
          <w:rFonts w:ascii="Times New Roman" w:hAnsi="Times New Roman" w:cs="Times New Roman"/>
          <w:color w:val="333333"/>
          <w:sz w:val="20"/>
          <w:szCs w:val="20"/>
          <w:vertAlign w:val="superscript"/>
        </w:rPr>
        <w:t xml:space="preserve">a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Hazard Ratios, confidence intervals and </w:t>
      </w:r>
      <w:r w:rsidRPr="006F4394">
        <w:rPr>
          <w:rFonts w:ascii="Times New Roman" w:eastAsiaTheme="minorHAnsi" w:hAnsi="Times New Roman" w:cs="Times New Roman"/>
          <w:i/>
          <w:iCs/>
          <w:color w:val="333333"/>
          <w:sz w:val="20"/>
          <w:szCs w:val="20"/>
        </w:rPr>
        <w:t>p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 xml:space="preserve"> values were calculated by means of Cox proportional hazard regression models adjusting for age, sex, coronary artery disease presentation,</w:t>
      </w:r>
      <w:r w:rsidRPr="006F4394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diabetes mellitus, hypertension, multiple-vessel disease, cerebrovascular disease, chronic kidney disease and previous myocardial infarction. </w:t>
      </w:r>
    </w:p>
    <w:p w14:paraId="0715A7F5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t>b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  <w:vertAlign w:val="superscript"/>
        </w:rPr>
        <w:t xml:space="preserve">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Primary outcome was the composite of death from any cause, myocardial infarction, definite or probable stent thrombosis and ischemic stroke.</w:t>
      </w:r>
    </w:p>
    <w:p w14:paraId="64D9182D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lastRenderedPageBreak/>
        <w:t>c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  <w:vertAlign w:val="superscript"/>
        </w:rPr>
        <w:t xml:space="preserve">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Secondary outcome was the composite of death from any cause, myocardial infarction, definite or probable stent thrombosis, ischemic stroke and urgent target‑vessel revascularization.</w:t>
      </w:r>
    </w:p>
    <w:p w14:paraId="77815CB2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color w:val="333333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t xml:space="preserve">d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Bleeding outcome was clinically signiﬁcant bleeding events as defined by Bleeding Academic Research Consortium (BARC) criteria (including BARC 2, BARC 3, BARC 4)</w:t>
      </w:r>
    </w:p>
    <w:p w14:paraId="38CE1D83" w14:textId="77777777" w:rsidR="006F4394" w:rsidRPr="006F4394" w:rsidRDefault="006F4394" w:rsidP="006F4394">
      <w:pPr>
        <w:pStyle w:val="a3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</w:rPr>
      </w:pP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  <w:vertAlign w:val="superscript"/>
        </w:rPr>
        <w:t>e</w:t>
      </w:r>
      <w:r w:rsidRPr="006F4394">
        <w:rPr>
          <w:rFonts w:ascii="Times New Roman" w:eastAsiaTheme="minorEastAsia" w:hAnsi="Times New Roman" w:cs="Times New Roman"/>
          <w:color w:val="333333"/>
          <w:kern w:val="2"/>
          <w:sz w:val="20"/>
          <w:szCs w:val="20"/>
        </w:rPr>
        <w:t xml:space="preserve"> The </w:t>
      </w:r>
      <w:r w:rsidRPr="006F4394">
        <w:rPr>
          <w:rFonts w:ascii="Times New Roman" w:eastAsiaTheme="minorHAnsi" w:hAnsi="Times New Roman" w:cs="Times New Roman"/>
          <w:color w:val="333333"/>
          <w:sz w:val="20"/>
          <w:szCs w:val="20"/>
        </w:rPr>
        <w:t>BARC criteria were used for grading and categorizing bleeding events, BARC 2 referred to any overt, actionable sign of bleeding that requires medical intervention or evaluation, but not meet criteria for type 3 or higher BARC bleeding; BARC 3 indicated overt bleeding plus a decrease in hemoglobin of more than 3 g/dL, intracranial hemorrhage or intraocular hemorrhage compromising vision; BARC 4 was bleeding related to coronary‑artery bypass grafting.</w:t>
      </w:r>
    </w:p>
    <w:p w14:paraId="60BFF96E" w14:textId="29CCFEBB" w:rsidR="00180BBC" w:rsidRDefault="00180B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85512F7" w14:textId="788BC3B4" w:rsidR="006673AA" w:rsidRDefault="00180BBC">
      <w:pPr>
        <w:rPr>
          <w:rFonts w:ascii="Times New Roman" w:hAnsi="Times New Roman" w:cs="Times New Roman"/>
          <w:b/>
          <w:bCs/>
          <w:sz w:val="22"/>
          <w:szCs w:val="28"/>
        </w:rPr>
      </w:pPr>
      <w:r w:rsidRPr="00180BBC">
        <w:rPr>
          <w:rFonts w:ascii="Times New Roman" w:hAnsi="Times New Roman" w:cs="Times New Roman"/>
          <w:b/>
          <w:bCs/>
          <w:sz w:val="22"/>
          <w:szCs w:val="28"/>
        </w:rPr>
        <w:lastRenderedPageBreak/>
        <w:t xml:space="preserve">Figure </w:t>
      </w:r>
      <w:r w:rsidR="00082440">
        <w:rPr>
          <w:rFonts w:ascii="Times New Roman" w:hAnsi="Times New Roman" w:cs="Times New Roman" w:hint="eastAsia"/>
          <w:b/>
          <w:bCs/>
          <w:sz w:val="22"/>
          <w:szCs w:val="28"/>
        </w:rPr>
        <w:t>S</w:t>
      </w:r>
      <w:r w:rsidRPr="00180BBC">
        <w:rPr>
          <w:rFonts w:ascii="Times New Roman" w:hAnsi="Times New Roman" w:cs="Times New Roman"/>
          <w:b/>
          <w:bCs/>
          <w:sz w:val="22"/>
          <w:szCs w:val="28"/>
        </w:rPr>
        <w:t>1.</w:t>
      </w:r>
      <w:r w:rsidR="004A1E74"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 w:rsidR="004A1E74" w:rsidRPr="00DD066C">
        <w:rPr>
          <w:rFonts w:ascii="Times New Roman" w:eastAsiaTheme="minorHAnsi" w:hAnsi="Times New Roman" w:cs="Times New Roman"/>
          <w:b/>
          <w:bCs/>
          <w:color w:val="333333"/>
          <w:szCs w:val="21"/>
        </w:rPr>
        <w:t xml:space="preserve">Incidence Curves for the </w:t>
      </w:r>
      <w:r w:rsidR="004A1E74">
        <w:rPr>
          <w:rFonts w:ascii="Times New Roman" w:eastAsiaTheme="minorHAnsi" w:hAnsi="Times New Roman" w:cs="Times New Roman"/>
          <w:b/>
          <w:bCs/>
          <w:color w:val="333333"/>
          <w:szCs w:val="21"/>
        </w:rPr>
        <w:t>Secondary</w:t>
      </w:r>
      <w:r w:rsidR="004A1E74" w:rsidRPr="00DD066C">
        <w:rPr>
          <w:rFonts w:ascii="Times New Roman" w:eastAsiaTheme="minorHAnsi" w:hAnsi="Times New Roman" w:cs="Times New Roman"/>
          <w:b/>
          <w:bCs/>
          <w:color w:val="333333"/>
          <w:szCs w:val="21"/>
        </w:rPr>
        <w:t xml:space="preserve"> Outcome</w:t>
      </w:r>
    </w:p>
    <w:p w14:paraId="231DBE17" w14:textId="474B6898" w:rsidR="00180BBC" w:rsidRDefault="004A1E74" w:rsidP="004A1E74">
      <w:pPr>
        <w:jc w:val="center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2"/>
          <w:szCs w:val="28"/>
        </w:rPr>
        <w:drawing>
          <wp:inline distT="0" distB="0" distL="0" distR="0" wp14:anchorId="798621C3" wp14:editId="3519FE6E">
            <wp:extent cx="5381898" cy="3754077"/>
            <wp:effectExtent l="0" t="0" r="3175" b="5715"/>
            <wp:docPr id="1" name="图片 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中度可信度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4974" cy="3756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D47DE" w14:textId="77777777" w:rsidR="006F4394" w:rsidRDefault="006F4394" w:rsidP="006F4394">
      <w:pPr>
        <w:pStyle w:val="a3"/>
        <w:spacing w:before="0" w:beforeAutospacing="0" w:after="0" w:afterAutospacing="0"/>
        <w:rPr>
          <w:rFonts w:ascii="Times New Roman" w:eastAsiaTheme="minorHAnsi" w:hAnsi="Times New Roman" w:cs="Times New Roman"/>
          <w:color w:val="333333"/>
          <w:sz w:val="21"/>
          <w:szCs w:val="21"/>
        </w:rPr>
      </w:pPr>
      <w:r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Event rates (%) were the </w:t>
      </w:r>
      <w:r w:rsidRPr="007A548C">
        <w:rPr>
          <w:rFonts w:ascii="Times New Roman" w:eastAsiaTheme="minorHAnsi" w:hAnsi="Times New Roman" w:cs="Times New Roman"/>
          <w:color w:val="333333"/>
          <w:sz w:val="21"/>
          <w:szCs w:val="21"/>
        </w:rPr>
        <w:t>Kaplan-Meier event rate</w:t>
      </w:r>
      <w:r>
        <w:rPr>
          <w:rFonts w:ascii="Times New Roman" w:eastAsiaTheme="minorHAnsi" w:hAnsi="Times New Roman" w:cs="Times New Roman"/>
          <w:color w:val="333333"/>
          <w:sz w:val="21"/>
          <w:szCs w:val="21"/>
        </w:rPr>
        <w:t>.</w:t>
      </w:r>
    </w:p>
    <w:p w14:paraId="5B4AE571" w14:textId="77777777" w:rsidR="006F4394" w:rsidRPr="00DD066C" w:rsidRDefault="006F4394" w:rsidP="006F4394">
      <w:pPr>
        <w:pStyle w:val="a3"/>
        <w:spacing w:before="0" w:beforeAutospacing="0" w:after="0" w:afterAutospacing="0"/>
        <w:rPr>
          <w:rFonts w:ascii="Times New Roman" w:eastAsiaTheme="minorHAnsi" w:hAnsi="Times New Roman" w:cs="Times New Roman"/>
          <w:color w:val="333333"/>
          <w:sz w:val="21"/>
          <w:szCs w:val="21"/>
        </w:rPr>
      </w:pPr>
      <w:bookmarkStart w:id="17" w:name="OLE_LINK423"/>
      <w:bookmarkStart w:id="18" w:name="OLE_LINK424"/>
      <w:bookmarkStart w:id="19" w:name="OLE_LINK38"/>
      <w:bookmarkStart w:id="20" w:name="OLE_LINK39"/>
      <w:r w:rsidRPr="00C4556E">
        <w:rPr>
          <w:rFonts w:ascii="Times New Roman" w:eastAsiaTheme="minorHAnsi" w:hAnsi="Times New Roman" w:cs="Times New Roman"/>
          <w:i/>
          <w:iCs/>
          <w:color w:val="333333"/>
          <w:sz w:val="21"/>
          <w:szCs w:val="21"/>
        </w:rPr>
        <w:t xml:space="preserve">NLOFM </w:t>
      </w:r>
      <w:bookmarkStart w:id="21" w:name="OLE_LINK61"/>
      <w:bookmarkStart w:id="22" w:name="OLE_LINK62"/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>non-loss-of-function metabolizer</w:t>
      </w:r>
      <w:bookmarkEnd w:id="21"/>
      <w:bookmarkEnd w:id="22"/>
      <w:r>
        <w:rPr>
          <w:rFonts w:ascii="Times New Roman" w:eastAsiaTheme="minorHAnsi" w:hAnsi="Times New Roman" w:cs="Times New Roman"/>
          <w:color w:val="333333"/>
          <w:sz w:val="21"/>
          <w:szCs w:val="21"/>
        </w:rPr>
        <w:t>,</w:t>
      </w: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 </w:t>
      </w:r>
      <w:r w:rsidRPr="00C4556E">
        <w:rPr>
          <w:rFonts w:ascii="Times New Roman" w:eastAsiaTheme="minorHAnsi" w:hAnsi="Times New Roman" w:cs="Times New Roman"/>
          <w:i/>
          <w:iCs/>
          <w:color w:val="333333"/>
          <w:sz w:val="21"/>
          <w:szCs w:val="21"/>
        </w:rPr>
        <w:t>IM</w:t>
      </w: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 intermediate metabolizer</w:t>
      </w:r>
      <w:r>
        <w:rPr>
          <w:rFonts w:ascii="Times New Roman" w:eastAsiaTheme="minorHAnsi" w:hAnsi="Times New Roman" w:cs="Times New Roman"/>
          <w:color w:val="333333"/>
          <w:sz w:val="21"/>
          <w:szCs w:val="21"/>
        </w:rPr>
        <w:t>,</w:t>
      </w: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 </w:t>
      </w:r>
      <w:r w:rsidRPr="00C4556E">
        <w:rPr>
          <w:rFonts w:ascii="Times New Roman" w:eastAsiaTheme="minorHAnsi" w:hAnsi="Times New Roman" w:cs="Times New Roman"/>
          <w:i/>
          <w:iCs/>
          <w:color w:val="333333"/>
          <w:sz w:val="21"/>
          <w:szCs w:val="21"/>
        </w:rPr>
        <w:t>PM</w:t>
      </w: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 poor metabolizer</w:t>
      </w:r>
      <w:r>
        <w:rPr>
          <w:rFonts w:ascii="Times New Roman" w:eastAsiaTheme="minorHAnsi" w:hAnsi="Times New Roman" w:cs="Times New Roman"/>
          <w:color w:val="333333"/>
          <w:sz w:val="21"/>
          <w:szCs w:val="21"/>
        </w:rPr>
        <w:t>,</w:t>
      </w: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 </w:t>
      </w:r>
      <w:bookmarkEnd w:id="19"/>
      <w:bookmarkEnd w:id="20"/>
      <w:r w:rsidRPr="00C4556E">
        <w:rPr>
          <w:rFonts w:ascii="Times New Roman" w:eastAsiaTheme="minorHAnsi" w:hAnsi="Times New Roman" w:cs="Times New Roman"/>
          <w:i/>
          <w:iCs/>
          <w:color w:val="333333"/>
          <w:sz w:val="21"/>
          <w:szCs w:val="21"/>
        </w:rPr>
        <w:t>PCI</w:t>
      </w: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 percutaneous coronary intervention.</w:t>
      </w:r>
      <w:bookmarkEnd w:id="17"/>
      <w:bookmarkEnd w:id="18"/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 </w:t>
      </w:r>
    </w:p>
    <w:p w14:paraId="6350F910" w14:textId="77777777" w:rsidR="006F4394" w:rsidRPr="00DD066C" w:rsidRDefault="006F4394" w:rsidP="006F4394">
      <w:pPr>
        <w:pStyle w:val="a3"/>
        <w:spacing w:before="0" w:beforeAutospacing="0" w:after="0" w:afterAutospacing="0"/>
        <w:rPr>
          <w:rFonts w:ascii="Times New Roman" w:eastAsiaTheme="minorHAnsi" w:hAnsi="Times New Roman" w:cs="Times New Roman"/>
          <w:color w:val="333333"/>
          <w:sz w:val="21"/>
          <w:szCs w:val="21"/>
        </w:rPr>
      </w:pP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>Primary outcome was the composite of death from any cause, myocardial infarction, definite or probable stent thrombosis and ischemic stroke.</w:t>
      </w:r>
    </w:p>
    <w:p w14:paraId="346FD2EC" w14:textId="77777777" w:rsidR="006F4394" w:rsidRPr="00DD066C" w:rsidRDefault="006F4394" w:rsidP="006F4394">
      <w:pPr>
        <w:pStyle w:val="a3"/>
        <w:spacing w:before="0" w:beforeAutospacing="0" w:after="0" w:afterAutospacing="0"/>
        <w:rPr>
          <w:rFonts w:ascii="Times New Roman" w:eastAsiaTheme="minorHAnsi" w:hAnsi="Times New Roman" w:cs="Times New Roman"/>
          <w:color w:val="333333"/>
          <w:sz w:val="21"/>
          <w:szCs w:val="21"/>
        </w:rPr>
      </w:pPr>
      <w:r w:rsidRPr="00DD066C">
        <w:rPr>
          <w:rFonts w:ascii="Times New Roman" w:eastAsiaTheme="minorHAnsi" w:hAnsi="Times New Roman" w:cs="Times New Roman"/>
          <w:color w:val="333333"/>
          <w:sz w:val="21"/>
          <w:szCs w:val="21"/>
        </w:rPr>
        <w:t xml:space="preserve">Landmark analysis was conducted at 90 days after index percutaneous coronary intervention. </w:t>
      </w:r>
    </w:p>
    <w:p w14:paraId="32F879FE" w14:textId="77777777" w:rsidR="004A1E74" w:rsidRPr="006F4394" w:rsidRDefault="004A1E74" w:rsidP="004A1E74">
      <w:pPr>
        <w:jc w:val="center"/>
        <w:rPr>
          <w:rFonts w:ascii="Times New Roman" w:hAnsi="Times New Roman" w:cs="Times New Roman"/>
          <w:b/>
          <w:bCs/>
          <w:sz w:val="22"/>
          <w:szCs w:val="28"/>
        </w:rPr>
      </w:pPr>
    </w:p>
    <w:sectPr w:rsidR="004A1E74" w:rsidRPr="006F4394" w:rsidSect="006673AA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3AA"/>
    <w:rsid w:val="00011D9E"/>
    <w:rsid w:val="0006609F"/>
    <w:rsid w:val="00082440"/>
    <w:rsid w:val="00096E5A"/>
    <w:rsid w:val="000C0B61"/>
    <w:rsid w:val="000D1281"/>
    <w:rsid w:val="001057E8"/>
    <w:rsid w:val="00127270"/>
    <w:rsid w:val="00135689"/>
    <w:rsid w:val="0016105C"/>
    <w:rsid w:val="00180BBC"/>
    <w:rsid w:val="0018328D"/>
    <w:rsid w:val="0018437A"/>
    <w:rsid w:val="001F613D"/>
    <w:rsid w:val="00202BB3"/>
    <w:rsid w:val="00215DCA"/>
    <w:rsid w:val="002265C6"/>
    <w:rsid w:val="00263153"/>
    <w:rsid w:val="00266893"/>
    <w:rsid w:val="002A6D5B"/>
    <w:rsid w:val="002B6517"/>
    <w:rsid w:val="002D5E9B"/>
    <w:rsid w:val="002F5B21"/>
    <w:rsid w:val="00300F0A"/>
    <w:rsid w:val="00301AFA"/>
    <w:rsid w:val="003401AB"/>
    <w:rsid w:val="00350DD7"/>
    <w:rsid w:val="00355FF2"/>
    <w:rsid w:val="00361AF7"/>
    <w:rsid w:val="003705AE"/>
    <w:rsid w:val="003E59E8"/>
    <w:rsid w:val="004335AE"/>
    <w:rsid w:val="0044290A"/>
    <w:rsid w:val="00474A4A"/>
    <w:rsid w:val="004A1E74"/>
    <w:rsid w:val="0050201F"/>
    <w:rsid w:val="00506647"/>
    <w:rsid w:val="0051584C"/>
    <w:rsid w:val="00532D0F"/>
    <w:rsid w:val="00583AAF"/>
    <w:rsid w:val="00592E4C"/>
    <w:rsid w:val="005E4C40"/>
    <w:rsid w:val="005F49E7"/>
    <w:rsid w:val="005F509B"/>
    <w:rsid w:val="005F76ED"/>
    <w:rsid w:val="00606CAD"/>
    <w:rsid w:val="006532AF"/>
    <w:rsid w:val="006673AA"/>
    <w:rsid w:val="00685F4F"/>
    <w:rsid w:val="006A0308"/>
    <w:rsid w:val="006A2BC5"/>
    <w:rsid w:val="006B7A64"/>
    <w:rsid w:val="006F4394"/>
    <w:rsid w:val="00706488"/>
    <w:rsid w:val="0071493C"/>
    <w:rsid w:val="007655DA"/>
    <w:rsid w:val="0076754D"/>
    <w:rsid w:val="007B0CF6"/>
    <w:rsid w:val="007C5967"/>
    <w:rsid w:val="007E6D0D"/>
    <w:rsid w:val="007F7856"/>
    <w:rsid w:val="00817E9B"/>
    <w:rsid w:val="00822B28"/>
    <w:rsid w:val="008266A7"/>
    <w:rsid w:val="00830D9A"/>
    <w:rsid w:val="00854F51"/>
    <w:rsid w:val="00857B4E"/>
    <w:rsid w:val="00865E7F"/>
    <w:rsid w:val="008A15AE"/>
    <w:rsid w:val="008C6665"/>
    <w:rsid w:val="008D1BCB"/>
    <w:rsid w:val="0092544F"/>
    <w:rsid w:val="009948D1"/>
    <w:rsid w:val="009B2A52"/>
    <w:rsid w:val="009B5923"/>
    <w:rsid w:val="00A61BB7"/>
    <w:rsid w:val="00AA1A59"/>
    <w:rsid w:val="00AB1730"/>
    <w:rsid w:val="00AE791B"/>
    <w:rsid w:val="00AF3D57"/>
    <w:rsid w:val="00B25805"/>
    <w:rsid w:val="00B8189C"/>
    <w:rsid w:val="00B86F8D"/>
    <w:rsid w:val="00BB1D62"/>
    <w:rsid w:val="00BE64C8"/>
    <w:rsid w:val="00BF00A1"/>
    <w:rsid w:val="00C51279"/>
    <w:rsid w:val="00C87B0E"/>
    <w:rsid w:val="00CB3FB5"/>
    <w:rsid w:val="00CD7F8B"/>
    <w:rsid w:val="00CF56BD"/>
    <w:rsid w:val="00D203E1"/>
    <w:rsid w:val="00D215D1"/>
    <w:rsid w:val="00E009DE"/>
    <w:rsid w:val="00E05709"/>
    <w:rsid w:val="00E23F27"/>
    <w:rsid w:val="00E2641D"/>
    <w:rsid w:val="00E84C11"/>
    <w:rsid w:val="00E879C1"/>
    <w:rsid w:val="00EC30A6"/>
    <w:rsid w:val="00F07604"/>
    <w:rsid w:val="00F23EFC"/>
    <w:rsid w:val="00F41340"/>
    <w:rsid w:val="00F516B8"/>
    <w:rsid w:val="00F6307A"/>
    <w:rsid w:val="00F735C1"/>
    <w:rsid w:val="00F8424F"/>
    <w:rsid w:val="00F91D6A"/>
    <w:rsid w:val="00FB46F5"/>
    <w:rsid w:val="00FD5DFB"/>
    <w:rsid w:val="00FE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86C18"/>
  <w15:chartTrackingRefBased/>
  <w15:docId w15:val="{B1939630-70F3-6C47-8224-C0F3982F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46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6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7</Pages>
  <Words>1092</Words>
  <Characters>6228</Characters>
  <Application>Microsoft Office Word</Application>
  <DocSecurity>0</DocSecurity>
  <Lines>51</Lines>
  <Paragraphs>14</Paragraphs>
  <ScaleCrop>false</ScaleCrop>
  <Company/>
  <LinksUpToDate>false</LinksUpToDate>
  <CharactersWithSpaces>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阳</dc:creator>
  <cp:keywords/>
  <dc:description/>
  <cp:lastModifiedBy>张 阳</cp:lastModifiedBy>
  <cp:revision>26</cp:revision>
  <dcterms:created xsi:type="dcterms:W3CDTF">2021-03-14T06:51:00Z</dcterms:created>
  <dcterms:modified xsi:type="dcterms:W3CDTF">2021-05-01T09:46:00Z</dcterms:modified>
</cp:coreProperties>
</file>