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A2B35" w14:textId="77777777" w:rsidR="00E201F4" w:rsidRDefault="00E201F4" w:rsidP="00E201F4">
      <w:pPr>
        <w:spacing w:after="0" w:line="480" w:lineRule="auto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Supplementary appendix</w:t>
      </w:r>
    </w:p>
    <w:p w14:paraId="74484C6B" w14:textId="77777777" w:rsidR="00E201F4" w:rsidRDefault="00E201F4" w:rsidP="00E201F4">
      <w:pPr>
        <w:spacing w:after="0" w:line="480" w:lineRule="auto"/>
        <w:rPr>
          <w:rFonts w:ascii="Garamond" w:eastAsia="Times New Roman" w:hAnsi="Garamond" w:cs="Arial"/>
          <w:color w:val="333333"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Table </w:t>
      </w:r>
      <w:proofErr w:type="spellStart"/>
      <w:r>
        <w:rPr>
          <w:rFonts w:ascii="Garamond" w:hAnsi="Garamond"/>
          <w:b/>
          <w:bCs/>
          <w:sz w:val="24"/>
          <w:szCs w:val="24"/>
        </w:rPr>
        <w:t>S1</w:t>
      </w:r>
      <w:proofErr w:type="spellEnd"/>
      <w:r>
        <w:rPr>
          <w:rFonts w:ascii="Garamond" w:hAnsi="Garamond"/>
          <w:sz w:val="24"/>
          <w:szCs w:val="24"/>
        </w:rPr>
        <w:t xml:space="preserve"> shows the fraction of the Norwegian population with at least one GP consultation in 2020, and in prior years, broken down on subpopulations.</w:t>
      </w:r>
      <w:r>
        <w:rPr>
          <w:rFonts w:ascii="Garamond" w:eastAsia="Times New Roman" w:hAnsi="Garamond" w:cs="Arial"/>
          <w:color w:val="333333"/>
          <w:sz w:val="24"/>
          <w:szCs w:val="24"/>
        </w:rPr>
        <w:t xml:space="preserve"> As shown in </w:t>
      </w:r>
      <w:r>
        <w:rPr>
          <w:rFonts w:ascii="Garamond" w:eastAsia="Times New Roman" w:hAnsi="Garamond" w:cs="Arial"/>
          <w:b/>
          <w:bCs/>
          <w:color w:val="333333"/>
          <w:sz w:val="24"/>
          <w:szCs w:val="24"/>
        </w:rPr>
        <w:t xml:space="preserve">Figure </w:t>
      </w:r>
      <w:proofErr w:type="spellStart"/>
      <w:r>
        <w:rPr>
          <w:rFonts w:ascii="Garamond" w:eastAsia="Times New Roman" w:hAnsi="Garamond" w:cs="Arial"/>
          <w:b/>
          <w:bCs/>
          <w:color w:val="333333"/>
          <w:sz w:val="24"/>
          <w:szCs w:val="24"/>
        </w:rPr>
        <w:t>S1</w:t>
      </w:r>
      <w:proofErr w:type="spellEnd"/>
      <w:r>
        <w:rPr>
          <w:rFonts w:ascii="Garamond" w:eastAsia="Times New Roman" w:hAnsi="Garamond" w:cs="Arial"/>
          <w:color w:val="333333"/>
          <w:sz w:val="24"/>
          <w:szCs w:val="24"/>
        </w:rPr>
        <w:t xml:space="preserve">, The Norwegian GP system did not experience a large drop in encounters around the outbreak of the Covid-19 pandemic, relative to prior years, very different from other countries (see Mansfield et al., 2021, for the UK, and Holland et al., 2021, for the US). The reason was a fast transition to electronic encounters. </w:t>
      </w:r>
      <w:r>
        <w:rPr>
          <w:rFonts w:ascii="Garamond" w:eastAsia="Times New Roman" w:hAnsi="Garamond" w:cs="Arial"/>
          <w:b/>
          <w:bCs/>
          <w:color w:val="333333"/>
          <w:sz w:val="24"/>
          <w:szCs w:val="24"/>
        </w:rPr>
        <w:t xml:space="preserve">Figure </w:t>
      </w:r>
      <w:proofErr w:type="spellStart"/>
      <w:r>
        <w:rPr>
          <w:rFonts w:ascii="Garamond" w:eastAsia="Times New Roman" w:hAnsi="Garamond" w:cs="Arial"/>
          <w:b/>
          <w:bCs/>
          <w:color w:val="333333"/>
          <w:sz w:val="24"/>
          <w:szCs w:val="24"/>
        </w:rPr>
        <w:t>S2</w:t>
      </w:r>
      <w:proofErr w:type="spellEnd"/>
      <w:r>
        <w:rPr>
          <w:rFonts w:ascii="Garamond" w:eastAsia="Times New Roman" w:hAnsi="Garamond" w:cs="Arial"/>
          <w:color w:val="333333"/>
          <w:sz w:val="24"/>
          <w:szCs w:val="24"/>
        </w:rPr>
        <w:t xml:space="preserve"> plots the fraction of consultations that were electronic through 2020.</w:t>
      </w:r>
      <w:r>
        <w:rPr>
          <w:rStyle w:val="FootnoteReference"/>
          <w:rFonts w:ascii="Garamond" w:eastAsia="Times New Roman" w:hAnsi="Garamond" w:cs="Arial"/>
          <w:color w:val="333333"/>
          <w:sz w:val="24"/>
          <w:szCs w:val="24"/>
        </w:rPr>
        <w:footnoteReference w:id="1"/>
      </w:r>
    </w:p>
    <w:p w14:paraId="14A89F9B" w14:textId="77777777" w:rsidR="00E201F4" w:rsidRDefault="00E201F4" w:rsidP="00E201F4">
      <w:pPr>
        <w:spacing w:after="0" w:line="480" w:lineRule="auto"/>
        <w:rPr>
          <w:rFonts w:ascii="Garamond" w:hAnsi="Garamond"/>
          <w:b/>
          <w:bCs/>
          <w:sz w:val="24"/>
          <w:szCs w:val="24"/>
        </w:rPr>
      </w:pPr>
    </w:p>
    <w:p w14:paraId="23FFC52B" w14:textId="77777777" w:rsidR="00E201F4" w:rsidRDefault="00E201F4" w:rsidP="00E201F4">
      <w:pPr>
        <w:spacing w:line="276" w:lineRule="auto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Table </w:t>
      </w:r>
      <w:proofErr w:type="spellStart"/>
      <w:r>
        <w:rPr>
          <w:rFonts w:ascii="Garamond" w:hAnsi="Garamond"/>
          <w:b/>
          <w:bCs/>
          <w:sz w:val="24"/>
          <w:szCs w:val="24"/>
        </w:rPr>
        <w:t>S1</w:t>
      </w:r>
      <w:proofErr w:type="spellEnd"/>
      <w:r>
        <w:rPr>
          <w:rFonts w:ascii="Garamond" w:hAnsi="Garamond"/>
          <w:b/>
          <w:bCs/>
          <w:sz w:val="24"/>
          <w:szCs w:val="24"/>
        </w:rPr>
        <w:t>. GP Coverage rates in Norway 2017-2020.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8"/>
        <w:gridCol w:w="498"/>
        <w:gridCol w:w="498"/>
        <w:gridCol w:w="498"/>
        <w:gridCol w:w="497"/>
        <w:gridCol w:w="497"/>
        <w:gridCol w:w="497"/>
        <w:gridCol w:w="1388"/>
        <w:gridCol w:w="1385"/>
        <w:gridCol w:w="1385"/>
        <w:gridCol w:w="1385"/>
      </w:tblGrid>
      <w:tr w:rsidR="00E201F4" w14:paraId="237C1781" w14:textId="77777777" w:rsidTr="00E201F4">
        <w:tc>
          <w:tcPr>
            <w:tcW w:w="4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3BBD84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E241F3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08EEAD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B9562A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2B51B7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EAA5C2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E5D9DE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55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1E4040D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bookmarkStart w:id="0" w:name="_Hlk68034763"/>
            <w:r>
              <w:rPr>
                <w:rFonts w:ascii="Garamond" w:hAnsi="Garamond"/>
                <w:sz w:val="24"/>
                <w:szCs w:val="24"/>
              </w:rPr>
              <w:t>Fraction of Norwegian population with at least one GP consultation in given year</w:t>
            </w:r>
            <w:bookmarkEnd w:id="0"/>
          </w:p>
        </w:tc>
      </w:tr>
      <w:tr w:rsidR="00E201F4" w14:paraId="5CB14805" w14:textId="77777777" w:rsidTr="00E201F4">
        <w:tc>
          <w:tcPr>
            <w:tcW w:w="348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9E6CDB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C2F8DB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2017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D1C799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2018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E2EA7B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2019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4A6FD6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2020</w:t>
            </w:r>
          </w:p>
        </w:tc>
      </w:tr>
      <w:tr w:rsidR="00E201F4" w14:paraId="0F9AC843" w14:textId="77777777" w:rsidTr="00E201F4">
        <w:tc>
          <w:tcPr>
            <w:tcW w:w="348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24DB82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Age 11+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05CF16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0.76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E6560F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0.75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8059D5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0.75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033F28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0.75</w:t>
            </w:r>
          </w:p>
        </w:tc>
      </w:tr>
      <w:tr w:rsidR="00E201F4" w14:paraId="28789F17" w14:textId="77777777" w:rsidTr="00E201F4">
        <w:tc>
          <w:tcPr>
            <w:tcW w:w="3483" w:type="dxa"/>
            <w:gridSpan w:val="7"/>
            <w:hideMark/>
          </w:tcPr>
          <w:p w14:paraId="400166F1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Age 11-17</w:t>
            </w:r>
          </w:p>
        </w:tc>
        <w:tc>
          <w:tcPr>
            <w:tcW w:w="1388" w:type="dxa"/>
            <w:vAlign w:val="bottom"/>
            <w:hideMark/>
          </w:tcPr>
          <w:p w14:paraId="10D6F2A9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0.68</w:t>
            </w:r>
          </w:p>
        </w:tc>
        <w:tc>
          <w:tcPr>
            <w:tcW w:w="1385" w:type="dxa"/>
            <w:vAlign w:val="bottom"/>
            <w:hideMark/>
          </w:tcPr>
          <w:p w14:paraId="2127FF55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0.67</w:t>
            </w:r>
          </w:p>
        </w:tc>
        <w:tc>
          <w:tcPr>
            <w:tcW w:w="1385" w:type="dxa"/>
            <w:vAlign w:val="bottom"/>
            <w:hideMark/>
          </w:tcPr>
          <w:p w14:paraId="167B33BA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0.67</w:t>
            </w:r>
          </w:p>
        </w:tc>
        <w:tc>
          <w:tcPr>
            <w:tcW w:w="1385" w:type="dxa"/>
            <w:vAlign w:val="bottom"/>
            <w:hideMark/>
          </w:tcPr>
          <w:p w14:paraId="0F7C23DD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0.65</w:t>
            </w:r>
          </w:p>
        </w:tc>
      </w:tr>
      <w:tr w:rsidR="00E201F4" w14:paraId="46306130" w14:textId="77777777" w:rsidTr="00E201F4">
        <w:tc>
          <w:tcPr>
            <w:tcW w:w="3483" w:type="dxa"/>
            <w:gridSpan w:val="7"/>
            <w:hideMark/>
          </w:tcPr>
          <w:p w14:paraId="367C0BF9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Age 18-30</w:t>
            </w:r>
          </w:p>
        </w:tc>
        <w:tc>
          <w:tcPr>
            <w:tcW w:w="1388" w:type="dxa"/>
            <w:vAlign w:val="bottom"/>
            <w:hideMark/>
          </w:tcPr>
          <w:p w14:paraId="4FE42865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0.70</w:t>
            </w:r>
          </w:p>
        </w:tc>
        <w:tc>
          <w:tcPr>
            <w:tcW w:w="1385" w:type="dxa"/>
            <w:vAlign w:val="bottom"/>
            <w:hideMark/>
          </w:tcPr>
          <w:p w14:paraId="7EEE9BD4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0.70</w:t>
            </w:r>
          </w:p>
        </w:tc>
        <w:tc>
          <w:tcPr>
            <w:tcW w:w="1385" w:type="dxa"/>
            <w:vAlign w:val="bottom"/>
            <w:hideMark/>
          </w:tcPr>
          <w:p w14:paraId="22DD1EDC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0.69</w:t>
            </w:r>
          </w:p>
        </w:tc>
        <w:tc>
          <w:tcPr>
            <w:tcW w:w="1385" w:type="dxa"/>
            <w:vAlign w:val="bottom"/>
            <w:hideMark/>
          </w:tcPr>
          <w:p w14:paraId="17F5A7BB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0.68</w:t>
            </w:r>
          </w:p>
        </w:tc>
      </w:tr>
      <w:tr w:rsidR="00E201F4" w14:paraId="0232DFDD" w14:textId="77777777" w:rsidTr="00E201F4">
        <w:tc>
          <w:tcPr>
            <w:tcW w:w="3483" w:type="dxa"/>
            <w:gridSpan w:val="7"/>
            <w:hideMark/>
          </w:tcPr>
          <w:p w14:paraId="490D4761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Age 31-64</w:t>
            </w:r>
          </w:p>
        </w:tc>
        <w:tc>
          <w:tcPr>
            <w:tcW w:w="1388" w:type="dxa"/>
            <w:vAlign w:val="bottom"/>
            <w:hideMark/>
          </w:tcPr>
          <w:p w14:paraId="1D781F05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0.75</w:t>
            </w:r>
          </w:p>
        </w:tc>
        <w:tc>
          <w:tcPr>
            <w:tcW w:w="1385" w:type="dxa"/>
            <w:vAlign w:val="bottom"/>
            <w:hideMark/>
          </w:tcPr>
          <w:p w14:paraId="244AC0EF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0.75</w:t>
            </w:r>
          </w:p>
        </w:tc>
        <w:tc>
          <w:tcPr>
            <w:tcW w:w="1385" w:type="dxa"/>
            <w:vAlign w:val="bottom"/>
            <w:hideMark/>
          </w:tcPr>
          <w:p w14:paraId="62D85A8D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0.75</w:t>
            </w:r>
          </w:p>
        </w:tc>
        <w:tc>
          <w:tcPr>
            <w:tcW w:w="1385" w:type="dxa"/>
            <w:vAlign w:val="bottom"/>
            <w:hideMark/>
          </w:tcPr>
          <w:p w14:paraId="2116C93D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0.74</w:t>
            </w:r>
          </w:p>
        </w:tc>
      </w:tr>
      <w:tr w:rsidR="00E201F4" w14:paraId="4D513326" w14:textId="77777777" w:rsidTr="00E201F4">
        <w:tc>
          <w:tcPr>
            <w:tcW w:w="3483" w:type="dxa"/>
            <w:gridSpan w:val="7"/>
            <w:hideMark/>
          </w:tcPr>
          <w:p w14:paraId="74C2C553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Age 65+</w:t>
            </w:r>
          </w:p>
        </w:tc>
        <w:tc>
          <w:tcPr>
            <w:tcW w:w="1388" w:type="dxa"/>
            <w:vAlign w:val="bottom"/>
            <w:hideMark/>
          </w:tcPr>
          <w:p w14:paraId="6F18E927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0.87</w:t>
            </w:r>
          </w:p>
        </w:tc>
        <w:tc>
          <w:tcPr>
            <w:tcW w:w="1385" w:type="dxa"/>
            <w:vAlign w:val="bottom"/>
            <w:hideMark/>
          </w:tcPr>
          <w:p w14:paraId="29B57295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0.86</w:t>
            </w:r>
          </w:p>
        </w:tc>
        <w:tc>
          <w:tcPr>
            <w:tcW w:w="1385" w:type="dxa"/>
            <w:vAlign w:val="bottom"/>
            <w:hideMark/>
          </w:tcPr>
          <w:p w14:paraId="30F989E2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0.86</w:t>
            </w:r>
          </w:p>
        </w:tc>
        <w:tc>
          <w:tcPr>
            <w:tcW w:w="1385" w:type="dxa"/>
            <w:vAlign w:val="bottom"/>
            <w:hideMark/>
          </w:tcPr>
          <w:p w14:paraId="702B6F14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0.86</w:t>
            </w:r>
          </w:p>
        </w:tc>
      </w:tr>
      <w:tr w:rsidR="00E201F4" w14:paraId="14A21863" w14:textId="77777777" w:rsidTr="00E201F4">
        <w:tc>
          <w:tcPr>
            <w:tcW w:w="3483" w:type="dxa"/>
            <w:gridSpan w:val="7"/>
            <w:hideMark/>
          </w:tcPr>
          <w:p w14:paraId="3F240D66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Male </w:t>
            </w:r>
          </w:p>
        </w:tc>
        <w:tc>
          <w:tcPr>
            <w:tcW w:w="1388" w:type="dxa"/>
            <w:vAlign w:val="center"/>
            <w:hideMark/>
          </w:tcPr>
          <w:p w14:paraId="6522DEAA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0.69</w:t>
            </w:r>
          </w:p>
        </w:tc>
        <w:tc>
          <w:tcPr>
            <w:tcW w:w="1385" w:type="dxa"/>
            <w:vAlign w:val="center"/>
            <w:hideMark/>
          </w:tcPr>
          <w:p w14:paraId="05C50D15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0.69</w:t>
            </w:r>
          </w:p>
        </w:tc>
        <w:tc>
          <w:tcPr>
            <w:tcW w:w="1385" w:type="dxa"/>
            <w:vAlign w:val="center"/>
            <w:hideMark/>
          </w:tcPr>
          <w:p w14:paraId="739392A0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0.69</w:t>
            </w:r>
          </w:p>
        </w:tc>
        <w:tc>
          <w:tcPr>
            <w:tcW w:w="1385" w:type="dxa"/>
            <w:vAlign w:val="center"/>
            <w:hideMark/>
          </w:tcPr>
          <w:p w14:paraId="7F6D0692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0.69</w:t>
            </w:r>
          </w:p>
        </w:tc>
      </w:tr>
      <w:tr w:rsidR="00E201F4" w14:paraId="1F88BB0E" w14:textId="77777777" w:rsidTr="00E201F4">
        <w:tc>
          <w:tcPr>
            <w:tcW w:w="3483" w:type="dxa"/>
            <w:gridSpan w:val="7"/>
            <w:hideMark/>
          </w:tcPr>
          <w:p w14:paraId="298E3F7F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Female </w:t>
            </w:r>
          </w:p>
        </w:tc>
        <w:tc>
          <w:tcPr>
            <w:tcW w:w="1388" w:type="dxa"/>
            <w:vAlign w:val="bottom"/>
            <w:hideMark/>
          </w:tcPr>
          <w:p w14:paraId="5126A116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0.82</w:t>
            </w:r>
          </w:p>
        </w:tc>
        <w:tc>
          <w:tcPr>
            <w:tcW w:w="1385" w:type="dxa"/>
            <w:vAlign w:val="bottom"/>
            <w:hideMark/>
          </w:tcPr>
          <w:p w14:paraId="51FE9A70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0.82</w:t>
            </w:r>
          </w:p>
        </w:tc>
        <w:tc>
          <w:tcPr>
            <w:tcW w:w="1385" w:type="dxa"/>
            <w:vAlign w:val="bottom"/>
            <w:hideMark/>
          </w:tcPr>
          <w:p w14:paraId="2F77A589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0.81</w:t>
            </w:r>
          </w:p>
        </w:tc>
        <w:tc>
          <w:tcPr>
            <w:tcW w:w="1385" w:type="dxa"/>
            <w:vAlign w:val="bottom"/>
            <w:hideMark/>
          </w:tcPr>
          <w:p w14:paraId="1C16535C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0.80</w:t>
            </w:r>
          </w:p>
        </w:tc>
      </w:tr>
      <w:tr w:rsidR="00E201F4" w14:paraId="43DFD96F" w14:textId="77777777" w:rsidTr="00E201F4">
        <w:tc>
          <w:tcPr>
            <w:tcW w:w="3483" w:type="dxa"/>
            <w:gridSpan w:val="7"/>
            <w:hideMark/>
          </w:tcPr>
          <w:p w14:paraId="5B7CB843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Urban</w:t>
            </w:r>
          </w:p>
        </w:tc>
        <w:tc>
          <w:tcPr>
            <w:tcW w:w="1388" w:type="dxa"/>
            <w:vAlign w:val="bottom"/>
            <w:hideMark/>
          </w:tcPr>
          <w:p w14:paraId="5AB5DAAC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0.82</w:t>
            </w:r>
          </w:p>
        </w:tc>
        <w:tc>
          <w:tcPr>
            <w:tcW w:w="1385" w:type="dxa"/>
            <w:vAlign w:val="bottom"/>
            <w:hideMark/>
          </w:tcPr>
          <w:p w14:paraId="0D92EDC0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0.83</w:t>
            </w:r>
          </w:p>
        </w:tc>
        <w:tc>
          <w:tcPr>
            <w:tcW w:w="1385" w:type="dxa"/>
            <w:vAlign w:val="bottom"/>
            <w:hideMark/>
          </w:tcPr>
          <w:p w14:paraId="58B79C7D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0.83</w:t>
            </w:r>
          </w:p>
        </w:tc>
        <w:tc>
          <w:tcPr>
            <w:tcW w:w="1385" w:type="dxa"/>
            <w:vAlign w:val="bottom"/>
            <w:hideMark/>
          </w:tcPr>
          <w:p w14:paraId="16FB5B07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0.79</w:t>
            </w:r>
          </w:p>
        </w:tc>
      </w:tr>
      <w:tr w:rsidR="00E201F4" w14:paraId="02BFA535" w14:textId="77777777" w:rsidTr="00E201F4">
        <w:tc>
          <w:tcPr>
            <w:tcW w:w="3483" w:type="dxa"/>
            <w:gridSpan w:val="7"/>
            <w:hideMark/>
          </w:tcPr>
          <w:p w14:paraId="7DA55282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Rural</w:t>
            </w:r>
          </w:p>
        </w:tc>
        <w:tc>
          <w:tcPr>
            <w:tcW w:w="1388" w:type="dxa"/>
            <w:vAlign w:val="center"/>
            <w:hideMark/>
          </w:tcPr>
          <w:p w14:paraId="4A5B479A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0.73</w:t>
            </w:r>
          </w:p>
        </w:tc>
        <w:tc>
          <w:tcPr>
            <w:tcW w:w="1385" w:type="dxa"/>
            <w:vAlign w:val="center"/>
            <w:hideMark/>
          </w:tcPr>
          <w:p w14:paraId="2AD6BAE2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0.73</w:t>
            </w:r>
          </w:p>
        </w:tc>
        <w:tc>
          <w:tcPr>
            <w:tcW w:w="1385" w:type="dxa"/>
            <w:vAlign w:val="center"/>
            <w:hideMark/>
          </w:tcPr>
          <w:p w14:paraId="0ACC4513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0.72</w:t>
            </w:r>
          </w:p>
        </w:tc>
        <w:tc>
          <w:tcPr>
            <w:tcW w:w="1385" w:type="dxa"/>
            <w:vAlign w:val="center"/>
            <w:hideMark/>
          </w:tcPr>
          <w:p w14:paraId="59829CA1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0.73</w:t>
            </w:r>
          </w:p>
        </w:tc>
      </w:tr>
      <w:tr w:rsidR="00E201F4" w14:paraId="45DE6098" w14:textId="77777777" w:rsidTr="00E201F4">
        <w:tc>
          <w:tcPr>
            <w:tcW w:w="3483" w:type="dxa"/>
            <w:gridSpan w:val="7"/>
          </w:tcPr>
          <w:p w14:paraId="0D319821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42A5F478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14:paraId="73A07F31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14:paraId="6F3C6306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14:paraId="7AAFD07E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  <w:tr w:rsidR="00E201F4" w14:paraId="6E3A0923" w14:textId="77777777" w:rsidTr="00E201F4">
        <w:tc>
          <w:tcPr>
            <w:tcW w:w="3483" w:type="dxa"/>
            <w:gridSpan w:val="7"/>
            <w:hideMark/>
          </w:tcPr>
          <w:p w14:paraId="7F2C7391" w14:textId="77777777" w:rsidR="00E201F4" w:rsidRDefault="00E201F4">
            <w:pPr>
              <w:spacing w:line="276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Population size (million)</w:t>
            </w:r>
          </w:p>
        </w:tc>
        <w:tc>
          <w:tcPr>
            <w:tcW w:w="1388" w:type="dxa"/>
            <w:vAlign w:val="center"/>
            <w:hideMark/>
          </w:tcPr>
          <w:p w14:paraId="675A8566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4.57</w:t>
            </w:r>
          </w:p>
        </w:tc>
        <w:tc>
          <w:tcPr>
            <w:tcW w:w="1385" w:type="dxa"/>
            <w:vAlign w:val="center"/>
            <w:hideMark/>
          </w:tcPr>
          <w:p w14:paraId="16BC807C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4.61</w:t>
            </w:r>
          </w:p>
        </w:tc>
        <w:tc>
          <w:tcPr>
            <w:tcW w:w="1385" w:type="dxa"/>
            <w:vAlign w:val="center"/>
            <w:hideMark/>
          </w:tcPr>
          <w:p w14:paraId="5899D423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4.65</w:t>
            </w:r>
          </w:p>
        </w:tc>
        <w:tc>
          <w:tcPr>
            <w:tcW w:w="1385" w:type="dxa"/>
            <w:vAlign w:val="center"/>
            <w:hideMark/>
          </w:tcPr>
          <w:p w14:paraId="206C1A4F" w14:textId="77777777" w:rsidR="00E201F4" w:rsidRDefault="00E201F4">
            <w:pPr>
              <w:spacing w:line="276" w:lineRule="auto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4.70</w:t>
            </w:r>
          </w:p>
        </w:tc>
      </w:tr>
    </w:tbl>
    <w:p w14:paraId="437D65A5" w14:textId="77777777" w:rsidR="00E201F4" w:rsidRDefault="00E201F4" w:rsidP="00E201F4">
      <w:pPr>
        <w:spacing w:line="276" w:lineRule="auto"/>
        <w:rPr>
          <w:rFonts w:ascii="Garamond" w:hAnsi="Garamond" w:cs="Arial"/>
          <w:i/>
          <w:iCs/>
          <w:sz w:val="24"/>
          <w:szCs w:val="24"/>
        </w:rPr>
      </w:pPr>
    </w:p>
    <w:p w14:paraId="3CB1545E" w14:textId="77777777" w:rsidR="00E201F4" w:rsidRDefault="00E201F4" w:rsidP="00E201F4">
      <w:pPr>
        <w:spacing w:line="276" w:lineRule="auto"/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i/>
          <w:iCs/>
          <w:sz w:val="24"/>
          <w:szCs w:val="24"/>
        </w:rPr>
        <w:t>Notes</w:t>
      </w:r>
      <w:r>
        <w:rPr>
          <w:rFonts w:ascii="Garamond" w:hAnsi="Garamond" w:cs="Arial"/>
          <w:sz w:val="24"/>
          <w:szCs w:val="24"/>
        </w:rPr>
        <w:t xml:space="preserve">: </w:t>
      </w:r>
      <w:r>
        <w:rPr>
          <w:rFonts w:ascii="Garamond" w:hAnsi="Garamond" w:cs="Times New Roman"/>
          <w:sz w:val="24"/>
          <w:szCs w:val="24"/>
        </w:rPr>
        <w:t>The Norwegian population totals are from Statistics Norway (www.ssb.no).</w:t>
      </w:r>
      <w:r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br w:type="page"/>
      </w:r>
    </w:p>
    <w:p w14:paraId="79FE636D" w14:textId="6B9A4BC6" w:rsidR="00E201F4" w:rsidRDefault="00E201F4" w:rsidP="00E201F4">
      <w:pPr>
        <w:spacing w:after="0" w:line="480" w:lineRule="auto"/>
        <w:rPr>
          <w:rFonts w:ascii="Garamond" w:hAnsi="Garamond"/>
        </w:rPr>
      </w:pPr>
      <w:bookmarkStart w:id="1" w:name="_Hlk67950890"/>
      <w:r>
        <w:rPr>
          <w:rFonts w:ascii="Garamond" w:hAnsi="Garamond"/>
          <w:noProof/>
        </w:rPr>
        <w:drawing>
          <wp:inline distT="0" distB="0" distL="0" distR="0" wp14:anchorId="356CFE56" wp14:editId="5F2A0F50">
            <wp:extent cx="6012180" cy="4008120"/>
            <wp:effectExtent l="0" t="0" r="7620" b="0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180" cy="400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14:paraId="2F393F2A" w14:textId="77777777" w:rsidR="00E201F4" w:rsidRDefault="00E201F4" w:rsidP="00E201F4">
      <w:pPr>
        <w:spacing w:after="0" w:line="480" w:lineRule="auto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Fig </w:t>
      </w:r>
      <w:proofErr w:type="spellStart"/>
      <w:r>
        <w:rPr>
          <w:rFonts w:ascii="Garamond" w:hAnsi="Garamond"/>
          <w:b/>
          <w:bCs/>
          <w:sz w:val="24"/>
          <w:szCs w:val="24"/>
        </w:rPr>
        <w:t>S1</w:t>
      </w:r>
      <w:proofErr w:type="spellEnd"/>
      <w:r>
        <w:rPr>
          <w:rFonts w:ascii="Garamond" w:hAnsi="Garamond"/>
          <w:b/>
          <w:bCs/>
          <w:sz w:val="24"/>
          <w:szCs w:val="24"/>
        </w:rPr>
        <w:t>. Number of weekly GP consultations in 2020 (red) versus 2019 (black)</w:t>
      </w:r>
    </w:p>
    <w:p w14:paraId="4238FDC2" w14:textId="77777777" w:rsidR="00E201F4" w:rsidRDefault="00E201F4" w:rsidP="00E201F4">
      <w:pPr>
        <w:spacing w:after="0" w:line="480" w:lineRule="auto"/>
        <w:rPr>
          <w:rFonts w:ascii="Garamond" w:hAnsi="Garamond"/>
          <w:i/>
          <w:iCs/>
        </w:rPr>
      </w:pPr>
      <w:r>
        <w:rPr>
          <w:rFonts w:ascii="Garamond" w:hAnsi="Garamond" w:cs="Arial"/>
          <w:i/>
          <w:iCs/>
          <w:sz w:val="24"/>
          <w:szCs w:val="24"/>
        </w:rPr>
        <w:t>Note: The Figure shows overall number (any ICPC-2 diagnosis code) of weekly GP consultations in Norway in 2019 and 2020. The Figure uses three-week moving averages for the outcome variables.</w:t>
      </w:r>
    </w:p>
    <w:p w14:paraId="1F6BCA9A" w14:textId="77777777" w:rsidR="00E201F4" w:rsidRDefault="00E201F4" w:rsidP="00E201F4">
      <w:pPr>
        <w:spacing w:after="0" w:line="480" w:lineRule="auto"/>
        <w:rPr>
          <w:rFonts w:ascii="Garamond" w:hAnsi="Garamond"/>
          <w:i/>
          <w:iCs/>
        </w:rPr>
      </w:pPr>
    </w:p>
    <w:p w14:paraId="05484898" w14:textId="091CE75B" w:rsidR="00E201F4" w:rsidRDefault="00E201F4" w:rsidP="00E201F4">
      <w:pPr>
        <w:spacing w:after="0" w:line="480" w:lineRule="auto"/>
        <w:rPr>
          <w:rFonts w:ascii="Garamond" w:hAnsi="Garamond"/>
        </w:rPr>
      </w:pPr>
      <w:r>
        <w:rPr>
          <w:rFonts w:ascii="Garamond" w:hAnsi="Garamond"/>
          <w:noProof/>
        </w:rPr>
        <w:drawing>
          <wp:inline distT="0" distB="0" distL="0" distR="0" wp14:anchorId="3165E90B" wp14:editId="685B140B">
            <wp:extent cx="5676900" cy="3794760"/>
            <wp:effectExtent l="0" t="0" r="0" b="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5B01B" w14:textId="77777777" w:rsidR="00E201F4" w:rsidRDefault="00E201F4" w:rsidP="00E201F4">
      <w:pPr>
        <w:spacing w:after="0" w:line="480" w:lineRule="auto"/>
        <w:rPr>
          <w:rFonts w:ascii="Garamond" w:hAnsi="Garamond" w:cs="Arial"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Fig </w:t>
      </w:r>
      <w:proofErr w:type="spellStart"/>
      <w:r>
        <w:rPr>
          <w:rFonts w:ascii="Garamond" w:hAnsi="Garamond"/>
          <w:b/>
          <w:bCs/>
          <w:sz w:val="24"/>
          <w:szCs w:val="24"/>
        </w:rPr>
        <w:t>S2</w:t>
      </w:r>
      <w:proofErr w:type="spellEnd"/>
      <w:r>
        <w:rPr>
          <w:rFonts w:ascii="Garamond" w:hAnsi="Garamond"/>
          <w:b/>
          <w:bCs/>
          <w:sz w:val="24"/>
          <w:szCs w:val="24"/>
        </w:rPr>
        <w:t>. E-consultations as fraction of all consultations, by week of 2020</w:t>
      </w:r>
    </w:p>
    <w:p w14:paraId="2770BB80" w14:textId="77777777" w:rsidR="00C90110" w:rsidRDefault="00C90110"/>
    <w:sectPr w:rsidR="00C901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1B0AD" w14:textId="77777777" w:rsidR="00323690" w:rsidRDefault="00323690" w:rsidP="00E201F4">
      <w:pPr>
        <w:spacing w:after="0" w:line="240" w:lineRule="auto"/>
      </w:pPr>
      <w:r>
        <w:separator/>
      </w:r>
    </w:p>
  </w:endnote>
  <w:endnote w:type="continuationSeparator" w:id="0">
    <w:p w14:paraId="34D3F897" w14:textId="77777777" w:rsidR="00323690" w:rsidRDefault="00323690" w:rsidP="00E20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83684" w14:textId="77777777" w:rsidR="00323690" w:rsidRDefault="00323690" w:rsidP="00E201F4">
      <w:pPr>
        <w:spacing w:after="0" w:line="240" w:lineRule="auto"/>
      </w:pPr>
      <w:r>
        <w:separator/>
      </w:r>
    </w:p>
  </w:footnote>
  <w:footnote w:type="continuationSeparator" w:id="0">
    <w:p w14:paraId="4997EAB1" w14:textId="77777777" w:rsidR="00323690" w:rsidRDefault="00323690" w:rsidP="00E201F4">
      <w:pPr>
        <w:spacing w:after="0" w:line="240" w:lineRule="auto"/>
      </w:pPr>
      <w:r>
        <w:continuationSeparator/>
      </w:r>
    </w:p>
  </w:footnote>
  <w:footnote w:id="1">
    <w:p w14:paraId="7811E12F" w14:textId="77777777" w:rsidR="00E201F4" w:rsidRDefault="00E201F4" w:rsidP="00E201F4">
      <w:pPr>
        <w:pStyle w:val="FootnoteText"/>
        <w:rPr>
          <w:rFonts w:ascii="Garamond" w:eastAsia="Times New Roman" w:hAnsi="Garamond" w:cs="Times New Roman"/>
          <w:color w:val="333333"/>
          <w:sz w:val="22"/>
          <w:szCs w:val="22"/>
        </w:rPr>
      </w:pPr>
      <w:r>
        <w:rPr>
          <w:rStyle w:val="FootnoteReference"/>
          <w:rFonts w:ascii="Garamond" w:hAnsi="Garamond" w:cs="Times New Roman"/>
          <w:sz w:val="22"/>
          <w:szCs w:val="22"/>
        </w:rPr>
        <w:footnoteRef/>
      </w:r>
      <w:r>
        <w:rPr>
          <w:rFonts w:ascii="Garamond" w:hAnsi="Garamond" w:cs="Times New Roman"/>
          <w:sz w:val="22"/>
          <w:szCs w:val="22"/>
        </w:rPr>
        <w:t xml:space="preserve"> The homepage of </w:t>
      </w:r>
      <w:r>
        <w:rPr>
          <w:rFonts w:ascii="Garamond" w:hAnsi="Garamond" w:cs="Times New Roman"/>
          <w:color w:val="333333"/>
          <w:sz w:val="22"/>
          <w:szCs w:val="22"/>
          <w:shd w:val="clear" w:color="auto" w:fill="FFFFFF"/>
        </w:rPr>
        <w:t xml:space="preserve">The Norwegian Medical Association contains additional information on the GP refund arrangement, and the transition to electronic consultations during 2020 in Norway. </w:t>
      </w:r>
      <w:hyperlink r:id="rId1" w:history="1">
        <w:r>
          <w:rPr>
            <w:rStyle w:val="Hyperlink"/>
            <w:rFonts w:ascii="Garamond" w:eastAsia="Times New Roman" w:hAnsi="Garamond" w:cs="Times New Roman"/>
            <w:sz w:val="22"/>
            <w:szCs w:val="22"/>
          </w:rPr>
          <w:t>https://normaltariffen.legeforeningen.no/book/Fastlegetariffen-2020/m-02</w:t>
        </w:r>
      </w:hyperlink>
      <w:r>
        <w:rPr>
          <w:rFonts w:ascii="Garamond" w:eastAsia="Times New Roman" w:hAnsi="Garamond" w:cs="Times New Roman"/>
          <w:color w:val="333333"/>
          <w:sz w:val="22"/>
          <w:szCs w:val="22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1F4"/>
    <w:rsid w:val="001B26BF"/>
    <w:rsid w:val="00323690"/>
    <w:rsid w:val="00612423"/>
    <w:rsid w:val="00737F27"/>
    <w:rsid w:val="00821179"/>
    <w:rsid w:val="008A23CD"/>
    <w:rsid w:val="008A2751"/>
    <w:rsid w:val="009A55CC"/>
    <w:rsid w:val="009B1EFA"/>
    <w:rsid w:val="00A579B4"/>
    <w:rsid w:val="00B44792"/>
    <w:rsid w:val="00B46E43"/>
    <w:rsid w:val="00C26BA1"/>
    <w:rsid w:val="00C90110"/>
    <w:rsid w:val="00D141F3"/>
    <w:rsid w:val="00D450EE"/>
    <w:rsid w:val="00D727A7"/>
    <w:rsid w:val="00E00560"/>
    <w:rsid w:val="00E201F4"/>
    <w:rsid w:val="00E441F4"/>
    <w:rsid w:val="00E74116"/>
    <w:rsid w:val="00EA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4C40A"/>
  <w15:chartTrackingRefBased/>
  <w15:docId w15:val="{DCDC2B31-332C-4174-9AA2-776C9289C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1F4"/>
    <w:pPr>
      <w:spacing w:line="256" w:lineRule="auto"/>
    </w:pPr>
    <w:rPr>
      <w:rFonts w:ascii="Calibri Light" w:eastAsia="Calibri Light" w:hAnsi="Calibri Light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E201F4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201F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201F4"/>
    <w:rPr>
      <w:rFonts w:ascii="Calibri Light" w:eastAsia="Calibri Light" w:hAnsi="Calibri Light" w:cs="Calibri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E201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06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normaltariffen.legeforeningen.no/book/Fastlegetariffen-2020/m-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 2</dc:creator>
  <cp:keywords/>
  <dc:description/>
  <cp:lastModifiedBy>Quality Control Editor 2</cp:lastModifiedBy>
  <cp:revision>1</cp:revision>
  <dcterms:created xsi:type="dcterms:W3CDTF">2021-06-29T13:20:00Z</dcterms:created>
  <dcterms:modified xsi:type="dcterms:W3CDTF">2021-06-29T13:20:00Z</dcterms:modified>
</cp:coreProperties>
</file>